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rotocolo-mrv-sector-cemento---perú"/>
    <w:p>
      <w:pPr>
        <w:pStyle w:val="Heading1"/>
      </w:pPr>
      <w:r>
        <w:t xml:space="preserve">PROTOCOLO MRV SECTOR CEMENTO - PERÚ</w:t>
      </w:r>
    </w:p>
    <w:p>
      <w:pPr>
        <w:pStyle w:val="FirstParagraph"/>
      </w:pPr>
      <w:r>
        <w:t xml:space="preserve">Versión 1.0 - [Fecha]</w:t>
      </w:r>
    </w:p>
    <w:p>
      <w:r>
        <w:pict>
          <v:rect style="width:0;height:1.5pt" o:hralign="center" o:hrstd="t" o:hr="t"/>
        </w:pict>
      </w:r>
    </w:p>
    <w:bookmarkStart w:id="25" w:name="parte-i-introducción"/>
    <w:p>
      <w:pPr>
        <w:pStyle w:val="Heading2"/>
      </w:pPr>
      <w:r>
        <w:t xml:space="preserve">PARTE I: INTRODUCCIÓN</w:t>
      </w:r>
    </w:p>
    <w:bookmarkStart w:id="20" w:name="antecedentes-y-contexto"/>
    <w:p>
      <w:pPr>
        <w:pStyle w:val="Heading3"/>
      </w:pPr>
      <w:r>
        <w:t xml:space="preserve">1. Antecedentes y contexto</w:t>
      </w:r>
    </w:p>
    <w:bookmarkEnd w:id="20"/>
    <w:bookmarkStart w:id="21" w:name="objetivos-del-protocolo-mrv"/>
    <w:p>
      <w:pPr>
        <w:pStyle w:val="Heading3"/>
      </w:pPr>
      <w:r>
        <w:t xml:space="preserve">2. Objetivos del Protocolo MRV</w:t>
      </w:r>
    </w:p>
    <w:bookmarkEnd w:id="21"/>
    <w:bookmarkStart w:id="22" w:name="alcance-y-límites"/>
    <w:p>
      <w:pPr>
        <w:pStyle w:val="Heading3"/>
      </w:pPr>
      <w:r>
        <w:t xml:space="preserve">3. Alcance y límites</w:t>
      </w:r>
    </w:p>
    <w:bookmarkEnd w:id="22"/>
    <w:bookmarkStart w:id="23" w:name="X8a7e77b5c46b1714e3bac32035dead19962b378"/>
    <w:p>
      <w:pPr>
        <w:pStyle w:val="Heading3"/>
      </w:pPr>
      <w:r>
        <w:t xml:space="preserve">4. Actores involucrados (PRODUCE, ASOCEM, FICEM, Empresas)</w:t>
      </w:r>
    </w:p>
    <w:bookmarkEnd w:id="23"/>
    <w:bookmarkStart w:id="24" w:name="glosario-de-términos"/>
    <w:p>
      <w:pPr>
        <w:pStyle w:val="Heading3"/>
      </w:pPr>
      <w:r>
        <w:t xml:space="preserve">5. Glosario de términos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rte-ii-marco-normativo"/>
    <w:p>
      <w:pPr>
        <w:pStyle w:val="Heading2"/>
      </w:pPr>
      <w:r>
        <w:t xml:space="preserve">PARTE II: MARCO NORMATIVO</w:t>
      </w:r>
    </w:p>
    <w:bookmarkStart w:id="26" w:name="X6e07377835dd025938ea0657ba7854f02f7a501"/>
    <w:p>
      <w:pPr>
        <w:pStyle w:val="Heading3"/>
      </w:pPr>
      <w:r>
        <w:t xml:space="preserve">6. Referencias internacionales (IPCC 2006, CSI Protocol 3.1)</w:t>
      </w:r>
    </w:p>
    <w:bookmarkEnd w:id="26"/>
    <w:bookmarkStart w:id="27" w:name="referencias-nacionales-produce-minem"/>
    <w:p>
      <w:pPr>
        <w:pStyle w:val="Heading3"/>
      </w:pPr>
      <w:r>
        <w:t xml:space="preserve">7. Referencias nacionales (PRODUCE, MINEM)</w:t>
      </w:r>
    </w:p>
    <w:bookmarkEnd w:id="27"/>
    <w:bookmarkStart w:id="28" w:name="alineación-con-ndc-perú"/>
    <w:p>
      <w:pPr>
        <w:pStyle w:val="Heading3"/>
      </w:pPr>
      <w:r>
        <w:t xml:space="preserve">8. Alineación con NDC Perú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arte-iii-metodología-de-cálculo"/>
    <w:p>
      <w:pPr>
        <w:pStyle w:val="Heading2"/>
      </w:pPr>
      <w:r>
        <w:t xml:space="preserve">PARTE III: METODOLOGÍA DE CÁLCULO</w:t>
      </w:r>
    </w:p>
    <w:bookmarkStart w:id="30" w:name="arquitectura-del-cálculo"/>
    <w:p>
      <w:pPr>
        <w:pStyle w:val="Heading3"/>
      </w:pPr>
      <w:r>
        <w:t xml:space="preserve">9. Arquitectura del cálculo</w:t>
      </w:r>
    </w:p>
    <w:bookmarkEnd w:id="30"/>
    <w:bookmarkStart w:id="31" w:name="ecuaciones-oficiales"/>
    <w:p>
      <w:pPr>
        <w:pStyle w:val="Heading3"/>
      </w:pPr>
      <w:r>
        <w:t xml:space="preserve">10. Ecuaciones oficiales</w:t>
      </w:r>
    </w:p>
    <w:bookmarkEnd w:id="31"/>
    <w:bookmarkStart w:id="32" w:name="factores-de-emisión-perú"/>
    <w:p>
      <w:pPr>
        <w:pStyle w:val="Heading3"/>
      </w:pPr>
      <w:r>
        <w:t xml:space="preserve">11. Factores de emisión Perú</w:t>
      </w:r>
    </w:p>
    <w:bookmarkEnd w:id="32"/>
    <w:bookmarkStart w:id="33" w:name="estructura-de-datos-por-planta"/>
    <w:p>
      <w:pPr>
        <w:pStyle w:val="Heading3"/>
      </w:pPr>
      <w:r>
        <w:t xml:space="preserve">12. Estructura de datos por planta</w:t>
      </w:r>
    </w:p>
    <w:bookmarkEnd w:id="33"/>
    <w:bookmarkStart w:id="34" w:name="consolidación-a-nivel-país"/>
    <w:p>
      <w:pPr>
        <w:pStyle w:val="Heading3"/>
      </w:pPr>
      <w:r>
        <w:t xml:space="preserve">13. Consolidación a nivel país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arte-iv-procedimientos-operativos"/>
    <w:p>
      <w:pPr>
        <w:pStyle w:val="Heading2"/>
      </w:pPr>
      <w:r>
        <w:t xml:space="preserve">PARTE IV: PROCEDIMIENTOS OPERATIVOS</w:t>
      </w:r>
    </w:p>
    <w:bookmarkStart w:id="36" w:name="ciclo-anual-de-reporte"/>
    <w:p>
      <w:pPr>
        <w:pStyle w:val="Heading3"/>
      </w:pPr>
      <w:r>
        <w:t xml:space="preserve">14. Ciclo anual de reporte</w:t>
      </w:r>
    </w:p>
    <w:bookmarkEnd w:id="36"/>
    <w:bookmarkStart w:id="37" w:name="solicitud-y-captura-de-datos"/>
    <w:p>
      <w:pPr>
        <w:pStyle w:val="Heading3"/>
      </w:pPr>
      <w:r>
        <w:t xml:space="preserve">15. Solicitud y captura de datos</w:t>
      </w:r>
    </w:p>
    <w:bookmarkEnd w:id="37"/>
    <w:bookmarkStart w:id="38" w:name="validación-y-control-de-calidad"/>
    <w:p>
      <w:pPr>
        <w:pStyle w:val="Heading3"/>
      </w:pPr>
      <w:r>
        <w:t xml:space="preserve">16. Validación y control de calidad</w:t>
      </w:r>
    </w:p>
    <w:bookmarkEnd w:id="38"/>
    <w:bookmarkStart w:id="39" w:name="generación-de-reportes-oficiales"/>
    <w:p>
      <w:pPr>
        <w:pStyle w:val="Heading3"/>
      </w:pPr>
      <w:r>
        <w:t xml:space="preserve">17. Generación de reportes oficiales</w:t>
      </w:r>
    </w:p>
    <w:bookmarkEnd w:id="39"/>
    <w:bookmarkStart w:id="40" w:name="coordinación-asocem-ficem-produce"/>
    <w:p>
      <w:pPr>
        <w:pStyle w:val="Heading3"/>
      </w:pPr>
      <w:r>
        <w:t xml:space="preserve">18. Coordinación ASOCEM-FICEM-PRODUCE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rte-v-reportes-mrv"/>
    <w:p>
      <w:pPr>
        <w:pStyle w:val="Heading2"/>
      </w:pPr>
      <w:r>
        <w:t xml:space="preserve">PARTE V: REPORTES MRV</w:t>
      </w:r>
    </w:p>
    <w:bookmarkStart w:id="42" w:name="reporte-indicadores-año-template"/>
    <w:p>
      <w:pPr>
        <w:pStyle w:val="Heading3"/>
      </w:pPr>
      <w:r>
        <w:t xml:space="preserve">19. Reporte Indicadores-Año (template)</w:t>
      </w:r>
    </w:p>
    <w:bookmarkEnd w:id="42"/>
    <w:bookmarkStart w:id="43" w:name="reporte-de-seguimiento-template"/>
    <w:p>
      <w:pPr>
        <w:pStyle w:val="Heading3"/>
      </w:pPr>
      <w:r>
        <w:t xml:space="preserve">20. Reporte de Seguimiento (template)</w:t>
      </w:r>
    </w:p>
    <w:bookmarkEnd w:id="43"/>
    <w:bookmarkStart w:id="44" w:name="reporte-reducciones-gei-template"/>
    <w:p>
      <w:pPr>
        <w:pStyle w:val="Heading3"/>
      </w:pPr>
      <w:r>
        <w:t xml:space="preserve">21. Reporte Reducciones GEI (template)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parte-vi-anexos"/>
    <w:p>
      <w:pPr>
        <w:pStyle w:val="Heading2"/>
      </w:pPr>
      <w:r>
        <w:t xml:space="preserve">PARTE VI: ANEXOS</w:t>
      </w:r>
    </w:p>
    <w:bookmarkStart w:id="46" w:name="ejemplos-numéricos"/>
    <w:p>
      <w:pPr>
        <w:pStyle w:val="Heading3"/>
      </w:pPr>
      <w:r>
        <w:t xml:space="preserve">22. Ejemplos numéricos</w:t>
      </w:r>
    </w:p>
    <w:bookmarkEnd w:id="46"/>
    <w:bookmarkStart w:id="47" w:name="plantillas-excel"/>
    <w:p>
      <w:pPr>
        <w:pStyle w:val="Heading3"/>
      </w:pPr>
      <w:r>
        <w:t xml:space="preserve">23. Plantillas Excel</w:t>
      </w:r>
    </w:p>
    <w:bookmarkEnd w:id="47"/>
    <w:bookmarkStart w:id="48" w:name="historial-de-actualizaciones"/>
    <w:p>
      <w:pPr>
        <w:pStyle w:val="Heading3"/>
      </w:pPr>
      <w:r>
        <w:t xml:space="preserve">24. Historial de actualizaciones</w:t>
      </w:r>
    </w:p>
    <w:bookmarkEnd w:id="48"/>
    <w:bookmarkStart w:id="49" w:name="contactos-institucionales"/>
    <w:p>
      <w:pPr>
        <w:pStyle w:val="Heading3"/>
      </w:pPr>
      <w:r>
        <w:t xml:space="preserve">25. Contactos institucionales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2025-11-17T14:22:32Z</dcterms:created>
  <dcterms:modified xsi:type="dcterms:W3CDTF">2025-11-17T14:22:32Z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