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Legal logging in the tropics is typically governed by simple rules that set a minimum cutting diameter and a minimum cutting cycle of 25-35 years</w:t>
      </w:r>
      <w:r>
        <w:t xml:space="preserve"> </w:t>
      </w:r>
      <w:r>
        <w:t xml:space="preserve">(Putz et al., 2008)</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(Sist and Ferreira, 2007)</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Gardingen et al., 2006; Keller et al., 2004; Phillips et al., 2004; Schulze et al., 2008; Sist and Ferreira, 2007)</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BodyText"/>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(Matricardi et al., 2020)</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(Piponiot et al., 2019; Putz et al., 2012)</w:t>
      </w:r>
      <w:r>
        <w:t xml:space="preserve">, decreasing the likelihood of their meeting the demand for timber.</w:t>
      </w:r>
    </w:p>
    <w:p>
      <w:pPr>
        <w:pStyle w:val="BodyText"/>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BodyText"/>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(SFB, 2019a; Vidal et al., 2020)</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forest concessions in the Brazilian Amazon (Figure</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 [REF: Miranda 2020], indigenous territories or military areas (as defined in</w:t>
      </w:r>
      <w:r>
        <w:t xml:space="preserve"> </w:t>
      </w:r>
      <w:r>
        <w:t xml:space="preserve">SFB (2019a)</w:t>
      </w:r>
      <w:r>
        <w:t xml:space="preserve">, p. 112; Figure</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 xxx explanation.</w:t>
      </w:r>
    </w:p>
    <w:p>
      <w:pPr>
        <w:pStyle w:val="CaptionedFigure"/>
      </w:pPr>
      <w:r>
        <w:drawing>
          <wp:inline>
            <wp:extent cx="5334000" cy="3333750"/>
            <wp:effectExtent b="0" l="0" r="0" t="0"/>
            <wp:docPr descr="Figure 1: Forest concessions in the Brazilian Amazon. Current federal concessions are in red; potential concessions (public forests designated for sustainable use) are in blue [retrieved from Brazilian Forest Service and IDEFLOR websites (IDEFLOR-BIO, 2021; SFB, 2020, 2019b)]."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(IDEFLOR-BIO, 2021; SFB, 2020, 2019b)</w:t>
      </w:r>
      <w:r>
        <w:t xml:space="preserve">].</w:t>
      </w:r>
    </w:p>
    <w:p>
      <w:pPr>
        <w:pStyle w:val="Heading2"/>
      </w:pPr>
      <w:bookmarkStart w:id="24" w:name="the-vdde-model"/>
      <w:r>
        <w:t xml:space="preserve">The VDDE model</w:t>
      </w:r>
      <w:bookmarkEnd w:id="24"/>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BodyText"/>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(Piponiot et al., 2019; Sist et al., 2015)</w:t>
      </w:r>
      <w:r>
        <w:t xml:space="preserve">. Predictions of commercial volume recovery rates thereby vary with location.</w:t>
      </w:r>
    </w:p>
    <w:p>
      <w:pPr>
        <w:pStyle w:val="BodyText"/>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BodyText"/>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(Piponiot et al., 2019; Verissimo et al., 2006)</w:t>
      </w:r>
      <w:r>
        <w:t xml:space="preserve">.</w:t>
      </w:r>
    </w:p>
    <w:p>
      <w:pPr>
        <w:pStyle w:val="BodyText"/>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Heading2"/>
      </w:pPr>
      <w:bookmarkStart w:id="25" w:name="testing-scenarios"/>
      <w:r>
        <w:t xml:space="preserve">Testing scenarios</w:t>
      </w:r>
      <w:bookmarkEnd w:id="25"/>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maintained timber production, i.e. the time before timber stocks become insufficient to maintain a constant timber production as illustrated in Figure</w:t>
      </w:r>
      <w:r>
        <w:t xml:space="preserve">2</w:t>
      </w:r>
      <w:r>
        <w:t xml:space="preserve">. This maintained production is different from sustained timber production which theoretically shows a constant timber yield and stock over time (Figure</w:t>
      </w:r>
      <w:r>
        <w:t xml:space="preserve">2</w:t>
      </w:r>
      <w:r>
        <w:t xml:space="preserve">).</w:t>
      </w:r>
    </w:p>
    <w:p>
      <w:pPr>
        <w:pStyle w:val="CaptionedFigure"/>
      </w:pPr>
      <w:r>
        <w:drawing>
          <wp:inline>
            <wp:extent cx="5334000" cy="26670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w:t>
      </w:r>
      <m:oMath>
        <m:sSub>
          <m:e>
            <m:r>
              <m:t>ω</m:t>
            </m:r>
          </m:e>
          <m:sub>
            <m:r>
              <m:t>0</m:t>
            </m:r>
          </m:sub>
        </m:sSub>
      </m:oMath>
      <w:r>
        <w:t xml:space="preserve">)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Compact"/>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r>
              <m:t>1</m:t>
            </m:r>
          </m:sup>
        </m:sSup>
      </m:oMath>
      <w:r>
        <w:t xml:space="preserve">); logging cycle length (yr). The last column is the duration of constant timber production in potential concession areas, as the median value of all iterations, followed by the 95% credibility interval (between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1524"/>
        <w:gridCol w:w="1254"/>
        <w:gridCol w:w="266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 volume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intensity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 cycle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Duration of maintained prod.</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(35 - 105)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yr (35 - 385)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540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yr (60 - 300)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(35 - 70)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(60 - 120)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yr (20 - 520)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(70 -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(960 -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yr (35 - 350)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780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(35 - 175)</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yr (60 - 480)</w:t>
            </w:r>
          </w:p>
        </w:tc>
      </w:tr>
    </w:tbl>
    <w:p>
      <w:pPr>
        <w:pStyle w:val="CaptionedFigure"/>
      </w:pPr>
      <w:r>
        <w:drawing>
          <wp:inline>
            <wp:extent cx="5334000" cy="3809999"/>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he scenario extracting 10 m^3ha^{-1} every 60 years with a proportion of commercial timber of 90 % (top and bottom right figure, green line) is the most sustainable scenario with a median duration &gt; 1000 years and an almost constant commercial timber stock."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 The scenario extracting 10 m</w:t>
      </w:r>
      <m:oMath>
        <m:sSup>
          <m:e>
            <m:r>
              <m:t>​</m:t>
            </m:r>
          </m:e>
          <m:sup>
            <m:r>
              <m:t>3</m:t>
            </m:r>
          </m:sup>
        </m:sSup>
      </m:oMath>
      <w:r>
        <w:t xml:space="preserve">ha</w:t>
      </w:r>
      <m:oMath>
        <m:sSup>
          <m:e>
            <m:r>
              <m:t>​</m:t>
            </m:r>
          </m:e>
          <m:sup>
            <m:r>
              <m:t>−</m:t>
            </m:r>
            <m:r>
              <m:t>1</m:t>
            </m:r>
          </m:sup>
        </m:sSup>
      </m:oMath>
      <w:r>
        <w:t xml:space="preserve"> </w:t>
      </w:r>
      <w:r>
        <w:t xml:space="preserve">every 60 years with a proportion of commercial timber of 90 % (top and bottom right figure, green line) is the most sustainable scenario with a median duration &gt; 1000 years and an almost constant commercial timber stock.</w:t>
      </w:r>
    </w:p>
    <w:p>
      <w:pPr>
        <w:pStyle w:val="BodyText"/>
      </w:pPr>
      <w:r>
        <w:t xml:space="preserve">None of the scenarios with an initial commercial volume proportion of 20% are sustainable after the first logging cycle (Figure</w:t>
      </w:r>
      <w:r>
        <w:t xml:space="preserve">3</w:t>
      </w:r>
      <w:r>
        <w:t xml:space="preserve">; Table</w:t>
      </w:r>
      <w:r>
        <w:t xml:space="preserve"> </w:t>
      </w:r>
      <w:r>
        <w:t xml:space="preserve">1</w:t>
      </w:r>
      <w:r>
        <w:t xml:space="preserve">). The present logging practices in the Brazilian Amazon usually correspond to a proportion of commercial species around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(35 - 140) and 175 yr (35 - 350) when the proportion of commercial species is respectively 50% and 90%.</w:t>
      </w:r>
    </w:p>
    <w:p>
      <w:pPr>
        <w:pStyle w:val="BodyText"/>
      </w:pPr>
      <w:r>
        <w:t xml:space="preserve">Only 4 out of all 27 scenarios (bold rows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Figure</w:t>
      </w:r>
      <w:r>
        <w:t xml:space="preserve">4</w:t>
      </w:r>
      <w:r>
        <w:t xml:space="preserve">). Three of these scenarios have an initial proportion of commercial volume of 90%, and three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BodyText"/>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(SFB, 2019a; Vidal et al., 2020)</w:t>
      </w:r>
      <w:r>
        <w:t xml:space="preserve">. Current concessions cannot come close to satisfying this demand for even one cycle under any scenario (Figure</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(Figure</w:t>
      </w:r>
      <w:r>
        <w:t xml:space="preserve">3</w:t>
      </w:r>
      <w:r>
        <w:t xml:space="preserve">). Under such conditions, the maximum duration of maintained production is 40 yr (20 - 80) (Figure</w:t>
      </w:r>
      <w:r>
        <w:t xml:space="preserve">3</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(Figure</w:t>
      </w:r>
      <w:r>
        <w:t xml:space="preserve">3</w:t>
      </w:r>
      <w:r>
        <w:t xml:space="preserve">).</w:t>
      </w:r>
    </w:p>
    <w:p>
      <w:pPr>
        <w:pStyle w:val="BodyText"/>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initial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(Figure</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during the first 250 years (Figure</w:t>
      </w:r>
      <w:r>
        <w:t xml:space="preserve">3</w:t>
      </w:r>
      <w:r>
        <w:t xml:space="preserve">) use logging intensities of 10 and 30 m</w:t>
      </w:r>
      <m:oMath>
        <m:sSup>
          <m:e>
            <m:r>
              <m:t>​</m:t>
            </m:r>
          </m:e>
          <m:sup>
            <m:r>
              <m:t>3</m:t>
            </m:r>
          </m:sup>
        </m:sSup>
      </m:oMath>
      <w:r>
        <w:t xml:space="preserve">.ha</w:t>
      </w:r>
      <m:oMath>
        <m:sSup>
          <m:e>
            <m:r>
              <m:t>​</m:t>
            </m:r>
          </m:e>
          <m:sup>
            <m:r>
              <m:t>−</m:t>
            </m:r>
            <m:r>
              <m:t>1</m:t>
            </m:r>
          </m:sup>
        </m:sSup>
      </m:oMath>
      <w:r>
        <w:t xml:space="preserve"> </w:t>
      </w:r>
      <w:r>
        <w:t xml:space="preserve">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 Mm</w:t>
      </w:r>
      <m:oMath>
        <m:sSup>
          <m:e>
            <m:r>
              <m:t>​</m:t>
            </m:r>
          </m:e>
          <m:sup>
            <m:r>
              <m:t>3</m:t>
            </m:r>
          </m:sup>
        </m:sSup>
      </m:oMath>
      <w:r>
        <w:t xml:space="preserve">.yr</w:t>
      </w:r>
      <m:oMath>
        <m:sSup>
          <m:e>
            <m:r>
              <m:t>​</m:t>
            </m:r>
          </m:e>
          <m:sup>
            <m:r>
              <m:t>−</m:t>
            </m:r>
            <m:r>
              <m:t>1</m:t>
            </m:r>
          </m:sup>
        </m:sSup>
      </m:oMath>
      <w:r>
        <w:t xml:space="preserve"> </w:t>
      </w:r>
      <w:r>
        <w:t xml:space="preserve">but cannot be maintained after the first logging cycle (Figure</w:t>
      </w:r>
      <w:r>
        <w:t xml:space="preserve">3</w:t>
      </w:r>
      <w:r>
        <w:t xml:space="preserve">).</w:t>
      </w:r>
    </w:p>
    <w:p>
      <w:pPr>
        <w:pStyle w:val="Heading1"/>
      </w:pPr>
      <w:bookmarkStart w:id="30" w:name="discussion"/>
      <w:r>
        <w:t xml:space="preserve">Discussion</w:t>
      </w:r>
      <w:bookmarkEnd w:id="30"/>
    </w:p>
    <w:p>
      <w:pPr>
        <w:pStyle w:val="Compact"/>
        <w:numPr>
          <w:numId w:val="1001"/>
          <w:ilvl w:val="0"/>
        </w:numPr>
      </w:pPr>
      <w:r>
        <w:t xml:space="preserve">methods: optimistic hypotheses -&gt; to be considered when interpreting results -&gt; Camille</w:t>
      </w:r>
    </w:p>
    <w:p>
      <w:pPr>
        <w:pStyle w:val="Compact"/>
        <w:numPr>
          <w:numId w:val="1001"/>
          <w:ilvl w:val="0"/>
        </w:numPr>
      </w:pPr>
      <w:r>
        <w:t xml:space="preserve">plots with some form of RIL (similar to concession system: good)</w:t>
      </w:r>
    </w:p>
    <w:p>
      <w:pPr>
        <w:pStyle w:val="Compact"/>
        <w:numPr>
          <w:numId w:val="1001"/>
          <w:ilvl w:val="0"/>
        </w:numPr>
      </w:pPr>
      <w:r>
        <w:t xml:space="preserve">long recovery of</w:t>
      </w:r>
    </w:p>
    <w:p>
      <w:pPr>
        <w:pStyle w:val="FirstParagraph"/>
      </w:pPr>
      <w:r>
        <w:t xml:space="preserve">According to the results of our simulations, several challenges need to be addressed to achieve sustainable timber production in concession systems in the Brazilian Amazon. The first and simplest solution could be to lengthen minimum logging cycles and reduce maximum logging intensities, in order to get closer to our scenario with 10 m</w:t>
      </w:r>
      <m:oMath>
        <m:sSup>
          <m:e>
            <m:r>
              <m:t>​</m:t>
            </m:r>
          </m:e>
          <m:sup>
            <m:r>
              <m:t>3</m:t>
            </m:r>
          </m:sup>
        </m:sSup>
      </m:oMath>
      <w:r>
        <w:t xml:space="preserve">.ha</w:t>
      </w:r>
      <m:oMath>
        <m:sSup>
          <m:e>
            <m:r>
              <m:t>​</m:t>
            </m:r>
          </m:e>
          <m:sup>
            <m:r>
              <m:t>−</m:t>
            </m:r>
            <m:r>
              <m:t>1</m:t>
            </m:r>
          </m:sup>
        </m:sSup>
      </m:oMath>
      <w:r>
        <w:t xml:space="preserve"> </w:t>
      </w:r>
      <w:r>
        <w:t xml:space="preserve">of timber harvested every 60 years.</w:t>
      </w:r>
    </w:p>
    <w:p>
      <w:pPr>
        <w:pStyle w:val="BodyText"/>
      </w:pPr>
      <w:r>
        <w:t xml:space="preserve">Changing the harvest limits would begin to address the sustained yields question, but would also decrease the annual timber production for the same area. Moreover, even the most intensive scenarios, the area of current concessions is obviously insufficient to reach an annual production of 11 Mm</w:t>
      </w:r>
      <m:oMath>
        <m:sSup>
          <m:e>
            <m:r>
              <m:t>​</m:t>
            </m:r>
          </m:e>
          <m:sup>
            <m:r>
              <m:t>3</m:t>
            </m:r>
          </m:sup>
        </m:sSup>
      </m:oMath>
      <w:r>
        <w:t xml:space="preserve">.yr</w:t>
      </w:r>
      <m:oMath>
        <m:sSup>
          <m:e>
            <m:r>
              <m:t>​</m:t>
            </m:r>
          </m:e>
          <m:sup>
            <m:r>
              <m:t>−</m:t>
            </m:r>
            <m:r>
              <m:t>1</m:t>
            </m:r>
          </m:sup>
        </m:sSup>
      </m:oMath>
      <w:r>
        <w:t xml:space="preserve">. Increasing the area of concessions is thus a priority if concessions are to meet the timber demand for the Amazon.</w:t>
      </w:r>
      <w:r>
        <w:t xml:space="preserve"> </w:t>
      </w:r>
      <w:r>
        <w:rPr>
          <w:i/>
        </w:rPr>
        <w:t xml:space="preserve">increasing the area of concessions: current trends, challenges and opportunities?</w:t>
      </w:r>
      <w:r>
        <w:rPr>
          <w:i/>
        </w:rPr>
        <w:t xml:space="preserve"> </w:t>
      </w:r>
      <w:r>
        <w:t xml:space="preserve"> </w:t>
      </w:r>
      <w:r>
        <w:t xml:space="preserve">However, even when the 35 Mha of the potential concession area of 35 Mha show strong limitation to ensure an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pStyle w:val="BodyText"/>
      </w:pPr>
      <w:r>
        <w:t xml:space="preserve">The last, and probably the most important challenge is to increase the list of commercial species to harvest at least 50% of the volume from trees</w:t>
      </w:r>
      <w:r>
        <w:t xml:space="preserve"> </w:t>
      </w:r>
      <m:oMath>
        <m:r>
          <m:t>≥</m:t>
        </m:r>
      </m:oMath>
      <w:r>
        <w:t xml:space="preserve"> </w:t>
      </w:r>
      <w:r>
        <w:t xml:space="preserve">50 cm DBH, and ideally 90%. The study from</w:t>
      </w:r>
      <w:r>
        <w:t xml:space="preserve"> </w:t>
      </w:r>
      <w:r>
        <w:t xml:space="preserve">Piponiot et al. (2019)</w:t>
      </w:r>
      <w:r>
        <w:t xml:space="preserve"> </w:t>
      </w:r>
      <w:r>
        <w:t xml:space="preserve">showed that by considering all species that have been registered as commercial at least once, 80-95% of the volume trees</w:t>
      </w:r>
      <w:r>
        <w:t xml:space="preserve"> </w:t>
      </w:r>
      <m:oMath>
        <m:r>
          <m:t>≥</m:t>
        </m:r>
      </m:oMath>
      <w:r>
        <w:t xml:space="preserve"> </w:t>
      </w:r>
      <w:r>
        <w:t xml:space="preserve">50 cm DBH in a network of plots covering the Brazilian Amazon could have commercial value</w:t>
      </w:r>
      <w:r>
        <w:t xml:space="preserve"> </w:t>
      </w:r>
      <w:r>
        <w:t xml:space="preserve">(Brazil, 1973)</w:t>
      </w:r>
      <w:r>
        <w:t xml:space="preserve">. This result is encouraging, but it could mean that in the list of commercial species, some may have lower mechanical properties and market prices than the high-value species that were harvested in the first logging cycle. The harvesting and valuation of these new species must involve drastic changes in the entire wood supply chain. One of the first barriers is at the sawmill level: processing a large variety of species with different mechanical properties can pose some technical challenges for sawmills [REF]. In addition, only about 40% of the volume entering the sawmill is processed into lumber, and most of the remaining material is burned or left unused</w:t>
      </w:r>
      <w:r>
        <w:t xml:space="preserve"> </w:t>
      </w:r>
      <w:r>
        <w:t xml:space="preserve">(De Lima et al., 2020; Pereira et al., 2010)</w:t>
      </w:r>
      <w:r>
        <w:t xml:space="preserve">. Improving the efficiency and diversification of sawmills could therefore help to meet the demand for wood in the Amazon. Changing consumer habits is also a powerful lever to increase the commercial value of some lesser-known wood species, and has been the goal of some advertising campaigns by environmental NGOs</w:t>
      </w:r>
      <w:r>
        <w:t xml:space="preserve"> </w:t>
      </w:r>
      <w:r>
        <w:t xml:space="preserve">(FSC, 2016)</w:t>
      </w:r>
      <w:r>
        <w:t xml:space="preserve">.</w:t>
      </w:r>
    </w:p>
    <w:p>
      <w:pPr>
        <w:pStyle w:val="BodyText"/>
      </w:pPr>
      <w:r>
        <w:t xml:space="preserve">However, it is unlikely that consumers would be willing to pay high prices for these lesser-known wood species. This, combined with lower harvesting intensities, could hinder the profitability of selective harvesting. In addition, logging concession operators compete with illegal loggers who do not comply with official logging regulations and do not pay taxes, and can therefore sell their timber at low prices. The economic and ecological sustainability of logging is therefore closely linked to the enforcement of logging regulations and the fight against illegal logging.</w:t>
      </w:r>
    </w:p>
    <w:p>
      <w:pPr>
        <w:pStyle w:val="Compact"/>
        <w:numPr>
          <w:numId w:val="1002"/>
          <w:ilvl w:val="0"/>
        </w:numPr>
      </w:pPr>
      <w:r>
        <w:t xml:space="preserve">initiating a forest transition -&gt; new ways of producing timber: plantations, active restoration, silviculture</w:t>
      </w:r>
    </w:p>
    <w:p>
      <w:pPr>
        <w:pStyle w:val="FirstParagraph"/>
      </w:pPr>
      <w:r>
        <w:t xml:space="preserve">One of the main barriers to timber recovery is that in most cases harvested species are long to recover because in the abscence of any human intervention, individual from other species, and in some cases lianas, can take advantage of increased light availability in logging gaps and replace those commercial species. [refs?]. For this reason, many silvicultural treatments have been developped to remove trees (or lianas) overtopping future crop trees, e.g. by poison girdling the overtopping tree [REF]. These treatments have been shown to increase post-logging timber recovery, and can sometimes be done at reasonable prices</w:t>
      </w:r>
      <w:r>
        <w:t xml:space="preserve"> </w:t>
      </w:r>
      <w:r>
        <w:t xml:space="preserve">(Mills et al., 2019; Roopsind et al., 2018)</w:t>
      </w:r>
      <w:r>
        <w:t xml:space="preserve"> </w:t>
      </w:r>
      <w:r>
        <w:t xml:space="preserve">[other refs]. These treatments have however rarely been applied in the tropics [REF], reasons xxx [REF]. There is thus a need to evaluate the potential of silvicultural treatments for increasing timber production in forest concessions.</w:t>
      </w:r>
    </w:p>
    <w:p>
      <w:pPr>
        <w:pStyle w:val="Heading1"/>
      </w:pPr>
      <w:bookmarkStart w:id="31" w:name="references"/>
      <w:r>
        <w:t xml:space="preserve">References</w:t>
      </w:r>
      <w:bookmarkEnd w:id="31"/>
    </w:p>
    <w:bookmarkStart w:id="78" w:name="refs"/>
    <w:bookmarkStart w:id="32" w:name="ref-Alder2000"/>
    <w:p>
      <w:pPr>
        <w:pStyle w:val="Bibliography"/>
      </w:pPr>
      <w:r>
        <w:t xml:space="preserve">Alder, D., Silva, J., 2000. An empirical cohort model for management of TerraFirme forests in the Brazilian Amazon. Forest Ecology and Management 130, 141–157.</w:t>
      </w:r>
    </w:p>
    <w:bookmarkEnd w:id="32"/>
    <w:bookmarkStart w:id="34" w:name="ref-Bomfim2016"/>
    <w:p>
      <w:pPr>
        <w:pStyle w:val="Bibliography"/>
      </w:pPr>
      <w:r>
        <w:t xml:space="preserve">Bomfim, S.L. do, D’Avignon, A.L. de A., Souza, Á.N. de, Fontes, P.J.P. de, Joaquim, M.S., 2016. O potencial da concessão de florestas públicas para o desenvolvimento socioeconômico e geração de emprego na Amazônia Legal. Revista do Serviço Público 67, 649–670.</w:t>
      </w:r>
      <w:r>
        <w:t xml:space="preserve"> </w:t>
      </w:r>
      <w:hyperlink r:id="rId33">
        <w:r>
          <w:rPr>
            <w:rStyle w:val="Hyperlink"/>
          </w:rPr>
          <w:t xml:space="preserve">https://doi.org/10.21874/rsp.v67i4.759</w:t>
        </w:r>
      </w:hyperlink>
    </w:p>
    <w:bookmarkEnd w:id="34"/>
    <w:bookmarkStart w:id="36" w:name="ref-Brancalion2018"/>
    <w:p>
      <w:pPr>
        <w:pStyle w:val="Bibliography"/>
      </w:pPr>
      <w:r>
        <w:t xml:space="preserve">Brancalion, P.H.S., Almeida, D.R.A. de, Vidal, E., Molin, P.G., Sontag, V.E., Souza, S.E.X.F., Schulze, M.D., 2018. Fake legal logging in the Brazilian Amazon. Science Advances 4, eaat1192.</w:t>
      </w:r>
      <w:r>
        <w:t xml:space="preserve"> </w:t>
      </w:r>
      <w:hyperlink r:id="rId35">
        <w:r>
          <w:rPr>
            <w:rStyle w:val="Hyperlink"/>
          </w:rPr>
          <w:t xml:space="preserve">https://doi.org/10.1126/sciadv.aat1192</w:t>
        </w:r>
      </w:hyperlink>
    </w:p>
    <w:bookmarkEnd w:id="36"/>
    <w:bookmarkStart w:id="37"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p>
    <w:bookmarkEnd w:id="37"/>
    <w:bookmarkStart w:id="38" w:name="ref-radam"/>
    <w:p>
      <w:pPr>
        <w:pStyle w:val="Bibliography"/>
      </w:pPr>
      <w:r>
        <w:t xml:space="preserve">Brazil, 1973. Projeto RadamBrasil. Levantamento de Recursos Naturais., in: Ministério Das Minas E Energia. Departamento Nacional de Produção Mineral, Rio de Janeiro, Brazil.</w:t>
      </w:r>
    </w:p>
    <w:bookmarkEnd w:id="38"/>
    <w:bookmarkStart w:id="40" w:name="ref-DeLima2020"/>
    <w:p>
      <w:pPr>
        <w:pStyle w:val="Bibliography"/>
      </w:pPr>
      <w:r>
        <w:t xml:space="preserve">De Lima, R.B., Ferreira, R.L.C., Da Silva, J.A.A., Guedes, M.C., Da Silva, D.A.S., Oliveira, C.P.D., Rabelo, F.G., Silva, L.F.D.C., 2020. Effect of species and log diameter on the volumetric yield of lumber in northern Brazilian Amazonia: preliminary results. Journal of Sustainable Forestry 39, 283–299.</w:t>
      </w:r>
      <w:r>
        <w:t xml:space="preserve"> </w:t>
      </w:r>
      <w:hyperlink r:id="rId39">
        <w:r>
          <w:rPr>
            <w:rStyle w:val="Hyperlink"/>
          </w:rPr>
          <w:t xml:space="preserve">https://doi.org/10.1080/10549811.2019.1636661</w:t>
        </w:r>
      </w:hyperlink>
    </w:p>
    <w:bookmarkEnd w:id="40"/>
    <w:bookmarkStart w:id="42" w:name="ref-Finer2014"/>
    <w:p>
      <w:pPr>
        <w:pStyle w:val="Bibliography"/>
      </w:pPr>
      <w:r>
        <w:t xml:space="preserve">Finer, M., Jenkins, C.N., Sky, M.A.B., Pine, J., 2014. Logging Concessions Enable Illegal Logging Crisis in the Peruvian Amazon. Scientific reports 4, 1–6.</w:t>
      </w:r>
      <w:r>
        <w:t xml:space="preserve"> </w:t>
      </w:r>
      <w:hyperlink r:id="rId41">
        <w:r>
          <w:rPr>
            <w:rStyle w:val="Hyperlink"/>
          </w:rPr>
          <w:t xml:space="preserve">https://doi.org/10.1038/srep04719</w:t>
        </w:r>
      </w:hyperlink>
    </w:p>
    <w:bookmarkEnd w:id="42"/>
    <w:bookmarkStart w:id="43" w:name="ref-FSC2016"/>
    <w:p>
      <w:pPr>
        <w:pStyle w:val="Bibliography"/>
      </w:pPr>
      <w:r>
        <w:t xml:space="preserve">FSC, 2016. Lesser Known Timber Species.</w:t>
      </w:r>
    </w:p>
    <w:bookmarkEnd w:id="43"/>
    <w:bookmarkStart w:id="45" w:name="ref-VanGardingen2006"/>
    <w:p>
      <w:pPr>
        <w:pStyle w:val="Bibliography"/>
      </w:pPr>
      <w:r>
        <w:t xml:space="preserve">Gardingen, P.R. van, Valle, D., Thompson, I., 2006. Evaluation of yield regulation options for primary forest in Tapaj??s National Forest, Brazil. Forest Ecology and Management 231, 184–195.</w:t>
      </w:r>
      <w:r>
        <w:t xml:space="preserve"> </w:t>
      </w:r>
      <w:hyperlink r:id="rId44">
        <w:r>
          <w:rPr>
            <w:rStyle w:val="Hyperlink"/>
          </w:rPr>
          <w:t xml:space="preserve">https://doi.org/10.1016/j.foreco.2006.05.047</w:t>
        </w:r>
      </w:hyperlink>
    </w:p>
    <w:bookmarkEnd w:id="45"/>
    <w:bookmarkStart w:id="46" w:name="ref-IDEFLOR2020"/>
    <w:p>
      <w:pPr>
        <w:pStyle w:val="Bibliography"/>
      </w:pPr>
      <w:r>
        <w:t xml:space="preserve">IDEFLOR-BIO, 2021. Contratos de Concessão Florestal.</w:t>
      </w:r>
    </w:p>
    <w:bookmarkEnd w:id="46"/>
    <w:bookmarkStart w:id="48" w:name="ref-Keller2004"/>
    <w:p>
      <w:pPr>
        <w:pStyle w:val="Bibliography"/>
      </w:pPr>
      <w:r>
        <w:t xml:space="preserve">Keller, M., Palace, M., Asner, G.P., Pereira, R., Silva, J.N.M., 2004. Coarse woody debris in undisturbed and logged forests in the eastern Brazilian Amazon. Global Change Biology 10, 784–795.</w:t>
      </w:r>
      <w:r>
        <w:t xml:space="preserve"> </w:t>
      </w:r>
      <w:hyperlink r:id="rId47">
        <w:r>
          <w:rPr>
            <w:rStyle w:val="Hyperlink"/>
          </w:rPr>
          <w:t xml:space="preserve">https://doi.org/10.1111/j.1529-8817.2003.00770.x</w:t>
        </w:r>
      </w:hyperlink>
    </w:p>
    <w:bookmarkEnd w:id="48"/>
    <w:bookmarkStart w:id="50" w:name="ref-Matricardi2020"/>
    <w:p>
      <w:pPr>
        <w:pStyle w:val="Bibliography"/>
      </w:pPr>
      <w:r>
        <w:t xml:space="preserve">Matricardi, E.A.T., Skole, D.L., Costa, O.B., Pedlowski, M.A., Samek, J.H., Miguel, E.P., 2020. Long-term forest degradation surpasses deforestation in the Brazilian Amazon. Science 369, 1378–1382.</w:t>
      </w:r>
      <w:r>
        <w:t xml:space="preserve"> </w:t>
      </w:r>
      <w:hyperlink r:id="rId49">
        <w:r>
          <w:rPr>
            <w:rStyle w:val="Hyperlink"/>
          </w:rPr>
          <w:t xml:space="preserve">https://doi.org/10.1126/SCIENCE.ABB3021</w:t>
        </w:r>
      </w:hyperlink>
    </w:p>
    <w:bookmarkEnd w:id="50"/>
    <w:bookmarkStart w:id="52" w:name="ref-Mills2019"/>
    <w:p>
      <w:pPr>
        <w:pStyle w:val="Bibliography"/>
      </w:pPr>
      <w:r>
        <w:t xml:space="preserve">Mills, D.J., Bohlman, S.A., Putz, F.E., Andreu, M.G., 2019. Liberation of future crop trees from lianas in Belize: Completeness, costs, and timber-yield benefits. Forest Ecology and Management 439, 97–104.</w:t>
      </w:r>
      <w:r>
        <w:t xml:space="preserve"> </w:t>
      </w:r>
      <w:hyperlink r:id="rId51">
        <w:r>
          <w:rPr>
            <w:rStyle w:val="Hyperlink"/>
          </w:rPr>
          <w:t xml:space="preserve">https://doi.org/10.1016/j.foreco.2019.02.023</w:t>
        </w:r>
      </w:hyperlink>
    </w:p>
    <w:bookmarkEnd w:id="52"/>
    <w:bookmarkStart w:id="53" w:name="ref-Pereira2010"/>
    <w:p>
      <w:pPr>
        <w:pStyle w:val="Bibliography"/>
      </w:pPr>
      <w:r>
        <w:t xml:space="preserve">Pereira, D., Santos, D., Vedovedo, M., Guimarães, J., Veríssimo, A., 2010. Fatos florestais da Amazônia 2010.</w:t>
      </w:r>
    </w:p>
    <w:bookmarkEnd w:id="53"/>
    <w:bookmarkStart w:id="55" w:name="ref-Phillips2004"/>
    <w:p>
      <w:pPr>
        <w:pStyle w:val="Bibliography"/>
      </w:pPr>
      <w:r>
        <w:t xml:space="preserve">Phillips, P.D., Azevedo, C.P. de, Degen, B., Thompson, I.S., Silva, J.N.M., Gardingen, P.R. van, 2004. An individual-based spatially explicit simulation model for strategic forest management planning in the eastern Amazon. Ecological Modelling 173, 335–354.</w:t>
      </w:r>
      <w:r>
        <w:t xml:space="preserve"> </w:t>
      </w:r>
      <w:hyperlink r:id="rId54">
        <w:r>
          <w:rPr>
            <w:rStyle w:val="Hyperlink"/>
          </w:rPr>
          <w:t xml:space="preserve">https://doi.org/10.1016/j.ecolmodel.2003.09.023</w:t>
        </w:r>
      </w:hyperlink>
    </w:p>
    <w:bookmarkEnd w:id="55"/>
    <w:bookmarkStart w:id="57" w:name="ref-Piponiot2018"/>
    <w:p>
      <w:pPr>
        <w:pStyle w:val="Bibliography"/>
      </w:pPr>
      <w:r>
        <w:t xml:space="preserve">Piponiot, C., Derroire, G., Descroix, L., Mazzei, L., Rutishauser, E., Sist, P., Hérault, B., 2018. Assessing timber volume recovery after disturbance in tropical forests – A new modelling framework. Ecological Modelling 384, 353–369.</w:t>
      </w:r>
      <w:r>
        <w:t xml:space="preserve"> </w:t>
      </w:r>
      <w:hyperlink r:id="rId56">
        <w:r>
          <w:rPr>
            <w:rStyle w:val="Hyperlink"/>
          </w:rPr>
          <w:t xml:space="preserve">https://doi.org/10.1016/j.ecolmodel.2018.05.023</w:t>
        </w:r>
      </w:hyperlink>
    </w:p>
    <w:bookmarkEnd w:id="57"/>
    <w:bookmarkStart w:id="59" w:name="ref-Piponiot2019"/>
    <w:p>
      <w:pPr>
        <w:pStyle w:val="Bibliography"/>
      </w:pPr>
      <w:r>
        <w:t xml:space="preserve">Piponiot, C., Rödig, E., Putz, F.E., Rutishauser, E., Sist, P., Ascarrunz, N., Blanc, L., Derroire, G., Descroix, L., Guedes, M.C., Coronado, E.H., Huth, A., Kanashiro, M., Licona, J.C., Mazzei, L., D’Oliveira, M.V.N., Peña-Claros, M., Rodney, K., Shenkin, A., Souza, C.R. de, Vidal, E., West, T.A.P., Wortel, V., Hérault, B., 2019. Can timber provision from Amazonian production forests be sustainable? Environmental Research Letters 14, 064014.</w:t>
      </w:r>
      <w:r>
        <w:t xml:space="preserve"> </w:t>
      </w:r>
      <w:hyperlink r:id="rId58">
        <w:r>
          <w:rPr>
            <w:rStyle w:val="Hyperlink"/>
          </w:rPr>
          <w:t xml:space="preserve">https://doi.org/10.1088/1748-9326/ab195e</w:t>
        </w:r>
      </w:hyperlink>
    </w:p>
    <w:bookmarkEnd w:id="59"/>
    <w:bookmarkStart w:id="61" w:name="ref-Potapov2017"/>
    <w:p>
      <w:pPr>
        <w:pStyle w:val="Bibliography"/>
      </w:pPr>
      <w:r>
        <w:t xml:space="preserve">Potapov, P., Hansen, M.C., Laestadius, L., Turubanova, S., Yaroshenko, A., Thies, C., Smith, W., Zhuravleva, I., Komarova, A., Minnemeyer, S., Esipova, E., 2017. The last frontiers of wilderness: Tracking loss of intact forest landscapes from 2000 to 2013. Science Advances 3, e1600821.</w:t>
      </w:r>
      <w:r>
        <w:t xml:space="preserve"> </w:t>
      </w:r>
      <w:hyperlink r:id="rId60">
        <w:r>
          <w:rPr>
            <w:rStyle w:val="Hyperlink"/>
          </w:rPr>
          <w:t xml:space="preserve">https://doi.org/10.1126/sciadv.1600821</w:t>
        </w:r>
      </w:hyperlink>
    </w:p>
    <w:bookmarkEnd w:id="61"/>
    <w:bookmarkStart w:id="63" w:name="ref-Putz2008"/>
    <w:p>
      <w:pPr>
        <w:pStyle w:val="Bibliography"/>
      </w:pPr>
      <w:r>
        <w:t xml:space="preserve">Putz, F.E., Sist, P., Fredericksen, T., Dykstra, D., 2008. Reduced-impact logging: Challenges and opportunities. Forest Ecology and Management 256, 1427–1433.</w:t>
      </w:r>
      <w:r>
        <w:t xml:space="preserve"> </w:t>
      </w:r>
      <w:hyperlink r:id="rId62">
        <w:r>
          <w:rPr>
            <w:rStyle w:val="Hyperlink"/>
          </w:rPr>
          <w:t xml:space="preserve">https://doi.org/10.1016/j.foreco.2008.03.036</w:t>
        </w:r>
      </w:hyperlink>
    </w:p>
    <w:bookmarkEnd w:id="63"/>
    <w:bookmarkStart w:id="65" w:name="ref-Putz2012"/>
    <w:p>
      <w:pPr>
        <w:pStyle w:val="Bibliography"/>
      </w:pPr>
      <w:r>
        <w:t xml:space="preserve">Putz, F.E., Zuidema, P.a., Synnott, T., Peña-Claros, M., Pinard, M.a., Sheil, D., Vanclay, J.K., Sist, P., Gourlet-Fleury, S., Griscom, B., Palmer, J., Zagt, R., 2012. Sustaining conservation values in selectively logged tropical forests: the attained and the attainable. Conservation Letters 5, 296–303.</w:t>
      </w:r>
      <w:r>
        <w:t xml:space="preserve"> </w:t>
      </w:r>
      <w:hyperlink r:id="rId64">
        <w:r>
          <w:rPr>
            <w:rStyle w:val="Hyperlink"/>
          </w:rPr>
          <w:t xml:space="preserve">https://doi.org/10.1111/j.1755-263X.2012.00242.x</w:t>
        </w:r>
      </w:hyperlink>
    </w:p>
    <w:bookmarkEnd w:id="65"/>
    <w:bookmarkStart w:id="67" w:name="ref-Roopsind2018"/>
    <w:p>
      <w:pPr>
        <w:pStyle w:val="Bibliography"/>
      </w:pPr>
      <w:r>
        <w:t xml:space="preserve">Roopsind, A., Caughlin, T.T., Hout, P. van der, Arets, E., Putz, F.E., 2018. Trade-offs between carbon stocks and timber recovery in tropical forests are mediated by logging intensity. Global Change Biology 2862–2874.</w:t>
      </w:r>
      <w:r>
        <w:t xml:space="preserve"> </w:t>
      </w:r>
      <w:hyperlink r:id="rId66">
        <w:r>
          <w:rPr>
            <w:rStyle w:val="Hyperlink"/>
          </w:rPr>
          <w:t xml:space="preserve">https://doi.org/10.1111/gcb.14155</w:t>
        </w:r>
      </w:hyperlink>
    </w:p>
    <w:bookmarkEnd w:id="67"/>
    <w:bookmarkStart w:id="68" w:name="ref-Schulze2008"/>
    <w:p>
      <w:pPr>
        <w:pStyle w:val="Bibliography"/>
      </w:pPr>
      <w:r>
        <w:t xml:space="preserve">Schulze, M., Grogan, J., Vidal, E., 2008. O manejo florestal como estratégia de conservação e desenvolvimento socioeconômico na Amazônia: quanto separa os sistemas de exploração madeireira atuais do conceito de manejo florestal sustentável?, in: O Manejo Da Paisagem E a Paisagem Do Manejo. pp. 161–213.</w:t>
      </w:r>
    </w:p>
    <w:bookmarkEnd w:id="68"/>
    <w:bookmarkStart w:id="69" w:name="ref-SFB2020"/>
    <w:p>
      <w:pPr>
        <w:pStyle w:val="Bibliography"/>
      </w:pPr>
      <w:r>
        <w:t xml:space="preserve">SFB, 2020. Documentos - Concessões florestais.</w:t>
      </w:r>
    </w:p>
    <w:bookmarkEnd w:id="69"/>
    <w:bookmarkStart w:id="70" w:name="ref-SFB2019"/>
    <w:p>
      <w:pPr>
        <w:pStyle w:val="Bibliography"/>
      </w:pPr>
      <w:r>
        <w:t xml:space="preserve">SFB, 2019a. Brazilian Forests at a glance: 2019. Serviço Florestal Brasileiro.</w:t>
      </w:r>
    </w:p>
    <w:bookmarkEnd w:id="70"/>
    <w:bookmarkStart w:id="71" w:name="ref-SFB2019a"/>
    <w:p>
      <w:pPr>
        <w:pStyle w:val="Bibliography"/>
      </w:pPr>
      <w:r>
        <w:t xml:space="preserve">SFB, 2019b. Cadastro Nacional de Florestas Públicas - Atualização 2019.</w:t>
      </w:r>
    </w:p>
    <w:bookmarkEnd w:id="71"/>
    <w:bookmarkStart w:id="73" w:name="ref-Sist2007"/>
    <w:p>
      <w:pPr>
        <w:pStyle w:val="Bibliography"/>
      </w:pPr>
      <w:r>
        <w:t xml:space="preserve">Sist, P., Ferreira, F.N., 2007. Sustainability of reduced-impact logging in the Eastern Amazon. Forest Ecology and Management 243, 199–209.</w:t>
      </w:r>
      <w:r>
        <w:t xml:space="preserve"> </w:t>
      </w:r>
      <w:hyperlink r:id="rId72">
        <w:r>
          <w:rPr>
            <w:rStyle w:val="Hyperlink"/>
          </w:rPr>
          <w:t xml:space="preserve">https://doi.org/10.1016/j.foreco.2007.02.014</w:t>
        </w:r>
      </w:hyperlink>
    </w:p>
    <w:bookmarkEnd w:id="73"/>
    <w:bookmarkStart w:id="75" w:name="ref-Sist2015"/>
    <w:p>
      <w:pPr>
        <w:pStyle w:val="Bibliography"/>
      </w:pPr>
      <w:r>
        <w:t xml:space="preserve">Sist, P., Rutishauser, E., Peña-Claros, M., Shenkin, A., Hérault, B., Blanc, L., Baraloto, C., Baya, F., Benedet, F., Silva, K.E. da, Descroix, L., Ferreira, J.N., Gourlet-Fleury, S., Guedes, M.C., Bin Harun, I., Jalonen, R., Kanashiro, M., Krisnawati, H., Kshatriya, M., Lincoln, P., Mazzei, L., Medjibé, V., Nasi, R., D’Oliveira, M.V.N., Oliveira, L.C. de, Picard, N., Pietsch, S., Pinard, M., Priyadi, H., Putz, F.E., Rodney, K., Rossi, V., Roopsind, A., Ruschel, A.R., Shari, N.H.Z., Rodrigues de Souza, C., Susanty, F.H., Sotta, E.D., Toledo, M., Vidal, E., West, T.A.P., Wortel, V., Yamada, T., 2015. The Tropical managed Forests Observatory: A research network addressing the future of tropical logged forests. Applied Vegetation Science 18, 171–174.</w:t>
      </w:r>
      <w:r>
        <w:t xml:space="preserve"> </w:t>
      </w:r>
      <w:hyperlink r:id="rId74">
        <w:r>
          <w:rPr>
            <w:rStyle w:val="Hyperlink"/>
          </w:rPr>
          <w:t xml:space="preserve">https://doi.org/10.1111/avsc.12125</w:t>
        </w:r>
      </w:hyperlink>
    </w:p>
    <w:bookmarkEnd w:id="75"/>
    <w:bookmarkStart w:id="76" w:name="ref-Verissimo2006"/>
    <w:p>
      <w:pPr>
        <w:pStyle w:val="Bibliography"/>
      </w:pPr>
      <w:r>
        <w:t xml:space="preserve">Verissimo, A., Souza Jr., C.M., Celentano, D., Salomão, R., Pereira, D., Balieiro, C., 2006. Areas para produção florestal manejada: detalhamento do macrozoneamento ecológico econômico do Estado do Pará.</w:t>
      </w:r>
    </w:p>
    <w:bookmarkEnd w:id="76"/>
    <w:bookmarkStart w:id="77" w:name="ref-Vidal2020"/>
    <w:p>
      <w:pPr>
        <w:pStyle w:val="Bibliography"/>
      </w:pPr>
      <w:r>
        <w:t xml:space="preserve">Vidal, E., West, T.A.P., Lentini, M., Souza, S.E.X.F., Klauberg, C., Waldhoff, P., 2020. Sustainable forest management (SFM) of tropical moist forests: the case of the Brazilian Amazon, in: Achieving Sustainable Management of Tropical Forests. pp. 1–31.</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54" Target="https://doi.org/10.1016/j.ecolmodel.2003.09.023" TargetMode="External" /><Relationship Type="http://schemas.openxmlformats.org/officeDocument/2006/relationships/hyperlink" Id="rId56" Target="https://doi.org/10.1016/j.ecolmodel.2018.05.023" TargetMode="External" /><Relationship Type="http://schemas.openxmlformats.org/officeDocument/2006/relationships/hyperlink" Id="rId44" Target="https://doi.org/10.1016/j.foreco.2006.05.047" TargetMode="External" /><Relationship Type="http://schemas.openxmlformats.org/officeDocument/2006/relationships/hyperlink" Id="rId72" Target="https://doi.org/10.1016/j.foreco.2007.02.014" TargetMode="External" /><Relationship Type="http://schemas.openxmlformats.org/officeDocument/2006/relationships/hyperlink" Id="rId62" Target="https://doi.org/10.1016/j.foreco.2008.03.036" TargetMode="External" /><Relationship Type="http://schemas.openxmlformats.org/officeDocument/2006/relationships/hyperlink" Id="rId51" Target="https://doi.org/10.1016/j.foreco.2019.02.023" TargetMode="External" /><Relationship Type="http://schemas.openxmlformats.org/officeDocument/2006/relationships/hyperlink" Id="rId41" Target="https://doi.org/10.1038/srep04719" TargetMode="External" /><Relationship Type="http://schemas.openxmlformats.org/officeDocument/2006/relationships/hyperlink" Id="rId39" Target="https://doi.org/10.1080/10549811.2019.1636661" TargetMode="External" /><Relationship Type="http://schemas.openxmlformats.org/officeDocument/2006/relationships/hyperlink" Id="rId58" Target="https://doi.org/10.1088/1748-9326/ab195e" TargetMode="External" /><Relationship Type="http://schemas.openxmlformats.org/officeDocument/2006/relationships/hyperlink" Id="rId74" Target="https://doi.org/10.1111/avsc.12125" TargetMode="External" /><Relationship Type="http://schemas.openxmlformats.org/officeDocument/2006/relationships/hyperlink" Id="rId66" Target="https://doi.org/10.1111/gcb.14155" TargetMode="External" /><Relationship Type="http://schemas.openxmlformats.org/officeDocument/2006/relationships/hyperlink" Id="rId47" Target="https://doi.org/10.1111/j.1529-8817.2003.00770.x" TargetMode="External" /><Relationship Type="http://schemas.openxmlformats.org/officeDocument/2006/relationships/hyperlink" Id="rId64" Target="https://doi.org/10.1111/j.1755-263X.2012.00242.x" TargetMode="External" /><Relationship Type="http://schemas.openxmlformats.org/officeDocument/2006/relationships/hyperlink" Id="rId49" Target="https://doi.org/10.1126/SCIENCE.ABB3021" TargetMode="External" /><Relationship Type="http://schemas.openxmlformats.org/officeDocument/2006/relationships/hyperlink" Id="rId60" Target="https://doi.org/10.1126/sciadv.1600821" TargetMode="External" /><Relationship Type="http://schemas.openxmlformats.org/officeDocument/2006/relationships/hyperlink" Id="rId35" Target="https://doi.org/10.1126/sciadv.aat1192" TargetMode="External" /><Relationship Type="http://schemas.openxmlformats.org/officeDocument/2006/relationships/hyperlink" Id="rId33" Target="https://doi.org/10.21874/rsp.v67i4.75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16/j.ecolmodel.2003.09.023" TargetMode="External" /><Relationship Type="http://schemas.openxmlformats.org/officeDocument/2006/relationships/hyperlink" Id="rId56" Target="https://doi.org/10.1016/j.ecolmodel.2018.05.023" TargetMode="External" /><Relationship Type="http://schemas.openxmlformats.org/officeDocument/2006/relationships/hyperlink" Id="rId44" Target="https://doi.org/10.1016/j.foreco.2006.05.047" TargetMode="External" /><Relationship Type="http://schemas.openxmlformats.org/officeDocument/2006/relationships/hyperlink" Id="rId72" Target="https://doi.org/10.1016/j.foreco.2007.02.014" TargetMode="External" /><Relationship Type="http://schemas.openxmlformats.org/officeDocument/2006/relationships/hyperlink" Id="rId62" Target="https://doi.org/10.1016/j.foreco.2008.03.036" TargetMode="External" /><Relationship Type="http://schemas.openxmlformats.org/officeDocument/2006/relationships/hyperlink" Id="rId51" Target="https://doi.org/10.1016/j.foreco.2019.02.023" TargetMode="External" /><Relationship Type="http://schemas.openxmlformats.org/officeDocument/2006/relationships/hyperlink" Id="rId41" Target="https://doi.org/10.1038/srep04719" TargetMode="External" /><Relationship Type="http://schemas.openxmlformats.org/officeDocument/2006/relationships/hyperlink" Id="rId39" Target="https://doi.org/10.1080/10549811.2019.1636661" TargetMode="External" /><Relationship Type="http://schemas.openxmlformats.org/officeDocument/2006/relationships/hyperlink" Id="rId58" Target="https://doi.org/10.1088/1748-9326/ab195e" TargetMode="External" /><Relationship Type="http://schemas.openxmlformats.org/officeDocument/2006/relationships/hyperlink" Id="rId74" Target="https://doi.org/10.1111/avsc.12125" TargetMode="External" /><Relationship Type="http://schemas.openxmlformats.org/officeDocument/2006/relationships/hyperlink" Id="rId66" Target="https://doi.org/10.1111/gcb.14155" TargetMode="External" /><Relationship Type="http://schemas.openxmlformats.org/officeDocument/2006/relationships/hyperlink" Id="rId47" Target="https://doi.org/10.1111/j.1529-8817.2003.00770.x" TargetMode="External" /><Relationship Type="http://schemas.openxmlformats.org/officeDocument/2006/relationships/hyperlink" Id="rId64" Target="https://doi.org/10.1111/j.1755-263X.2012.00242.x" TargetMode="External" /><Relationship Type="http://schemas.openxmlformats.org/officeDocument/2006/relationships/hyperlink" Id="rId49" Target="https://doi.org/10.1126/SCIENCE.ABB3021" TargetMode="External" /><Relationship Type="http://schemas.openxmlformats.org/officeDocument/2006/relationships/hyperlink" Id="rId60" Target="https://doi.org/10.1126/sciadv.1600821" TargetMode="External" /><Relationship Type="http://schemas.openxmlformats.org/officeDocument/2006/relationships/hyperlink" Id="rId35" Target="https://doi.org/10.1126/sciadv.aat1192" TargetMode="External" /><Relationship Type="http://schemas.openxmlformats.org/officeDocument/2006/relationships/hyperlink" Id="rId33" Target="https://doi.org/10.21874/rsp.v67i4.7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2021-02-25T18:11:15Z</dcterms:created>
  <dcterms:modified xsi:type="dcterms:W3CDTF">2021-02-25T18:11:15Z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csl">
    <vt:lpwstr>forest-ecology-and-management.csl</vt:lpwstr>
  </property>
  <property fmtid="{D5CDD505-2E9C-101B-9397-08002B2CF9AE}" pid="4" name="output">
    <vt:lpwstr/>
  </property>
</Properties>
</file>