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07AC6" w14:textId="77777777" w:rsidR="00796F88" w:rsidRDefault="00796F88" w:rsidP="00796F88">
      <w:r>
        <w:t>HTTP request</w:t>
      </w:r>
    </w:p>
    <w:p w14:paraId="3D72E807" w14:textId="77777777" w:rsidR="00796F88" w:rsidRPr="000F16CC" w:rsidRDefault="00796F88" w:rsidP="00796F88">
      <w:pPr>
        <w:rPr>
          <w:color w:val="0070C0"/>
        </w:rPr>
      </w:pPr>
      <w:r w:rsidRPr="000F16CC">
        <w:rPr>
          <w:color w:val="0070C0"/>
          <w:highlight w:val="magenta"/>
        </w:rPr>
        <w:t>/ref-data/symbols</w:t>
      </w:r>
    </w:p>
    <w:p w14:paraId="287D2328" w14:textId="7C3C362C" w:rsidR="00796F88" w:rsidRDefault="00796F88" w:rsidP="00796F88">
      <w:r>
        <w:t>Parameters</w:t>
      </w:r>
    </w:p>
    <w:tbl>
      <w:tblPr>
        <w:tblW w:w="0" w:type="auto"/>
        <w:shd w:val="clear" w:color="auto" w:fill="FFFFFF"/>
        <w:tblCellMar>
          <w:left w:w="420" w:type="dxa"/>
          <w:right w:w="420" w:type="dxa"/>
        </w:tblCellMar>
        <w:tblLook w:val="04A0" w:firstRow="1" w:lastRow="0" w:firstColumn="1" w:lastColumn="0" w:noHBand="0" w:noVBand="1"/>
      </w:tblPr>
      <w:tblGrid>
        <w:gridCol w:w="1381"/>
        <w:gridCol w:w="7979"/>
      </w:tblGrid>
      <w:tr w:rsidR="00796F88" w:rsidRPr="00796F88" w14:paraId="73D68F70" w14:textId="77777777" w:rsidTr="00796F88">
        <w:trPr>
          <w:tblHeader/>
        </w:trPr>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5F8A7BE2" w14:textId="77777777" w:rsidR="00796F88" w:rsidRPr="00796F88" w:rsidRDefault="00796F88" w:rsidP="00796F88">
            <w:pPr>
              <w:spacing w:after="240" w:line="240" w:lineRule="auto"/>
              <w:rPr>
                <w:rFonts w:ascii="Segoe UI" w:eastAsia="Times New Roman" w:hAnsi="Segoe UI" w:cs="Segoe UI"/>
                <w:b/>
                <w:bCs/>
                <w:color w:val="222222"/>
                <w:sz w:val="20"/>
                <w:szCs w:val="20"/>
              </w:rPr>
            </w:pPr>
            <w:r w:rsidRPr="00796F88">
              <w:rPr>
                <w:rFonts w:ascii="Segoe UI" w:eastAsia="Times New Roman" w:hAnsi="Segoe UI" w:cs="Segoe UI"/>
                <w:b/>
                <w:bCs/>
                <w:color w:val="222222"/>
                <w:sz w:val="20"/>
                <w:szCs w:val="20"/>
              </w:rPr>
              <w:t>Parameter</w:t>
            </w:r>
          </w:p>
        </w:tc>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5EBF8177" w14:textId="77777777" w:rsidR="00796F88" w:rsidRPr="00796F88" w:rsidRDefault="00796F88" w:rsidP="00796F88">
            <w:pPr>
              <w:spacing w:after="240" w:line="240" w:lineRule="auto"/>
              <w:rPr>
                <w:rFonts w:ascii="Segoe UI" w:eastAsia="Times New Roman" w:hAnsi="Segoe UI" w:cs="Segoe UI"/>
                <w:b/>
                <w:bCs/>
                <w:color w:val="222222"/>
                <w:sz w:val="20"/>
                <w:szCs w:val="20"/>
              </w:rPr>
            </w:pPr>
            <w:r w:rsidRPr="00796F88">
              <w:rPr>
                <w:rFonts w:ascii="Segoe UI" w:eastAsia="Times New Roman" w:hAnsi="Segoe UI" w:cs="Segoe UI"/>
                <w:b/>
                <w:bCs/>
                <w:color w:val="222222"/>
                <w:sz w:val="20"/>
                <w:szCs w:val="20"/>
              </w:rPr>
              <w:t>Details</w:t>
            </w:r>
          </w:p>
        </w:tc>
      </w:tr>
      <w:tr w:rsidR="00796F88" w:rsidRPr="00796F88" w14:paraId="160F00F3" w14:textId="77777777" w:rsidTr="00796F88">
        <w:tc>
          <w:tcPr>
            <w:tcW w:w="0" w:type="auto"/>
            <w:shd w:val="clear" w:color="auto" w:fill="FFFFFF"/>
            <w:tcMar>
              <w:top w:w="150" w:type="dxa"/>
              <w:left w:w="150" w:type="dxa"/>
              <w:bottom w:w="150" w:type="dxa"/>
              <w:right w:w="150" w:type="dxa"/>
            </w:tcMar>
            <w:hideMark/>
          </w:tcPr>
          <w:p w14:paraId="0949BA65"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b/>
                <w:bCs/>
                <w:color w:val="222222"/>
                <w:sz w:val="20"/>
                <w:szCs w:val="20"/>
              </w:rPr>
              <w:t>format</w:t>
            </w:r>
          </w:p>
        </w:tc>
        <w:tc>
          <w:tcPr>
            <w:tcW w:w="0" w:type="auto"/>
            <w:shd w:val="clear" w:color="auto" w:fill="FFFFFF"/>
            <w:tcMar>
              <w:top w:w="150" w:type="dxa"/>
              <w:left w:w="150" w:type="dxa"/>
              <w:bottom w:w="150" w:type="dxa"/>
              <w:right w:w="150" w:type="dxa"/>
            </w:tcMar>
            <w:hideMark/>
          </w:tcPr>
          <w:p w14:paraId="6C806E29"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color w:val="222222"/>
                <w:sz w:val="20"/>
                <w:szCs w:val="20"/>
              </w:rPr>
              <w:t>• Parameter is optional</w:t>
            </w:r>
            <w:r w:rsidRPr="00796F88">
              <w:rPr>
                <w:rFonts w:ascii="Segoe UI" w:eastAsia="Times New Roman" w:hAnsi="Segoe UI" w:cs="Segoe UI"/>
                <w:color w:val="222222"/>
                <w:sz w:val="20"/>
                <w:szCs w:val="20"/>
              </w:rPr>
              <w:br/>
              <w:t>• Value can only be </w:t>
            </w:r>
            <w:r w:rsidRPr="00796F88">
              <w:rPr>
                <w:rFonts w:ascii="Consolas" w:eastAsia="Times New Roman" w:hAnsi="Consolas" w:cs="Courier New"/>
                <w:color w:val="222222"/>
                <w:sz w:val="18"/>
                <w:szCs w:val="18"/>
              </w:rPr>
              <w:t>csv</w:t>
            </w:r>
            <w:r w:rsidRPr="00796F88">
              <w:rPr>
                <w:rFonts w:ascii="Segoe UI" w:eastAsia="Times New Roman" w:hAnsi="Segoe UI" w:cs="Segoe UI"/>
                <w:color w:val="222222"/>
                <w:sz w:val="20"/>
                <w:szCs w:val="20"/>
              </w:rPr>
              <w:br/>
              <w:t>• When parameter is not present, format defaults to JSON</w:t>
            </w:r>
          </w:p>
        </w:tc>
      </w:tr>
      <w:tr w:rsidR="00796F88" w:rsidRPr="00796F88" w14:paraId="7B8381BB" w14:textId="77777777" w:rsidTr="00796F88">
        <w:trPr>
          <w:tblHeader/>
        </w:trPr>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4D70390D" w14:textId="3972DC5A" w:rsidR="00796F88" w:rsidRPr="00796F88" w:rsidRDefault="00796F88" w:rsidP="00796F88">
            <w:pPr>
              <w:pStyle w:val="Heading3"/>
              <w:rPr>
                <w:color w:val="0070C0"/>
              </w:rPr>
            </w:pPr>
            <w:r w:rsidRPr="00796F88">
              <w:rPr>
                <w:color w:val="0070C0"/>
              </w:rPr>
              <w:t>Response</w:t>
            </w:r>
          </w:p>
          <w:p w14:paraId="5046FF9F" w14:textId="77777777" w:rsidR="00796F88" w:rsidRDefault="00796F88" w:rsidP="00796F88">
            <w:pPr>
              <w:spacing w:after="240" w:line="240" w:lineRule="auto"/>
              <w:rPr>
                <w:rFonts w:ascii="Segoe UI" w:eastAsia="Times New Roman" w:hAnsi="Segoe UI" w:cs="Segoe UI"/>
                <w:b/>
                <w:bCs/>
                <w:color w:val="222222"/>
                <w:sz w:val="20"/>
                <w:szCs w:val="20"/>
              </w:rPr>
            </w:pPr>
          </w:p>
          <w:p w14:paraId="2D60AC67" w14:textId="65498382" w:rsidR="00796F88" w:rsidRPr="00796F88" w:rsidRDefault="00796F88" w:rsidP="00796F88">
            <w:pPr>
              <w:spacing w:after="240" w:line="240" w:lineRule="auto"/>
              <w:rPr>
                <w:rFonts w:ascii="Segoe UI" w:eastAsia="Times New Roman" w:hAnsi="Segoe UI" w:cs="Segoe UI"/>
                <w:b/>
                <w:bCs/>
                <w:color w:val="222222"/>
                <w:sz w:val="20"/>
                <w:szCs w:val="20"/>
              </w:rPr>
            </w:pPr>
            <w:r w:rsidRPr="00796F88">
              <w:rPr>
                <w:rFonts w:ascii="Segoe UI" w:eastAsia="Times New Roman" w:hAnsi="Segoe UI" w:cs="Segoe UI"/>
                <w:b/>
                <w:bCs/>
                <w:color w:val="222222"/>
                <w:sz w:val="20"/>
                <w:szCs w:val="20"/>
              </w:rPr>
              <w:t>Key</w:t>
            </w:r>
          </w:p>
        </w:tc>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70C2C81A" w14:textId="77777777" w:rsidR="00796F88" w:rsidRPr="00796F88" w:rsidRDefault="00796F88" w:rsidP="00796F88">
            <w:pPr>
              <w:spacing w:after="240" w:line="240" w:lineRule="auto"/>
              <w:rPr>
                <w:rFonts w:ascii="Segoe UI" w:eastAsia="Times New Roman" w:hAnsi="Segoe UI" w:cs="Segoe UI"/>
                <w:b/>
                <w:bCs/>
                <w:color w:val="222222"/>
                <w:sz w:val="20"/>
                <w:szCs w:val="20"/>
              </w:rPr>
            </w:pPr>
            <w:r w:rsidRPr="00796F88">
              <w:rPr>
                <w:rFonts w:ascii="Segoe UI" w:eastAsia="Times New Roman" w:hAnsi="Segoe UI" w:cs="Segoe UI"/>
                <w:b/>
                <w:bCs/>
                <w:color w:val="222222"/>
                <w:sz w:val="20"/>
                <w:szCs w:val="20"/>
              </w:rPr>
              <w:t>Description</w:t>
            </w:r>
          </w:p>
        </w:tc>
      </w:tr>
      <w:tr w:rsidR="00796F88" w:rsidRPr="00796F88" w14:paraId="01D7BF8D" w14:textId="77777777" w:rsidTr="00796F88">
        <w:tc>
          <w:tcPr>
            <w:tcW w:w="0" w:type="auto"/>
            <w:shd w:val="clear" w:color="auto" w:fill="FFFFFF"/>
            <w:tcMar>
              <w:top w:w="150" w:type="dxa"/>
              <w:left w:w="150" w:type="dxa"/>
              <w:bottom w:w="150" w:type="dxa"/>
              <w:right w:w="150" w:type="dxa"/>
            </w:tcMar>
            <w:hideMark/>
          </w:tcPr>
          <w:p w14:paraId="7F14DF89"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b/>
                <w:bCs/>
                <w:color w:val="222222"/>
                <w:sz w:val="20"/>
                <w:szCs w:val="20"/>
              </w:rPr>
              <w:t>symbol</w:t>
            </w:r>
          </w:p>
        </w:tc>
        <w:tc>
          <w:tcPr>
            <w:tcW w:w="0" w:type="auto"/>
            <w:shd w:val="clear" w:color="auto" w:fill="FFFFFF"/>
            <w:tcMar>
              <w:top w:w="150" w:type="dxa"/>
              <w:left w:w="150" w:type="dxa"/>
              <w:bottom w:w="150" w:type="dxa"/>
              <w:right w:w="150" w:type="dxa"/>
            </w:tcMar>
            <w:hideMark/>
          </w:tcPr>
          <w:p w14:paraId="5ED08DAB"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color w:val="222222"/>
                <w:sz w:val="20"/>
                <w:szCs w:val="20"/>
              </w:rPr>
              <w:t>refers to the symbol represented in </w:t>
            </w:r>
            <w:hyperlink r:id="rId5" w:history="1">
              <w:r w:rsidRPr="00796F88">
                <w:rPr>
                  <w:rFonts w:ascii="Segoe UI" w:eastAsia="Times New Roman" w:hAnsi="Segoe UI" w:cs="Segoe UI"/>
                  <w:color w:val="006FE8"/>
                  <w:sz w:val="24"/>
                  <w:szCs w:val="24"/>
                  <w:u w:val="single"/>
                </w:rPr>
                <w:t>Nasdaq Integrated symbology</w:t>
              </w:r>
            </w:hyperlink>
            <w:r w:rsidRPr="00796F88">
              <w:rPr>
                <w:rFonts w:ascii="Segoe UI" w:eastAsia="Times New Roman" w:hAnsi="Segoe UI" w:cs="Segoe UI"/>
                <w:color w:val="222222"/>
                <w:sz w:val="20"/>
                <w:szCs w:val="20"/>
              </w:rPr>
              <w:t> (INET).</w:t>
            </w:r>
          </w:p>
        </w:tc>
      </w:tr>
      <w:tr w:rsidR="00796F88" w:rsidRPr="00796F88" w14:paraId="160AA37A" w14:textId="77777777" w:rsidTr="00796F88">
        <w:tc>
          <w:tcPr>
            <w:tcW w:w="0" w:type="auto"/>
            <w:shd w:val="clear" w:color="auto" w:fill="FFFFFF"/>
            <w:tcMar>
              <w:top w:w="150" w:type="dxa"/>
              <w:left w:w="150" w:type="dxa"/>
              <w:bottom w:w="150" w:type="dxa"/>
              <w:right w:w="150" w:type="dxa"/>
            </w:tcMar>
            <w:hideMark/>
          </w:tcPr>
          <w:p w14:paraId="4CDC4350"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b/>
                <w:bCs/>
                <w:color w:val="222222"/>
                <w:sz w:val="20"/>
                <w:szCs w:val="20"/>
              </w:rPr>
              <w:t>name</w:t>
            </w:r>
          </w:p>
        </w:tc>
        <w:tc>
          <w:tcPr>
            <w:tcW w:w="0" w:type="auto"/>
            <w:shd w:val="clear" w:color="auto" w:fill="FFFFFF"/>
            <w:tcMar>
              <w:top w:w="150" w:type="dxa"/>
              <w:left w:w="150" w:type="dxa"/>
              <w:bottom w:w="150" w:type="dxa"/>
              <w:right w:w="150" w:type="dxa"/>
            </w:tcMar>
            <w:hideMark/>
          </w:tcPr>
          <w:p w14:paraId="390F2BA8"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color w:val="222222"/>
                <w:sz w:val="20"/>
                <w:szCs w:val="20"/>
              </w:rPr>
              <w:t>refers to the name of the company or security.</w:t>
            </w:r>
          </w:p>
        </w:tc>
      </w:tr>
      <w:tr w:rsidR="00796F88" w:rsidRPr="00796F88" w14:paraId="573BAA77" w14:textId="77777777" w:rsidTr="00796F88">
        <w:tc>
          <w:tcPr>
            <w:tcW w:w="0" w:type="auto"/>
            <w:shd w:val="clear" w:color="auto" w:fill="FFFFFF"/>
            <w:tcMar>
              <w:top w:w="150" w:type="dxa"/>
              <w:left w:w="150" w:type="dxa"/>
              <w:bottom w:w="150" w:type="dxa"/>
              <w:right w:w="150" w:type="dxa"/>
            </w:tcMar>
            <w:hideMark/>
          </w:tcPr>
          <w:p w14:paraId="312E31D3"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b/>
                <w:bCs/>
                <w:color w:val="222222"/>
                <w:sz w:val="20"/>
                <w:szCs w:val="20"/>
              </w:rPr>
              <w:t>date</w:t>
            </w:r>
          </w:p>
        </w:tc>
        <w:tc>
          <w:tcPr>
            <w:tcW w:w="0" w:type="auto"/>
            <w:shd w:val="clear" w:color="auto" w:fill="FFFFFF"/>
            <w:tcMar>
              <w:top w:w="150" w:type="dxa"/>
              <w:left w:w="150" w:type="dxa"/>
              <w:bottom w:w="150" w:type="dxa"/>
              <w:right w:w="150" w:type="dxa"/>
            </w:tcMar>
            <w:hideMark/>
          </w:tcPr>
          <w:p w14:paraId="543A2F76"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color w:val="222222"/>
                <w:sz w:val="20"/>
                <w:szCs w:val="20"/>
              </w:rPr>
              <w:t>refers to the date the symbol reference data was generated.</w:t>
            </w:r>
          </w:p>
        </w:tc>
      </w:tr>
      <w:tr w:rsidR="00796F88" w:rsidRPr="00796F88" w14:paraId="77E56614" w14:textId="77777777" w:rsidTr="00796F88">
        <w:tc>
          <w:tcPr>
            <w:tcW w:w="0" w:type="auto"/>
            <w:shd w:val="clear" w:color="auto" w:fill="FFFFFF"/>
            <w:tcMar>
              <w:top w:w="150" w:type="dxa"/>
              <w:left w:w="150" w:type="dxa"/>
              <w:bottom w:w="150" w:type="dxa"/>
              <w:right w:w="150" w:type="dxa"/>
            </w:tcMar>
            <w:hideMark/>
          </w:tcPr>
          <w:p w14:paraId="270786F3"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b/>
                <w:bCs/>
                <w:color w:val="222222"/>
                <w:sz w:val="20"/>
                <w:szCs w:val="20"/>
              </w:rPr>
              <w:t>isEnabled</w:t>
            </w:r>
          </w:p>
        </w:tc>
        <w:tc>
          <w:tcPr>
            <w:tcW w:w="0" w:type="auto"/>
            <w:shd w:val="clear" w:color="auto" w:fill="FFFFFF"/>
            <w:tcMar>
              <w:top w:w="150" w:type="dxa"/>
              <w:left w:w="150" w:type="dxa"/>
              <w:bottom w:w="150" w:type="dxa"/>
              <w:right w:w="150" w:type="dxa"/>
            </w:tcMar>
            <w:hideMark/>
          </w:tcPr>
          <w:p w14:paraId="66D0EB72"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color w:val="222222"/>
                <w:sz w:val="20"/>
                <w:szCs w:val="20"/>
              </w:rPr>
              <w:t>will be true if the symbol is enabled for trading on IEX.</w:t>
            </w:r>
          </w:p>
        </w:tc>
      </w:tr>
      <w:tr w:rsidR="00796F88" w:rsidRPr="00796F88" w14:paraId="77292B59" w14:textId="77777777" w:rsidTr="00796F88">
        <w:tc>
          <w:tcPr>
            <w:tcW w:w="0" w:type="auto"/>
            <w:shd w:val="clear" w:color="auto" w:fill="FFFFFF"/>
            <w:tcMar>
              <w:top w:w="150" w:type="dxa"/>
              <w:left w:w="150" w:type="dxa"/>
              <w:bottom w:w="150" w:type="dxa"/>
              <w:right w:w="150" w:type="dxa"/>
            </w:tcMar>
            <w:hideMark/>
          </w:tcPr>
          <w:p w14:paraId="3689FC29"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b/>
                <w:bCs/>
                <w:color w:val="222222"/>
                <w:sz w:val="20"/>
                <w:szCs w:val="20"/>
              </w:rPr>
              <w:t>type</w:t>
            </w:r>
          </w:p>
        </w:tc>
        <w:tc>
          <w:tcPr>
            <w:tcW w:w="0" w:type="auto"/>
            <w:shd w:val="clear" w:color="auto" w:fill="FFFFFF"/>
            <w:tcMar>
              <w:top w:w="150" w:type="dxa"/>
              <w:left w:w="150" w:type="dxa"/>
              <w:bottom w:w="150" w:type="dxa"/>
              <w:right w:w="150" w:type="dxa"/>
            </w:tcMar>
            <w:hideMark/>
          </w:tcPr>
          <w:p w14:paraId="3E481882" w14:textId="77777777" w:rsidR="00627F42"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color w:val="222222"/>
                <w:sz w:val="20"/>
                <w:szCs w:val="20"/>
              </w:rPr>
              <w:t xml:space="preserve">refers to the common issue type </w:t>
            </w:r>
          </w:p>
          <w:p w14:paraId="632AB848" w14:textId="77777777" w:rsidR="00627F42"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color w:val="222222"/>
                <w:sz w:val="20"/>
                <w:szCs w:val="20"/>
              </w:rPr>
              <w:t xml:space="preserve">(AD </w:t>
            </w:r>
            <w:r w:rsidR="00627F42">
              <w:rPr>
                <w:rFonts w:ascii="Segoe UI" w:eastAsia="Times New Roman" w:hAnsi="Segoe UI" w:cs="Segoe UI"/>
                <w:color w:val="222222"/>
                <w:sz w:val="20"/>
                <w:szCs w:val="20"/>
              </w:rPr>
              <w:t>–</w:t>
            </w:r>
            <w:r w:rsidRPr="00796F88">
              <w:rPr>
                <w:rFonts w:ascii="Segoe UI" w:eastAsia="Times New Roman" w:hAnsi="Segoe UI" w:cs="Segoe UI"/>
                <w:color w:val="222222"/>
                <w:sz w:val="20"/>
                <w:szCs w:val="20"/>
              </w:rPr>
              <w:t xml:space="preserve"> ADR</w:t>
            </w:r>
            <w:r w:rsidR="00627F42">
              <w:rPr>
                <w:rFonts w:ascii="Segoe UI" w:eastAsia="Times New Roman" w:hAnsi="Segoe UI" w:cs="Segoe UI"/>
                <w:color w:val="222222"/>
                <w:sz w:val="20"/>
                <w:szCs w:val="20"/>
              </w:rPr>
              <w:t xml:space="preserve"> --</w:t>
            </w:r>
            <w:r w:rsidR="00627F42">
              <w:rPr>
                <w:rFonts w:ascii="Helvetica" w:hAnsi="Helvetica" w:cs="Helvetica"/>
                <w:color w:val="494949"/>
                <w:sz w:val="30"/>
                <w:szCs w:val="30"/>
                <w:shd w:val="clear" w:color="auto" w:fill="F7F7F7"/>
              </w:rPr>
              <w:t xml:space="preserve"> </w:t>
            </w:r>
            <w:r w:rsidR="00627F42">
              <w:rPr>
                <w:rFonts w:ascii="Helvetica" w:hAnsi="Helvetica" w:cs="Helvetica"/>
                <w:color w:val="494949"/>
                <w:sz w:val="30"/>
                <w:szCs w:val="30"/>
                <w:shd w:val="clear" w:color="auto" w:fill="F7F7F7"/>
              </w:rPr>
              <w:t>An American depositary receipt (</w:t>
            </w:r>
            <w:r w:rsidR="00627F42">
              <w:rPr>
                <w:rFonts w:ascii="Helvetica" w:hAnsi="Helvetica" w:cs="Helvetica"/>
                <w:b/>
                <w:bCs/>
                <w:color w:val="333333"/>
                <w:sz w:val="30"/>
                <w:szCs w:val="30"/>
                <w:bdr w:val="none" w:sz="0" w:space="0" w:color="auto" w:frame="1"/>
                <w:shd w:val="clear" w:color="auto" w:fill="F7F7F7"/>
              </w:rPr>
              <w:t>ADR</w:t>
            </w:r>
            <w:r w:rsidR="00627F42">
              <w:rPr>
                <w:rFonts w:ascii="Helvetica" w:hAnsi="Helvetica" w:cs="Helvetica"/>
                <w:color w:val="494949"/>
                <w:sz w:val="30"/>
                <w:szCs w:val="30"/>
                <w:shd w:val="clear" w:color="auto" w:fill="F7F7F7"/>
              </w:rPr>
              <w:t>) is a certificate issued by a U.S. bank representing shares in a foreign stock traded on a U.S. exchange.</w:t>
            </w:r>
            <w:r w:rsidRPr="00796F88">
              <w:rPr>
                <w:rFonts w:ascii="Segoe UI" w:eastAsia="Times New Roman" w:hAnsi="Segoe UI" w:cs="Segoe UI"/>
                <w:color w:val="222222"/>
                <w:sz w:val="20"/>
                <w:szCs w:val="20"/>
              </w:rPr>
              <w:br/>
              <w:t xml:space="preserve">RE </w:t>
            </w:r>
            <w:r w:rsidR="00627F42">
              <w:rPr>
                <w:rFonts w:ascii="Segoe UI" w:eastAsia="Times New Roman" w:hAnsi="Segoe UI" w:cs="Segoe UI"/>
                <w:color w:val="222222"/>
                <w:sz w:val="20"/>
                <w:szCs w:val="20"/>
              </w:rPr>
              <w:t>–</w:t>
            </w:r>
            <w:r w:rsidRPr="00796F88">
              <w:rPr>
                <w:rFonts w:ascii="Segoe UI" w:eastAsia="Times New Roman" w:hAnsi="Segoe UI" w:cs="Segoe UI"/>
                <w:color w:val="222222"/>
                <w:sz w:val="20"/>
                <w:szCs w:val="20"/>
              </w:rPr>
              <w:t xml:space="preserve"> REIT</w:t>
            </w:r>
            <w:r w:rsidR="00627F42">
              <w:rPr>
                <w:rFonts w:ascii="Segoe UI" w:eastAsia="Times New Roman" w:hAnsi="Segoe UI" w:cs="Segoe UI"/>
                <w:color w:val="222222"/>
                <w:sz w:val="20"/>
                <w:szCs w:val="20"/>
              </w:rPr>
              <w:t xml:space="preserve"> --</w:t>
            </w:r>
            <w:r w:rsidR="00627F42">
              <w:rPr>
                <w:rFonts w:ascii="Helvetica" w:hAnsi="Helvetica" w:cs="Helvetica"/>
                <w:color w:val="666666"/>
                <w:sz w:val="30"/>
                <w:szCs w:val="30"/>
                <w:shd w:val="clear" w:color="auto" w:fill="FFFFFF"/>
              </w:rPr>
              <w:t xml:space="preserve"> </w:t>
            </w:r>
            <w:r w:rsidR="00627F42">
              <w:rPr>
                <w:rFonts w:ascii="Helvetica" w:hAnsi="Helvetica" w:cs="Helvetica"/>
                <w:color w:val="666666"/>
                <w:sz w:val="30"/>
                <w:szCs w:val="30"/>
                <w:shd w:val="clear" w:color="auto" w:fill="FFFFFF"/>
              </w:rPr>
              <w:t>A real estate investment trust is a company that owns, and in most cases operates, income-producing real estate. REITs own many types of commercial real estate, ranging from office and apartment buildings to warehouses, hospitals, shopping centers, hotels and timberlands.</w:t>
            </w:r>
            <w:r w:rsidRPr="00796F88">
              <w:rPr>
                <w:rFonts w:ascii="Segoe UI" w:eastAsia="Times New Roman" w:hAnsi="Segoe UI" w:cs="Segoe UI"/>
                <w:color w:val="222222"/>
                <w:sz w:val="20"/>
                <w:szCs w:val="20"/>
              </w:rPr>
              <w:br/>
              <w:t>CE - Closed end fund</w:t>
            </w:r>
          </w:p>
          <w:p w14:paraId="2592B16C" w14:textId="77777777" w:rsidR="00627F42" w:rsidRDefault="00627F42" w:rsidP="00627F42">
            <w:pPr>
              <w:pStyle w:val="Heading2"/>
              <w:shd w:val="clear" w:color="auto" w:fill="FFFFFF"/>
              <w:spacing w:before="24"/>
              <w:rPr>
                <w:rFonts w:ascii="Source Sans Pro" w:hAnsi="Source Sans Pro"/>
                <w:color w:val="362F2D"/>
                <w:sz w:val="35"/>
                <w:szCs w:val="35"/>
              </w:rPr>
            </w:pPr>
            <w:r>
              <w:rPr>
                <w:rFonts w:ascii="Helvetica" w:hAnsi="Helvetica" w:cs="Helvetica"/>
                <w:color w:val="666666"/>
                <w:sz w:val="30"/>
                <w:szCs w:val="30"/>
                <w:shd w:val="clear" w:color="auto" w:fill="FFFFFF"/>
              </w:rPr>
              <w:lastRenderedPageBreak/>
              <w:t>A closed-end fund or closed-ended fund is a collective investment model based on issuing a fixed number of shares which are not redeemable from the fund. Unlike open-end funds, new shares in a closed-end fund are not created by managers to meet demand from investors.</w:t>
            </w:r>
            <w:r w:rsidR="00796F88" w:rsidRPr="00796F88">
              <w:rPr>
                <w:rFonts w:ascii="Segoe UI" w:eastAsia="Times New Roman" w:hAnsi="Segoe UI" w:cs="Segoe UI"/>
                <w:color w:val="222222"/>
                <w:sz w:val="20"/>
                <w:szCs w:val="20"/>
              </w:rPr>
              <w:br/>
              <w:t>SI - Secondary Issue</w:t>
            </w:r>
            <w:r>
              <w:rPr>
                <w:rFonts w:ascii="Segoe UI" w:eastAsia="Times New Roman" w:hAnsi="Segoe UI" w:cs="Segoe UI"/>
                <w:color w:val="222222"/>
                <w:sz w:val="20"/>
                <w:szCs w:val="20"/>
              </w:rPr>
              <w:t xml:space="preserve"> -- </w:t>
            </w:r>
            <w:r>
              <w:rPr>
                <w:rFonts w:ascii="Source Sans Pro" w:hAnsi="Source Sans Pro"/>
                <w:color w:val="362F2D"/>
                <w:sz w:val="35"/>
                <w:szCs w:val="35"/>
              </w:rPr>
              <w:t>What is 'Secondary Offering'</w:t>
            </w:r>
          </w:p>
          <w:p w14:paraId="669B8423" w14:textId="33C0704A" w:rsidR="00796F88" w:rsidRPr="00796F88" w:rsidRDefault="00627F42" w:rsidP="00627F42">
            <w:pPr>
              <w:pStyle w:val="NormalWeb"/>
              <w:shd w:val="clear" w:color="auto" w:fill="FFFFFF"/>
              <w:spacing w:before="0" w:beforeAutospacing="0"/>
              <w:rPr>
                <w:rFonts w:ascii="Source Sans Pro" w:hAnsi="Source Sans Pro"/>
                <w:color w:val="111111"/>
                <w:sz w:val="26"/>
                <w:szCs w:val="26"/>
              </w:rPr>
            </w:pPr>
            <w:r>
              <w:rPr>
                <w:rFonts w:ascii="Source Sans Pro" w:hAnsi="Source Sans Pro"/>
                <w:color w:val="111111"/>
                <w:sz w:val="26"/>
                <w:szCs w:val="26"/>
              </w:rPr>
              <w:t>A secondary offering is the sale of new or closely held shares by a company that has already made an initial public offering (IPO). There are two types of secondary offerings. </w:t>
            </w:r>
            <w:r w:rsidR="00796F88" w:rsidRPr="00796F88">
              <w:rPr>
                <w:rFonts w:ascii="Segoe UI" w:hAnsi="Segoe UI" w:cs="Segoe UI"/>
                <w:color w:val="222222"/>
                <w:sz w:val="20"/>
                <w:szCs w:val="20"/>
              </w:rPr>
              <w:br/>
              <w:t>LP - Limited Partnerships</w:t>
            </w:r>
            <w:r>
              <w:rPr>
                <w:rFonts w:ascii="Segoe UI" w:hAnsi="Segoe UI" w:cs="Segoe UI"/>
                <w:color w:val="222222"/>
                <w:sz w:val="20"/>
                <w:szCs w:val="20"/>
              </w:rPr>
              <w:t xml:space="preserve"> -- </w:t>
            </w:r>
            <w:r>
              <w:rPr>
                <w:rFonts w:ascii="Helvetica" w:hAnsi="Helvetica" w:cs="Helvetica"/>
                <w:color w:val="494949"/>
                <w:sz w:val="30"/>
                <w:szCs w:val="30"/>
                <w:shd w:val="clear" w:color="auto" w:fill="F7F7F7"/>
              </w:rPr>
              <w:t>A </w:t>
            </w:r>
            <w:r>
              <w:rPr>
                <w:rFonts w:ascii="Helvetica" w:hAnsi="Helvetica" w:cs="Helvetica"/>
                <w:b/>
                <w:bCs/>
                <w:color w:val="333333"/>
                <w:sz w:val="30"/>
                <w:szCs w:val="30"/>
                <w:bdr w:val="none" w:sz="0" w:space="0" w:color="auto" w:frame="1"/>
                <w:shd w:val="clear" w:color="auto" w:fill="F7F7F7"/>
              </w:rPr>
              <w:t>limited</w:t>
            </w:r>
            <w:r>
              <w:rPr>
                <w:rFonts w:ascii="Helvetica" w:hAnsi="Helvetica" w:cs="Helvetica"/>
                <w:color w:val="494949"/>
                <w:sz w:val="30"/>
                <w:szCs w:val="30"/>
                <w:shd w:val="clear" w:color="auto" w:fill="F7F7F7"/>
              </w:rPr>
              <w:t> </w:t>
            </w:r>
            <w:r>
              <w:rPr>
                <w:rFonts w:ascii="Helvetica" w:hAnsi="Helvetica" w:cs="Helvetica"/>
                <w:b/>
                <w:bCs/>
                <w:color w:val="333333"/>
                <w:sz w:val="30"/>
                <w:szCs w:val="30"/>
                <w:bdr w:val="none" w:sz="0" w:space="0" w:color="auto" w:frame="1"/>
                <w:shd w:val="clear" w:color="auto" w:fill="F7F7F7"/>
              </w:rPr>
              <w:t>partnership</w:t>
            </w:r>
            <w:r>
              <w:rPr>
                <w:rFonts w:ascii="Helvetica" w:hAnsi="Helvetica" w:cs="Helvetica"/>
                <w:color w:val="494949"/>
                <w:sz w:val="30"/>
                <w:szCs w:val="30"/>
                <w:shd w:val="clear" w:color="auto" w:fill="F7F7F7"/>
              </w:rPr>
              <w:t> exists when two or more partners jointly conduct a business in which one or more is only liable to the extent of the amount of money that partner has invested.</w:t>
            </w:r>
            <w:r w:rsidR="00796F88" w:rsidRPr="00796F88">
              <w:rPr>
                <w:rFonts w:ascii="Segoe UI" w:hAnsi="Segoe UI" w:cs="Segoe UI"/>
                <w:color w:val="222222"/>
                <w:sz w:val="20"/>
                <w:szCs w:val="20"/>
              </w:rPr>
              <w:br/>
              <w:t xml:space="preserve">CS - Common </w:t>
            </w:r>
            <w:proofErr w:type="gramStart"/>
            <w:r w:rsidR="00796F88" w:rsidRPr="00796F88">
              <w:rPr>
                <w:rFonts w:ascii="Segoe UI" w:hAnsi="Segoe UI" w:cs="Segoe UI"/>
                <w:color w:val="222222"/>
                <w:sz w:val="20"/>
                <w:szCs w:val="20"/>
              </w:rPr>
              <w:t>Stock</w:t>
            </w:r>
            <w:r>
              <w:rPr>
                <w:rFonts w:ascii="Segoe UI" w:hAnsi="Segoe UI" w:cs="Segoe UI"/>
                <w:color w:val="222222"/>
                <w:sz w:val="20"/>
                <w:szCs w:val="20"/>
              </w:rPr>
              <w:t xml:space="preserve">  --</w:t>
            </w:r>
            <w:proofErr w:type="gramEnd"/>
            <w:r>
              <w:rPr>
                <w:rFonts w:ascii="Segoe UI" w:hAnsi="Segoe UI" w:cs="Segoe UI"/>
                <w:color w:val="222222"/>
                <w:sz w:val="20"/>
                <w:szCs w:val="20"/>
              </w:rPr>
              <w:t xml:space="preserve"> </w:t>
            </w:r>
            <w:r>
              <w:rPr>
                <w:rFonts w:ascii="Helvetica" w:hAnsi="Helvetica" w:cs="Helvetica"/>
                <w:color w:val="000000"/>
                <w:sz w:val="27"/>
                <w:szCs w:val="27"/>
                <w:shd w:val="clear" w:color="auto" w:fill="FFFFFF"/>
              </w:rPr>
              <w:t>Common stock represents an equity ownership in the company and entitles shareholders the right to vote on management issues at the annual shareholder's meeting. Common stockholders may, or may not, receive dividends, depending on management's decision about distributing profits.</w:t>
            </w:r>
            <w:r w:rsidR="00796F88" w:rsidRPr="00796F88">
              <w:rPr>
                <w:rFonts w:ascii="Segoe UI" w:hAnsi="Segoe UI" w:cs="Segoe UI"/>
                <w:color w:val="222222"/>
                <w:sz w:val="20"/>
                <w:szCs w:val="20"/>
              </w:rPr>
              <w:br/>
              <w:t xml:space="preserve">ET </w:t>
            </w:r>
            <w:r>
              <w:rPr>
                <w:rFonts w:ascii="Segoe UI" w:hAnsi="Segoe UI" w:cs="Segoe UI"/>
                <w:color w:val="222222"/>
                <w:sz w:val="20"/>
                <w:szCs w:val="20"/>
              </w:rPr>
              <w:t>–</w:t>
            </w:r>
            <w:r w:rsidR="00796F88" w:rsidRPr="00796F88">
              <w:rPr>
                <w:rFonts w:ascii="Segoe UI" w:hAnsi="Segoe UI" w:cs="Segoe UI"/>
                <w:color w:val="222222"/>
                <w:sz w:val="20"/>
                <w:szCs w:val="20"/>
              </w:rPr>
              <w:t xml:space="preserve"> ETF</w:t>
            </w:r>
            <w:r>
              <w:rPr>
                <w:rFonts w:ascii="Segoe UI" w:hAnsi="Segoe UI" w:cs="Segoe UI"/>
                <w:color w:val="222222"/>
                <w:sz w:val="20"/>
                <w:szCs w:val="20"/>
              </w:rPr>
              <w:t xml:space="preserve"> </w:t>
            </w:r>
            <w:r w:rsidR="00C914B4">
              <w:rPr>
                <w:rFonts w:ascii="Segoe UI" w:hAnsi="Segoe UI" w:cs="Segoe UI"/>
                <w:color w:val="222222"/>
                <w:sz w:val="20"/>
                <w:szCs w:val="20"/>
              </w:rPr>
              <w:t xml:space="preserve">-- </w:t>
            </w:r>
            <w:r w:rsidR="00C914B4">
              <w:rPr>
                <w:rFonts w:ascii="Source Sans Pro" w:hAnsi="Source Sans Pro"/>
                <w:color w:val="111111"/>
                <w:sz w:val="26"/>
                <w:szCs w:val="26"/>
                <w:shd w:val="clear" w:color="auto" w:fill="FFFFFF"/>
              </w:rPr>
              <w:t>An ETF, or exchange-traded fund, is a </w:t>
            </w:r>
            <w:hyperlink r:id="rId6" w:history="1">
              <w:r w:rsidR="00C914B4">
                <w:rPr>
                  <w:rStyle w:val="Hyperlink"/>
                  <w:rFonts w:ascii="Source Sans Pro" w:hAnsi="Source Sans Pro"/>
                  <w:color w:val="005B9D"/>
                  <w:sz w:val="26"/>
                  <w:szCs w:val="26"/>
                  <w:shd w:val="clear" w:color="auto" w:fill="FFFFFF"/>
                </w:rPr>
                <w:t>marketable security</w:t>
              </w:r>
            </w:hyperlink>
            <w:r w:rsidR="00C914B4">
              <w:rPr>
                <w:rFonts w:ascii="Source Sans Pro" w:hAnsi="Source Sans Pro"/>
                <w:color w:val="111111"/>
                <w:sz w:val="26"/>
                <w:szCs w:val="26"/>
                <w:shd w:val="clear" w:color="auto" w:fill="FFFFFF"/>
              </w:rPr>
              <w:t> that tracks a stock index, a commodity, bonds, or a basket of assets. Although similar in many ways, ETFs differ from mutual funds because shares trade like common stock on an exchange.</w:t>
            </w:r>
          </w:p>
        </w:tc>
      </w:tr>
      <w:tr w:rsidR="00796F88" w:rsidRPr="00796F88" w14:paraId="085B0D96" w14:textId="77777777" w:rsidTr="00796F88">
        <w:tc>
          <w:tcPr>
            <w:tcW w:w="0" w:type="auto"/>
            <w:shd w:val="clear" w:color="auto" w:fill="FFFFFF"/>
            <w:tcMar>
              <w:top w:w="150" w:type="dxa"/>
              <w:left w:w="150" w:type="dxa"/>
              <w:bottom w:w="150" w:type="dxa"/>
              <w:right w:w="150" w:type="dxa"/>
            </w:tcMar>
            <w:hideMark/>
          </w:tcPr>
          <w:p w14:paraId="0170E01C"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b/>
                <w:bCs/>
                <w:color w:val="222222"/>
                <w:sz w:val="20"/>
                <w:szCs w:val="20"/>
              </w:rPr>
              <w:lastRenderedPageBreak/>
              <w:t>iexId</w:t>
            </w:r>
          </w:p>
        </w:tc>
        <w:tc>
          <w:tcPr>
            <w:tcW w:w="0" w:type="auto"/>
            <w:shd w:val="clear" w:color="auto" w:fill="FFFFFF"/>
            <w:tcMar>
              <w:top w:w="150" w:type="dxa"/>
              <w:left w:w="150" w:type="dxa"/>
              <w:bottom w:w="150" w:type="dxa"/>
              <w:right w:w="150" w:type="dxa"/>
            </w:tcMar>
            <w:hideMark/>
          </w:tcPr>
          <w:p w14:paraId="62523F80" w14:textId="77777777" w:rsidR="00796F88" w:rsidRPr="00796F88" w:rsidRDefault="00796F88" w:rsidP="00796F88">
            <w:pPr>
              <w:spacing w:after="240" w:line="240" w:lineRule="auto"/>
              <w:rPr>
                <w:rFonts w:ascii="Segoe UI" w:eastAsia="Times New Roman" w:hAnsi="Segoe UI" w:cs="Segoe UI"/>
                <w:color w:val="222222"/>
                <w:sz w:val="20"/>
                <w:szCs w:val="20"/>
              </w:rPr>
            </w:pPr>
            <w:r w:rsidRPr="00796F88">
              <w:rPr>
                <w:rFonts w:ascii="Segoe UI" w:eastAsia="Times New Roman" w:hAnsi="Segoe UI" w:cs="Segoe UI"/>
                <w:color w:val="222222"/>
                <w:sz w:val="20"/>
                <w:szCs w:val="20"/>
              </w:rPr>
              <w:t>unique ID applied by IEX to track securities through symbol changes.</w:t>
            </w:r>
          </w:p>
        </w:tc>
      </w:tr>
    </w:tbl>
    <w:p w14:paraId="3ED3A401" w14:textId="78A0A3F1" w:rsidR="00A1050F" w:rsidRDefault="00A1050F"/>
    <w:p w14:paraId="45BE4551" w14:textId="2F761C81" w:rsidR="00C914B4" w:rsidRDefault="00C914B4"/>
    <w:p w14:paraId="61303FCD" w14:textId="6A2F17C0" w:rsidR="00C914B4" w:rsidRDefault="00C914B4" w:rsidP="000F16CC">
      <w:pPr>
        <w:pStyle w:val="Heading1"/>
      </w:pPr>
      <w:r w:rsidRPr="000F16CC">
        <w:rPr>
          <w:highlight w:val="magenta"/>
        </w:rPr>
        <w:t>Chart</w:t>
      </w:r>
    </w:p>
    <w:p w14:paraId="2BAF15CA" w14:textId="76E3B594" w:rsidR="00C914B4" w:rsidRDefault="00C914B4" w:rsidP="00C914B4">
      <w:pPr>
        <w:pStyle w:val="Heading3"/>
        <w:rPr>
          <w:color w:val="0070C0"/>
        </w:rPr>
      </w:pPr>
    </w:p>
    <w:p w14:paraId="07D8EEAF" w14:textId="77777777" w:rsidR="00A96770" w:rsidRPr="00A96770" w:rsidRDefault="00A96770" w:rsidP="00A96770">
      <w:pPr>
        <w:pStyle w:val="Heading3"/>
        <w:rPr>
          <w:color w:val="0070C0"/>
        </w:rPr>
      </w:pPr>
      <w:r w:rsidRPr="00A96770">
        <w:rPr>
          <w:color w:val="0070C0"/>
        </w:rPr>
        <w:t>HTTP request</w:t>
      </w:r>
    </w:p>
    <w:p w14:paraId="28496081" w14:textId="77777777" w:rsidR="00A96770" w:rsidRPr="00A96770" w:rsidRDefault="00A96770" w:rsidP="00A96770">
      <w:pPr>
        <w:pStyle w:val="NoSpacing"/>
      </w:pPr>
      <w:r w:rsidRPr="00A96770">
        <w:t>/stock/aapl/chart</w:t>
      </w:r>
    </w:p>
    <w:p w14:paraId="2207FFCB" w14:textId="77777777" w:rsidR="00A96770" w:rsidRPr="00A96770" w:rsidRDefault="00A96770" w:rsidP="00A96770">
      <w:pPr>
        <w:pStyle w:val="NoSpacing"/>
      </w:pPr>
      <w:r w:rsidRPr="00A96770">
        <w:lastRenderedPageBreak/>
        <w:t>/stock/aapl/chart/5y</w:t>
      </w:r>
    </w:p>
    <w:p w14:paraId="27ECDACD" w14:textId="77777777" w:rsidR="00A96770" w:rsidRPr="00A96770" w:rsidRDefault="00A96770" w:rsidP="00A96770">
      <w:pPr>
        <w:pStyle w:val="NoSpacing"/>
      </w:pPr>
      <w:r w:rsidRPr="00A96770">
        <w:t>/stock/aapl/chart/2y</w:t>
      </w:r>
    </w:p>
    <w:p w14:paraId="4492ABF6" w14:textId="77777777" w:rsidR="00A96770" w:rsidRPr="00A96770" w:rsidRDefault="00A96770" w:rsidP="00A96770">
      <w:pPr>
        <w:pStyle w:val="NoSpacing"/>
      </w:pPr>
      <w:r w:rsidRPr="00A96770">
        <w:t>/stock/aapl/chart/1y</w:t>
      </w:r>
    </w:p>
    <w:p w14:paraId="49DBCCC4" w14:textId="77777777" w:rsidR="00A96770" w:rsidRPr="00A96770" w:rsidRDefault="00A96770" w:rsidP="00A96770">
      <w:pPr>
        <w:pStyle w:val="NoSpacing"/>
      </w:pPr>
      <w:r w:rsidRPr="00A96770">
        <w:t>/stock/aapl/chart/ytd</w:t>
      </w:r>
    </w:p>
    <w:p w14:paraId="104B5139" w14:textId="77777777" w:rsidR="00A96770" w:rsidRPr="00A96770" w:rsidRDefault="00A96770" w:rsidP="00A96770">
      <w:pPr>
        <w:pStyle w:val="NoSpacing"/>
      </w:pPr>
      <w:r w:rsidRPr="00A96770">
        <w:t>/stock/aapl/chart/6m</w:t>
      </w:r>
    </w:p>
    <w:p w14:paraId="3477BF44" w14:textId="77777777" w:rsidR="00A96770" w:rsidRPr="00A96770" w:rsidRDefault="00A96770" w:rsidP="00A96770">
      <w:pPr>
        <w:pStyle w:val="NoSpacing"/>
      </w:pPr>
      <w:r w:rsidRPr="00A96770">
        <w:t>/stock/aapl/chart/3m</w:t>
      </w:r>
    </w:p>
    <w:p w14:paraId="70F15916" w14:textId="77777777" w:rsidR="00A96770" w:rsidRPr="00A96770" w:rsidRDefault="00A96770" w:rsidP="00A96770">
      <w:pPr>
        <w:pStyle w:val="NoSpacing"/>
      </w:pPr>
      <w:r w:rsidRPr="00A96770">
        <w:t>/stock/aapl/chart/1m</w:t>
      </w:r>
    </w:p>
    <w:p w14:paraId="75F38279" w14:textId="77777777" w:rsidR="00A96770" w:rsidRPr="00A96770" w:rsidRDefault="00A96770" w:rsidP="00A96770">
      <w:pPr>
        <w:pStyle w:val="NoSpacing"/>
      </w:pPr>
      <w:r w:rsidRPr="00A96770">
        <w:t>/stock/aapl/chart/1d</w:t>
      </w:r>
    </w:p>
    <w:p w14:paraId="19E141F0" w14:textId="77777777" w:rsidR="00A96770" w:rsidRPr="00A96770" w:rsidRDefault="00A96770" w:rsidP="00A96770">
      <w:pPr>
        <w:pStyle w:val="NoSpacing"/>
      </w:pPr>
      <w:r w:rsidRPr="00A96770">
        <w:t>/stock/aapl/chart/date/20180129</w:t>
      </w:r>
    </w:p>
    <w:p w14:paraId="18B9EEBF" w14:textId="526AE839" w:rsidR="00C914B4" w:rsidRDefault="00A96770" w:rsidP="00A96770">
      <w:pPr>
        <w:pStyle w:val="NoSpacing"/>
      </w:pPr>
      <w:r w:rsidRPr="00A96770">
        <w:t>/stock/aapl/chart/dynamic</w:t>
      </w:r>
    </w:p>
    <w:p w14:paraId="6A5BC113" w14:textId="5D0AE518" w:rsidR="00A96770" w:rsidRDefault="00A96770" w:rsidP="00A96770">
      <w:pPr>
        <w:pStyle w:val="NoSpacing"/>
      </w:pPr>
    </w:p>
    <w:p w14:paraId="5DC45B47" w14:textId="77777777" w:rsidR="00A96770" w:rsidRDefault="00A96770" w:rsidP="00A96770">
      <w:pPr>
        <w:pStyle w:val="NoSpacing"/>
      </w:pPr>
      <w:r>
        <w:t>Options</w:t>
      </w:r>
    </w:p>
    <w:p w14:paraId="50EE970C" w14:textId="77777777" w:rsidR="00A96770" w:rsidRDefault="00A96770" w:rsidP="00A96770">
      <w:pPr>
        <w:pStyle w:val="NoSpacing"/>
      </w:pPr>
      <w:r>
        <w:t>Range</w:t>
      </w:r>
      <w:r>
        <w:tab/>
        <w:t>Description</w:t>
      </w:r>
      <w:r>
        <w:tab/>
        <w:t>Source</w:t>
      </w:r>
    </w:p>
    <w:p w14:paraId="6C25828B" w14:textId="77777777" w:rsidR="00A96770" w:rsidRDefault="00A96770" w:rsidP="00A96770">
      <w:pPr>
        <w:pStyle w:val="NoSpacing"/>
      </w:pPr>
      <w:r>
        <w:t>5y</w:t>
      </w:r>
      <w:r>
        <w:tab/>
        <w:t>Five years</w:t>
      </w:r>
      <w:r>
        <w:tab/>
        <w:t>Historically adjusted market-wide data</w:t>
      </w:r>
    </w:p>
    <w:p w14:paraId="760E10DE" w14:textId="77777777" w:rsidR="00A96770" w:rsidRDefault="00A96770" w:rsidP="00A96770">
      <w:pPr>
        <w:pStyle w:val="NoSpacing"/>
      </w:pPr>
      <w:r>
        <w:t>2y</w:t>
      </w:r>
      <w:r>
        <w:tab/>
        <w:t>Two years</w:t>
      </w:r>
      <w:r>
        <w:tab/>
        <w:t>Historically adjusted market-wide data</w:t>
      </w:r>
    </w:p>
    <w:p w14:paraId="14AA16F4" w14:textId="77777777" w:rsidR="00A96770" w:rsidRDefault="00A96770" w:rsidP="00A96770">
      <w:pPr>
        <w:pStyle w:val="NoSpacing"/>
      </w:pPr>
      <w:r>
        <w:t>1y</w:t>
      </w:r>
      <w:r>
        <w:tab/>
        <w:t>One year</w:t>
      </w:r>
      <w:r>
        <w:tab/>
        <w:t>Historically adjusted market-wide data</w:t>
      </w:r>
    </w:p>
    <w:p w14:paraId="5C3F3D52" w14:textId="77777777" w:rsidR="00A96770" w:rsidRDefault="00A96770" w:rsidP="00A96770">
      <w:pPr>
        <w:pStyle w:val="NoSpacing"/>
      </w:pPr>
      <w:r>
        <w:t>ytd</w:t>
      </w:r>
      <w:r>
        <w:tab/>
        <w:t>Year-to-date</w:t>
      </w:r>
      <w:r>
        <w:tab/>
        <w:t>Historically adjusted market-wide data</w:t>
      </w:r>
    </w:p>
    <w:p w14:paraId="012052DA" w14:textId="77777777" w:rsidR="00A96770" w:rsidRDefault="00A96770" w:rsidP="00A96770">
      <w:pPr>
        <w:pStyle w:val="NoSpacing"/>
      </w:pPr>
      <w:r>
        <w:t>6m</w:t>
      </w:r>
      <w:r>
        <w:tab/>
        <w:t>Six months</w:t>
      </w:r>
      <w:r>
        <w:tab/>
        <w:t>Historically adjusted market-wide data</w:t>
      </w:r>
    </w:p>
    <w:p w14:paraId="5017236D" w14:textId="77777777" w:rsidR="00A96770" w:rsidRDefault="00A96770" w:rsidP="00A96770">
      <w:pPr>
        <w:pStyle w:val="NoSpacing"/>
      </w:pPr>
      <w:r>
        <w:t>3m</w:t>
      </w:r>
      <w:r>
        <w:tab/>
        <w:t>Three months</w:t>
      </w:r>
      <w:r>
        <w:tab/>
        <w:t>Historically adjusted market-wide data</w:t>
      </w:r>
    </w:p>
    <w:p w14:paraId="22B6E936" w14:textId="77777777" w:rsidR="00A96770" w:rsidRDefault="00A96770" w:rsidP="00A96770">
      <w:pPr>
        <w:pStyle w:val="NoSpacing"/>
      </w:pPr>
      <w:r w:rsidRPr="00A96770">
        <w:rPr>
          <w:highlight w:val="yellow"/>
        </w:rPr>
        <w:t>1m</w:t>
      </w:r>
      <w:r w:rsidRPr="00A96770">
        <w:rPr>
          <w:highlight w:val="yellow"/>
        </w:rPr>
        <w:tab/>
        <w:t>One month (default)</w:t>
      </w:r>
      <w:r w:rsidRPr="00A96770">
        <w:rPr>
          <w:highlight w:val="yellow"/>
        </w:rPr>
        <w:tab/>
        <w:t>Historically adjusted market-wide data</w:t>
      </w:r>
    </w:p>
    <w:p w14:paraId="5E1D8F09" w14:textId="77777777" w:rsidR="00A96770" w:rsidRDefault="00A96770" w:rsidP="00A96770">
      <w:pPr>
        <w:pStyle w:val="NoSpacing"/>
      </w:pPr>
      <w:r>
        <w:t>1d</w:t>
      </w:r>
      <w:r>
        <w:tab/>
        <w:t>One day</w:t>
      </w:r>
      <w:r>
        <w:tab/>
        <w:t>IEX-only data by minute</w:t>
      </w:r>
    </w:p>
    <w:p w14:paraId="2F0544FB" w14:textId="77777777" w:rsidR="00A96770" w:rsidRDefault="00A96770" w:rsidP="00A96770">
      <w:pPr>
        <w:pStyle w:val="NoSpacing"/>
      </w:pPr>
      <w:r>
        <w:t>date</w:t>
      </w:r>
      <w:r>
        <w:tab/>
        <w:t>Specific date</w:t>
      </w:r>
      <w:r>
        <w:tab/>
        <w:t>IEX-only data by minute for a specified date in the format YYYYMMDD if available. Currently supporting trailing 30 calendar days.</w:t>
      </w:r>
    </w:p>
    <w:p w14:paraId="0603B8D7" w14:textId="02388FD1" w:rsidR="00A96770" w:rsidRDefault="00A96770" w:rsidP="00A96770">
      <w:pPr>
        <w:pStyle w:val="NoSpacing"/>
      </w:pPr>
      <w:r>
        <w:t>dynamic</w:t>
      </w:r>
      <w:r>
        <w:tab/>
        <w:t>One day</w:t>
      </w:r>
      <w:r>
        <w:tab/>
        <w:t>Will return 1d or 1m data depending on the day or week and time of day. Intraday per minute data is only returned during market hours.</w:t>
      </w:r>
    </w:p>
    <w:p w14:paraId="4EF1EDC3" w14:textId="323B2B75" w:rsidR="00A96770" w:rsidRDefault="00A96770" w:rsidP="00A96770">
      <w:pPr>
        <w:pStyle w:val="NoSpacing"/>
      </w:pPr>
    </w:p>
    <w:p w14:paraId="34400652" w14:textId="77777777" w:rsidR="00A96770" w:rsidRDefault="00A96770" w:rsidP="00A96770">
      <w:pPr>
        <w:pStyle w:val="NoSpacing"/>
      </w:pPr>
      <w:r>
        <w:t>Parameters</w:t>
      </w:r>
    </w:p>
    <w:p w14:paraId="173F3BD4" w14:textId="77777777" w:rsidR="00A96770" w:rsidRDefault="00A96770" w:rsidP="00A96770">
      <w:pPr>
        <w:pStyle w:val="NoSpacing"/>
      </w:pPr>
      <w:r>
        <w:t>Parameter</w:t>
      </w:r>
      <w:r>
        <w:tab/>
        <w:t>Details</w:t>
      </w:r>
    </w:p>
    <w:p w14:paraId="6FE6E4CB" w14:textId="77777777" w:rsidR="00A96770" w:rsidRDefault="00A96770" w:rsidP="00A96770">
      <w:pPr>
        <w:pStyle w:val="NoSpacing"/>
      </w:pPr>
      <w:r>
        <w:t>chartReset</w:t>
      </w:r>
      <w:r>
        <w:tab/>
        <w:t>• Optional</w:t>
      </w:r>
    </w:p>
    <w:p w14:paraId="07E4231B" w14:textId="77777777" w:rsidR="00A96770" w:rsidRDefault="00A96770" w:rsidP="00A96770">
      <w:pPr>
        <w:pStyle w:val="NoSpacing"/>
      </w:pPr>
      <w:r>
        <w:t>• boolean. If true, 1d chart will reset at midnight instead of the default behavior of 9:30am ET.</w:t>
      </w:r>
    </w:p>
    <w:p w14:paraId="562370E3" w14:textId="77777777" w:rsidR="00A96770" w:rsidRDefault="00A96770" w:rsidP="00A96770">
      <w:pPr>
        <w:pStyle w:val="NoSpacing"/>
      </w:pPr>
      <w:r>
        <w:t>chartSimplify</w:t>
      </w:r>
      <w:r>
        <w:tab/>
        <w:t>• Optional</w:t>
      </w:r>
    </w:p>
    <w:p w14:paraId="28AEA981" w14:textId="77777777" w:rsidR="00A96770" w:rsidRDefault="00A96770" w:rsidP="00A96770">
      <w:pPr>
        <w:pStyle w:val="NoSpacing"/>
      </w:pPr>
      <w:r>
        <w:t>• boolean. If true, runs a polyline simplification using the Douglas-Peucker algorithm. This is useful if plotting sparkline charts.</w:t>
      </w:r>
    </w:p>
    <w:p w14:paraId="4FA98910" w14:textId="77777777" w:rsidR="00A96770" w:rsidRDefault="00A96770" w:rsidP="00A96770">
      <w:pPr>
        <w:pStyle w:val="NoSpacing"/>
      </w:pPr>
      <w:r>
        <w:t>chartInterval</w:t>
      </w:r>
      <w:r>
        <w:tab/>
        <w:t>• Optional</w:t>
      </w:r>
    </w:p>
    <w:p w14:paraId="35FC046D" w14:textId="77777777" w:rsidR="00A96770" w:rsidRDefault="00A96770" w:rsidP="00A96770">
      <w:pPr>
        <w:pStyle w:val="NoSpacing"/>
      </w:pPr>
      <w:r>
        <w:t>• number. If passed, chart data will return every Nth element as defined by chartInterval</w:t>
      </w:r>
    </w:p>
    <w:p w14:paraId="2042ACBB" w14:textId="77777777" w:rsidR="00A96770" w:rsidRDefault="00A96770" w:rsidP="00A96770">
      <w:pPr>
        <w:pStyle w:val="NoSpacing"/>
      </w:pPr>
      <w:r>
        <w:t>changeFromClose</w:t>
      </w:r>
      <w:r>
        <w:tab/>
        <w:t>• Optional</w:t>
      </w:r>
    </w:p>
    <w:p w14:paraId="38E94153" w14:textId="77777777" w:rsidR="00A96770" w:rsidRDefault="00A96770" w:rsidP="00A96770">
      <w:pPr>
        <w:pStyle w:val="NoSpacing"/>
      </w:pPr>
      <w:r>
        <w:t>• boolean. If true, changeOverTime and marketChangeOverTime will be relative to previous day close instead of the first value.</w:t>
      </w:r>
    </w:p>
    <w:p w14:paraId="677BDA40" w14:textId="77777777" w:rsidR="00A96770" w:rsidRDefault="00A96770" w:rsidP="00A96770">
      <w:pPr>
        <w:pStyle w:val="NoSpacing"/>
      </w:pPr>
      <w:r>
        <w:t>chartLast</w:t>
      </w:r>
      <w:r>
        <w:tab/>
        <w:t>• Optional</w:t>
      </w:r>
    </w:p>
    <w:p w14:paraId="22FEFB47" w14:textId="22661EE5" w:rsidR="00A96770" w:rsidRDefault="00A96770" w:rsidP="00A96770">
      <w:pPr>
        <w:pStyle w:val="NoSpacing"/>
      </w:pPr>
      <w:r>
        <w:t>• number. If passed, chart data will return the last N elements</w:t>
      </w:r>
    </w:p>
    <w:p w14:paraId="42BBEC17" w14:textId="3E5D1156" w:rsidR="00A96770" w:rsidRDefault="00A96770" w:rsidP="00A96770">
      <w:pPr>
        <w:pStyle w:val="NoSpacing"/>
      </w:pPr>
    </w:p>
    <w:p w14:paraId="09B78508" w14:textId="511F0600" w:rsidR="00A96770" w:rsidRPr="00A96770" w:rsidRDefault="00A96770" w:rsidP="00A96770">
      <w:pPr>
        <w:pStyle w:val="NoSpacing"/>
      </w:pPr>
      <w:r w:rsidRPr="00A96770">
        <w:t>Response</w:t>
      </w:r>
    </w:p>
    <w:tbl>
      <w:tblPr>
        <w:tblW w:w="0" w:type="auto"/>
        <w:shd w:val="clear" w:color="auto" w:fill="FFFFFF"/>
        <w:tblCellMar>
          <w:left w:w="420" w:type="dxa"/>
          <w:right w:w="420" w:type="dxa"/>
        </w:tblCellMar>
        <w:tblLook w:val="04A0" w:firstRow="1" w:lastRow="0" w:firstColumn="1" w:lastColumn="0" w:noHBand="0" w:noVBand="1"/>
      </w:tblPr>
      <w:tblGrid>
        <w:gridCol w:w="2429"/>
        <w:gridCol w:w="991"/>
        <w:gridCol w:w="5940"/>
      </w:tblGrid>
      <w:tr w:rsidR="00A96770" w:rsidRPr="00A96770" w14:paraId="31B74916" w14:textId="77777777" w:rsidTr="00A96770">
        <w:trPr>
          <w:tblHeader/>
        </w:trPr>
        <w:tc>
          <w:tcPr>
            <w:tcW w:w="0" w:type="auto"/>
            <w:tcBorders>
              <w:bottom w:val="single" w:sz="4" w:space="0" w:color="auto"/>
            </w:tcBorders>
            <w:shd w:val="clear" w:color="auto" w:fill="FFFFFF"/>
            <w:tcMar>
              <w:top w:w="75" w:type="dxa"/>
              <w:left w:w="150" w:type="dxa"/>
              <w:bottom w:w="75" w:type="dxa"/>
              <w:right w:w="150" w:type="dxa"/>
            </w:tcMar>
            <w:vAlign w:val="bottom"/>
            <w:hideMark/>
          </w:tcPr>
          <w:p w14:paraId="60774C49" w14:textId="77777777" w:rsidR="00A96770" w:rsidRPr="00A96770" w:rsidRDefault="00A96770" w:rsidP="00A96770">
            <w:pPr>
              <w:spacing w:after="240" w:line="240" w:lineRule="auto"/>
              <w:rPr>
                <w:rFonts w:ascii="Segoe UI" w:eastAsia="Times New Roman" w:hAnsi="Segoe UI" w:cs="Segoe UI"/>
                <w:b/>
                <w:bCs/>
                <w:color w:val="222222"/>
                <w:sz w:val="20"/>
                <w:szCs w:val="20"/>
              </w:rPr>
            </w:pPr>
            <w:r w:rsidRPr="00A96770">
              <w:rPr>
                <w:rFonts w:ascii="Segoe UI" w:eastAsia="Times New Roman" w:hAnsi="Segoe UI" w:cs="Segoe UI"/>
                <w:b/>
                <w:bCs/>
                <w:color w:val="222222"/>
                <w:sz w:val="20"/>
                <w:szCs w:val="20"/>
              </w:rPr>
              <w:t>Key</w:t>
            </w:r>
          </w:p>
        </w:tc>
        <w:tc>
          <w:tcPr>
            <w:tcW w:w="0" w:type="auto"/>
            <w:tcBorders>
              <w:bottom w:val="single" w:sz="4" w:space="0" w:color="auto"/>
            </w:tcBorders>
            <w:shd w:val="clear" w:color="auto" w:fill="FFFFFF"/>
            <w:tcMar>
              <w:top w:w="75" w:type="dxa"/>
              <w:left w:w="150" w:type="dxa"/>
              <w:bottom w:w="75" w:type="dxa"/>
              <w:right w:w="150" w:type="dxa"/>
            </w:tcMar>
            <w:vAlign w:val="bottom"/>
            <w:hideMark/>
          </w:tcPr>
          <w:p w14:paraId="5BB67831" w14:textId="77777777" w:rsidR="00A96770" w:rsidRPr="00A96770" w:rsidRDefault="00A96770" w:rsidP="00A96770">
            <w:pPr>
              <w:spacing w:after="240" w:line="240" w:lineRule="auto"/>
              <w:rPr>
                <w:rFonts w:ascii="Segoe UI" w:eastAsia="Times New Roman" w:hAnsi="Segoe UI" w:cs="Segoe UI"/>
                <w:b/>
                <w:bCs/>
                <w:color w:val="222222"/>
                <w:sz w:val="20"/>
                <w:szCs w:val="20"/>
              </w:rPr>
            </w:pPr>
            <w:r w:rsidRPr="00A96770">
              <w:rPr>
                <w:rFonts w:ascii="Segoe UI" w:eastAsia="Times New Roman" w:hAnsi="Segoe UI" w:cs="Segoe UI"/>
                <w:b/>
                <w:bCs/>
                <w:color w:val="222222"/>
                <w:sz w:val="20"/>
                <w:szCs w:val="20"/>
              </w:rPr>
              <w:t>Type</w:t>
            </w:r>
          </w:p>
        </w:tc>
        <w:tc>
          <w:tcPr>
            <w:tcW w:w="0" w:type="auto"/>
            <w:tcBorders>
              <w:bottom w:val="single" w:sz="4" w:space="0" w:color="auto"/>
            </w:tcBorders>
            <w:shd w:val="clear" w:color="auto" w:fill="FFFFFF"/>
            <w:tcMar>
              <w:top w:w="75" w:type="dxa"/>
              <w:left w:w="150" w:type="dxa"/>
              <w:bottom w:w="75" w:type="dxa"/>
              <w:right w:w="150" w:type="dxa"/>
            </w:tcMar>
            <w:vAlign w:val="bottom"/>
            <w:hideMark/>
          </w:tcPr>
          <w:p w14:paraId="022DCA51" w14:textId="77777777" w:rsidR="00A96770" w:rsidRPr="00A96770" w:rsidRDefault="00A96770" w:rsidP="00A96770">
            <w:pPr>
              <w:spacing w:after="240" w:line="240" w:lineRule="auto"/>
              <w:rPr>
                <w:rFonts w:ascii="Segoe UI" w:eastAsia="Times New Roman" w:hAnsi="Segoe UI" w:cs="Segoe UI"/>
                <w:b/>
                <w:bCs/>
                <w:color w:val="222222"/>
                <w:sz w:val="20"/>
                <w:szCs w:val="20"/>
              </w:rPr>
            </w:pPr>
            <w:r w:rsidRPr="00A96770">
              <w:rPr>
                <w:rFonts w:ascii="Segoe UI" w:eastAsia="Times New Roman" w:hAnsi="Segoe UI" w:cs="Segoe UI"/>
                <w:b/>
                <w:bCs/>
                <w:color w:val="222222"/>
                <w:sz w:val="20"/>
                <w:szCs w:val="20"/>
              </w:rPr>
              <w:t>Availability</w:t>
            </w:r>
          </w:p>
        </w:tc>
      </w:tr>
      <w:tr w:rsidR="00A96770" w:rsidRPr="00A96770" w14:paraId="7D55686C"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5F7BABA8" w14:textId="77777777" w:rsidR="00A96770" w:rsidRPr="00A96770" w:rsidRDefault="00A96770" w:rsidP="00A96770">
            <w:pPr>
              <w:spacing w:after="240" w:line="240" w:lineRule="auto"/>
              <w:rPr>
                <w:rFonts w:ascii="Segoe UI" w:eastAsia="Times New Roman" w:hAnsi="Segoe UI" w:cs="Segoe UI"/>
                <w:color w:val="222222"/>
                <w:sz w:val="20"/>
                <w:szCs w:val="20"/>
              </w:rPr>
            </w:pPr>
            <w:r w:rsidRPr="00A96770">
              <w:rPr>
                <w:rFonts w:ascii="Segoe UI" w:eastAsia="Times New Roman" w:hAnsi="Segoe UI" w:cs="Segoe UI"/>
                <w:b/>
                <w:bCs/>
                <w:color w:val="222222"/>
                <w:sz w:val="24"/>
                <w:szCs w:val="24"/>
              </w:rPr>
              <w:t>minute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267534A2" w14:textId="77777777" w:rsidR="00A96770" w:rsidRPr="00A96770" w:rsidRDefault="00A96770" w:rsidP="00A96770">
            <w:pPr>
              <w:spacing w:after="240" w:line="240" w:lineRule="auto"/>
              <w:rPr>
                <w:rFonts w:ascii="Segoe UI" w:eastAsia="Times New Roman" w:hAnsi="Segoe UI" w:cs="Segoe UI"/>
                <w:color w:val="222222"/>
                <w:sz w:val="20"/>
                <w:szCs w:val="20"/>
              </w:rPr>
            </w:pPr>
            <w:r w:rsidRPr="00A96770">
              <w:rPr>
                <w:rFonts w:ascii="Segoe UI" w:eastAsia="Times New Roman" w:hAnsi="Segoe UI" w:cs="Segoe UI"/>
                <w:color w:val="222222"/>
                <w:sz w:val="20"/>
                <w:szCs w:val="20"/>
              </w:rPr>
              <w:t>string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7970F434" w14:textId="77777777" w:rsidR="00A96770" w:rsidRPr="00A96770" w:rsidRDefault="00A96770" w:rsidP="00A96770">
            <w:pPr>
              <w:spacing w:after="240" w:line="240" w:lineRule="auto"/>
              <w:rPr>
                <w:rFonts w:ascii="Segoe UI" w:eastAsia="Times New Roman" w:hAnsi="Segoe UI" w:cs="Segoe UI"/>
                <w:color w:val="222222"/>
                <w:sz w:val="20"/>
                <w:szCs w:val="20"/>
              </w:rPr>
            </w:pPr>
            <w:r w:rsidRPr="00A96770">
              <w:rPr>
                <w:rFonts w:ascii="Segoe UI" w:eastAsia="Times New Roman" w:hAnsi="Segoe UI" w:cs="Segoe UI"/>
                <w:color w:val="222222"/>
                <w:sz w:val="20"/>
                <w:szCs w:val="20"/>
              </w:rPr>
              <w:t>is </w:t>
            </w:r>
            <w:r w:rsidRPr="00A96770">
              <w:rPr>
                <w:rFonts w:ascii="Segoe UI" w:eastAsia="Times New Roman" w:hAnsi="Segoe UI" w:cs="Segoe UI"/>
                <w:b/>
                <w:bCs/>
                <w:color w:val="222222"/>
                <w:sz w:val="24"/>
                <w:szCs w:val="24"/>
              </w:rPr>
              <w:t>only</w:t>
            </w:r>
            <w:r w:rsidRPr="00A96770">
              <w:rPr>
                <w:rFonts w:ascii="Segoe UI" w:eastAsia="Times New Roman" w:hAnsi="Segoe UI" w:cs="Segoe UI"/>
                <w:color w:val="222222"/>
                <w:sz w:val="20"/>
                <w:szCs w:val="20"/>
              </w:rPr>
              <w:t> available on </w:t>
            </w:r>
            <w:r w:rsidRPr="00A96770">
              <w:rPr>
                <w:rFonts w:ascii="Consolas" w:eastAsia="Times New Roman" w:hAnsi="Consolas" w:cs="Courier New"/>
                <w:color w:val="222222"/>
                <w:sz w:val="18"/>
                <w:szCs w:val="18"/>
              </w:rPr>
              <w:t>1d</w:t>
            </w:r>
            <w:r w:rsidRPr="00A96770">
              <w:rPr>
                <w:rFonts w:ascii="Segoe UI" w:eastAsia="Times New Roman" w:hAnsi="Segoe UI" w:cs="Segoe UI"/>
                <w:color w:val="222222"/>
                <w:sz w:val="20"/>
                <w:szCs w:val="20"/>
              </w:rPr>
              <w:t> chart.</w:t>
            </w:r>
          </w:p>
        </w:tc>
      </w:tr>
      <w:tr w:rsidR="00A96770" w:rsidRPr="00A96770" w14:paraId="71880EE2"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0DDD15E5"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lastRenderedPageBreak/>
              <w:t>high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759DAF7B"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3D61F1DA"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available on </w:t>
            </w:r>
            <w:r w:rsidRPr="00A96770">
              <w:rPr>
                <w:rFonts w:ascii="Segoe UI" w:eastAsia="Times New Roman" w:hAnsi="Segoe UI" w:cs="Segoe UI"/>
                <w:b/>
                <w:bCs/>
                <w:color w:val="222222"/>
                <w:sz w:val="24"/>
                <w:szCs w:val="24"/>
                <w:highlight w:val="cyan"/>
              </w:rPr>
              <w:t>all</w:t>
            </w:r>
            <w:r w:rsidRPr="00A96770">
              <w:rPr>
                <w:rFonts w:ascii="Segoe UI" w:eastAsia="Times New Roman" w:hAnsi="Segoe UI" w:cs="Segoe UI"/>
                <w:color w:val="222222"/>
                <w:sz w:val="20"/>
                <w:szCs w:val="20"/>
                <w:highlight w:val="cyan"/>
              </w:rPr>
              <w:t> charts.</w:t>
            </w:r>
          </w:p>
        </w:tc>
      </w:tr>
      <w:tr w:rsidR="00A96770" w:rsidRPr="00A96770" w14:paraId="16E951B3"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0BAFFA60"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low</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7924FB87"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1AD27543"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available on </w:t>
            </w:r>
            <w:r w:rsidRPr="00A96770">
              <w:rPr>
                <w:rFonts w:ascii="Segoe UI" w:eastAsia="Times New Roman" w:hAnsi="Segoe UI" w:cs="Segoe UI"/>
                <w:b/>
                <w:bCs/>
                <w:color w:val="222222"/>
                <w:sz w:val="24"/>
                <w:szCs w:val="24"/>
                <w:highlight w:val="cyan"/>
              </w:rPr>
              <w:t>all</w:t>
            </w:r>
            <w:r w:rsidRPr="00A96770">
              <w:rPr>
                <w:rFonts w:ascii="Segoe UI" w:eastAsia="Times New Roman" w:hAnsi="Segoe UI" w:cs="Segoe UI"/>
                <w:color w:val="222222"/>
                <w:sz w:val="20"/>
                <w:szCs w:val="20"/>
                <w:highlight w:val="cyan"/>
              </w:rPr>
              <w:t> charts.</w:t>
            </w:r>
          </w:p>
        </w:tc>
      </w:tr>
      <w:tr w:rsidR="00A96770" w:rsidRPr="00A96770" w14:paraId="0DFAAF51"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0FF00903"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volume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0696686C"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5330B0C7"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available on </w:t>
            </w:r>
            <w:r w:rsidRPr="00A96770">
              <w:rPr>
                <w:rFonts w:ascii="Segoe UI" w:eastAsia="Times New Roman" w:hAnsi="Segoe UI" w:cs="Segoe UI"/>
                <w:b/>
                <w:bCs/>
                <w:color w:val="222222"/>
                <w:sz w:val="24"/>
                <w:szCs w:val="24"/>
                <w:highlight w:val="cyan"/>
              </w:rPr>
              <w:t>all</w:t>
            </w:r>
            <w:r w:rsidRPr="00A96770">
              <w:rPr>
                <w:rFonts w:ascii="Segoe UI" w:eastAsia="Times New Roman" w:hAnsi="Segoe UI" w:cs="Segoe UI"/>
                <w:color w:val="222222"/>
                <w:sz w:val="20"/>
                <w:szCs w:val="20"/>
                <w:highlight w:val="cyan"/>
              </w:rPr>
              <w:t> charts.</w:t>
            </w:r>
          </w:p>
        </w:tc>
      </w:tr>
      <w:tr w:rsidR="00A96770" w:rsidRPr="00A96770" w14:paraId="44D6D2EB"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652474EA"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label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42A62194"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7A630C2B"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available on </w:t>
            </w:r>
            <w:r w:rsidRPr="00A96770">
              <w:rPr>
                <w:rFonts w:ascii="Segoe UI" w:eastAsia="Times New Roman" w:hAnsi="Segoe UI" w:cs="Segoe UI"/>
                <w:b/>
                <w:bCs/>
                <w:color w:val="222222"/>
                <w:sz w:val="24"/>
                <w:szCs w:val="24"/>
                <w:highlight w:val="cyan"/>
              </w:rPr>
              <w:t>all</w:t>
            </w:r>
            <w:r w:rsidRPr="00A96770">
              <w:rPr>
                <w:rFonts w:ascii="Segoe UI" w:eastAsia="Times New Roman" w:hAnsi="Segoe UI" w:cs="Segoe UI"/>
                <w:color w:val="222222"/>
                <w:sz w:val="20"/>
                <w:szCs w:val="20"/>
                <w:highlight w:val="cyan"/>
              </w:rPr>
              <w:t> charts. A variable formatted version of the date depending on the range. Optional convienience field.</w:t>
            </w:r>
          </w:p>
        </w:tc>
      </w:tr>
      <w:tr w:rsidR="00A96770" w:rsidRPr="00A96770" w14:paraId="7267D0B6"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0066609C"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changeOverTime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7294EEFA"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56A0D067"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available on </w:t>
            </w:r>
            <w:r w:rsidRPr="00A96770">
              <w:rPr>
                <w:rFonts w:ascii="Segoe UI" w:eastAsia="Times New Roman" w:hAnsi="Segoe UI" w:cs="Segoe UI"/>
                <w:b/>
                <w:bCs/>
                <w:color w:val="222222"/>
                <w:sz w:val="24"/>
                <w:szCs w:val="24"/>
                <w:highlight w:val="cyan"/>
              </w:rPr>
              <w:t>all</w:t>
            </w:r>
            <w:r w:rsidRPr="00A96770">
              <w:rPr>
                <w:rFonts w:ascii="Segoe UI" w:eastAsia="Times New Roman" w:hAnsi="Segoe UI" w:cs="Segoe UI"/>
                <w:color w:val="222222"/>
                <w:sz w:val="20"/>
                <w:szCs w:val="20"/>
                <w:highlight w:val="cyan"/>
              </w:rPr>
              <w:t> charts. Percent change of each interval relative to first value. Useful for comparing multiple stocks.</w:t>
            </w:r>
          </w:p>
        </w:tc>
      </w:tr>
      <w:tr w:rsidR="00A96770" w:rsidRPr="00A96770" w14:paraId="55265384" w14:textId="77777777" w:rsidTr="00A96770">
        <w:trPr>
          <w:trHeight w:val="335"/>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13BED965"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date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1BA6B429"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string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655A52C6"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available on </w:t>
            </w:r>
            <w:r w:rsidRPr="00A96770">
              <w:rPr>
                <w:rFonts w:ascii="Segoe UI" w:eastAsia="Times New Roman" w:hAnsi="Segoe UI" w:cs="Segoe UI"/>
                <w:b/>
                <w:bCs/>
                <w:color w:val="222222"/>
                <w:sz w:val="24"/>
                <w:szCs w:val="24"/>
                <w:highlight w:val="cyan"/>
              </w:rPr>
              <w:t>all</w:t>
            </w:r>
            <w:r w:rsidRPr="00A96770">
              <w:rPr>
                <w:rFonts w:ascii="Segoe UI" w:eastAsia="Times New Roman" w:hAnsi="Segoe UI" w:cs="Segoe UI"/>
                <w:color w:val="222222"/>
                <w:sz w:val="20"/>
                <w:szCs w:val="20"/>
                <w:highlight w:val="cyan"/>
              </w:rPr>
              <w:t> charts.</w:t>
            </w:r>
          </w:p>
        </w:tc>
      </w:tr>
      <w:tr w:rsidR="00A96770" w:rsidRPr="00A96770" w14:paraId="2D3DC1FB"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3A5EC3C6"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open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60894E15"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0E855C97"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available on </w:t>
            </w:r>
            <w:r w:rsidRPr="00A96770">
              <w:rPr>
                <w:rFonts w:ascii="Segoe UI" w:eastAsia="Times New Roman" w:hAnsi="Segoe UI" w:cs="Segoe UI"/>
                <w:b/>
                <w:bCs/>
                <w:color w:val="222222"/>
                <w:sz w:val="24"/>
                <w:szCs w:val="24"/>
                <w:highlight w:val="cyan"/>
              </w:rPr>
              <w:t>all</w:t>
            </w:r>
            <w:r w:rsidRPr="00A96770">
              <w:rPr>
                <w:rFonts w:ascii="Segoe UI" w:eastAsia="Times New Roman" w:hAnsi="Segoe UI" w:cs="Segoe UI"/>
                <w:color w:val="222222"/>
                <w:sz w:val="20"/>
                <w:szCs w:val="20"/>
                <w:highlight w:val="cyan"/>
              </w:rPr>
              <w:t> charts.</w:t>
            </w:r>
          </w:p>
        </w:tc>
      </w:tr>
      <w:tr w:rsidR="00A96770" w:rsidRPr="00A96770" w14:paraId="27130936"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35478BB5"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close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14C76A36"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414249B9"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available on </w:t>
            </w:r>
            <w:r w:rsidRPr="00A96770">
              <w:rPr>
                <w:rFonts w:ascii="Segoe UI" w:eastAsia="Times New Roman" w:hAnsi="Segoe UI" w:cs="Segoe UI"/>
                <w:b/>
                <w:bCs/>
                <w:color w:val="222222"/>
                <w:sz w:val="24"/>
                <w:szCs w:val="24"/>
                <w:highlight w:val="cyan"/>
              </w:rPr>
              <w:t>all</w:t>
            </w:r>
            <w:r w:rsidRPr="00A96770">
              <w:rPr>
                <w:rFonts w:ascii="Segoe UI" w:eastAsia="Times New Roman" w:hAnsi="Segoe UI" w:cs="Segoe UI"/>
                <w:color w:val="222222"/>
                <w:sz w:val="20"/>
                <w:szCs w:val="20"/>
                <w:highlight w:val="cyan"/>
              </w:rPr>
              <w:t> charts.</w:t>
            </w:r>
          </w:p>
        </w:tc>
      </w:tr>
      <w:tr w:rsidR="00A96770" w:rsidRPr="00A96770" w14:paraId="3CB13195"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20552FA4"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unadjustedVolume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7F1163F1"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59340BB0"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w:t>
            </w:r>
            <w:r w:rsidRPr="00A96770">
              <w:rPr>
                <w:rFonts w:ascii="Segoe UI" w:eastAsia="Times New Roman" w:hAnsi="Segoe UI" w:cs="Segoe UI"/>
                <w:b/>
                <w:bCs/>
                <w:color w:val="222222"/>
                <w:sz w:val="24"/>
                <w:szCs w:val="24"/>
                <w:highlight w:val="cyan"/>
              </w:rPr>
              <w:t>not</w:t>
            </w:r>
            <w:r w:rsidRPr="00A96770">
              <w:rPr>
                <w:rFonts w:ascii="Segoe UI" w:eastAsia="Times New Roman" w:hAnsi="Segoe UI" w:cs="Segoe UI"/>
                <w:color w:val="222222"/>
                <w:sz w:val="20"/>
                <w:szCs w:val="20"/>
                <w:highlight w:val="cyan"/>
              </w:rPr>
              <w:t> available on </w:t>
            </w:r>
            <w:r w:rsidRPr="00A96770">
              <w:rPr>
                <w:rFonts w:ascii="Consolas" w:eastAsia="Times New Roman" w:hAnsi="Consolas" w:cs="Courier New"/>
                <w:color w:val="222222"/>
                <w:sz w:val="18"/>
                <w:szCs w:val="18"/>
                <w:highlight w:val="cyan"/>
              </w:rPr>
              <w:t>1d</w:t>
            </w:r>
            <w:r w:rsidRPr="00A96770">
              <w:rPr>
                <w:rFonts w:ascii="Segoe UI" w:eastAsia="Times New Roman" w:hAnsi="Segoe UI" w:cs="Segoe UI"/>
                <w:color w:val="222222"/>
                <w:sz w:val="20"/>
                <w:szCs w:val="20"/>
                <w:highlight w:val="cyan"/>
              </w:rPr>
              <w:t> chart.</w:t>
            </w:r>
          </w:p>
        </w:tc>
      </w:tr>
      <w:tr w:rsidR="00A96770" w:rsidRPr="00A96770" w14:paraId="22EDD69D"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74C80861"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change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38F6569E"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5D65BC18"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w:t>
            </w:r>
            <w:r w:rsidRPr="00A96770">
              <w:rPr>
                <w:rFonts w:ascii="Segoe UI" w:eastAsia="Times New Roman" w:hAnsi="Segoe UI" w:cs="Segoe UI"/>
                <w:b/>
                <w:bCs/>
                <w:color w:val="222222"/>
                <w:sz w:val="24"/>
                <w:szCs w:val="24"/>
                <w:highlight w:val="cyan"/>
              </w:rPr>
              <w:t>not</w:t>
            </w:r>
            <w:r w:rsidRPr="00A96770">
              <w:rPr>
                <w:rFonts w:ascii="Segoe UI" w:eastAsia="Times New Roman" w:hAnsi="Segoe UI" w:cs="Segoe UI"/>
                <w:color w:val="222222"/>
                <w:sz w:val="20"/>
                <w:szCs w:val="20"/>
                <w:highlight w:val="cyan"/>
              </w:rPr>
              <w:t> available on </w:t>
            </w:r>
            <w:r w:rsidRPr="00A96770">
              <w:rPr>
                <w:rFonts w:ascii="Consolas" w:eastAsia="Times New Roman" w:hAnsi="Consolas" w:cs="Courier New"/>
                <w:color w:val="222222"/>
                <w:sz w:val="18"/>
                <w:szCs w:val="18"/>
                <w:highlight w:val="cyan"/>
              </w:rPr>
              <w:t>1d</w:t>
            </w:r>
            <w:r w:rsidRPr="00A96770">
              <w:rPr>
                <w:rFonts w:ascii="Segoe UI" w:eastAsia="Times New Roman" w:hAnsi="Segoe UI" w:cs="Segoe UI"/>
                <w:color w:val="222222"/>
                <w:sz w:val="20"/>
                <w:szCs w:val="20"/>
                <w:highlight w:val="cyan"/>
              </w:rPr>
              <w:t> chart.</w:t>
            </w:r>
          </w:p>
        </w:tc>
      </w:tr>
      <w:tr w:rsidR="00A96770" w:rsidRPr="00A96770" w14:paraId="1D2677E5"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194EFC1C"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changePercent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062A850F"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283F3D7C"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w:t>
            </w:r>
            <w:r w:rsidRPr="00A96770">
              <w:rPr>
                <w:rFonts w:ascii="Segoe UI" w:eastAsia="Times New Roman" w:hAnsi="Segoe UI" w:cs="Segoe UI"/>
                <w:b/>
                <w:bCs/>
                <w:color w:val="222222"/>
                <w:sz w:val="24"/>
                <w:szCs w:val="24"/>
                <w:highlight w:val="cyan"/>
              </w:rPr>
              <w:t>not</w:t>
            </w:r>
            <w:r w:rsidRPr="00A96770">
              <w:rPr>
                <w:rFonts w:ascii="Segoe UI" w:eastAsia="Times New Roman" w:hAnsi="Segoe UI" w:cs="Segoe UI"/>
                <w:color w:val="222222"/>
                <w:sz w:val="20"/>
                <w:szCs w:val="20"/>
                <w:highlight w:val="cyan"/>
              </w:rPr>
              <w:t> available on </w:t>
            </w:r>
            <w:r w:rsidRPr="00A96770">
              <w:rPr>
                <w:rFonts w:ascii="Consolas" w:eastAsia="Times New Roman" w:hAnsi="Consolas" w:cs="Courier New"/>
                <w:color w:val="222222"/>
                <w:sz w:val="18"/>
                <w:szCs w:val="18"/>
                <w:highlight w:val="cyan"/>
              </w:rPr>
              <w:t>1d</w:t>
            </w:r>
            <w:r w:rsidRPr="00A96770">
              <w:rPr>
                <w:rFonts w:ascii="Segoe UI" w:eastAsia="Times New Roman" w:hAnsi="Segoe UI" w:cs="Segoe UI"/>
                <w:color w:val="222222"/>
                <w:sz w:val="20"/>
                <w:szCs w:val="20"/>
                <w:highlight w:val="cyan"/>
              </w:rPr>
              <w:t> chart.</w:t>
            </w:r>
          </w:p>
        </w:tc>
      </w:tr>
      <w:tr w:rsidR="00A96770" w:rsidRPr="00A96770" w14:paraId="1B8B6977" w14:textId="77777777" w:rsidTr="00A96770">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67D2485B"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b/>
                <w:bCs/>
                <w:color w:val="222222"/>
                <w:sz w:val="24"/>
                <w:szCs w:val="24"/>
                <w:highlight w:val="cyan"/>
              </w:rPr>
              <w:t>vwap</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092EC5CB"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number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p w14:paraId="6266C473" w14:textId="77777777" w:rsidR="00A96770" w:rsidRPr="00A96770" w:rsidRDefault="00A96770" w:rsidP="00A96770">
            <w:pPr>
              <w:spacing w:after="240" w:line="240" w:lineRule="auto"/>
              <w:rPr>
                <w:rFonts w:ascii="Segoe UI" w:eastAsia="Times New Roman" w:hAnsi="Segoe UI" w:cs="Segoe UI"/>
                <w:color w:val="222222"/>
                <w:sz w:val="20"/>
                <w:szCs w:val="20"/>
                <w:highlight w:val="cyan"/>
              </w:rPr>
            </w:pPr>
            <w:r w:rsidRPr="00A96770">
              <w:rPr>
                <w:rFonts w:ascii="Segoe UI" w:eastAsia="Times New Roman" w:hAnsi="Segoe UI" w:cs="Segoe UI"/>
                <w:color w:val="222222"/>
                <w:sz w:val="20"/>
                <w:szCs w:val="20"/>
                <w:highlight w:val="cyan"/>
              </w:rPr>
              <w:t>is </w:t>
            </w:r>
            <w:r w:rsidRPr="00A96770">
              <w:rPr>
                <w:rFonts w:ascii="Segoe UI" w:eastAsia="Times New Roman" w:hAnsi="Segoe UI" w:cs="Segoe UI"/>
                <w:b/>
                <w:bCs/>
                <w:color w:val="222222"/>
                <w:sz w:val="24"/>
                <w:szCs w:val="24"/>
                <w:highlight w:val="cyan"/>
              </w:rPr>
              <w:t>not</w:t>
            </w:r>
            <w:r w:rsidRPr="00A96770">
              <w:rPr>
                <w:rFonts w:ascii="Segoe UI" w:eastAsia="Times New Roman" w:hAnsi="Segoe UI" w:cs="Segoe UI"/>
                <w:color w:val="222222"/>
                <w:sz w:val="20"/>
                <w:szCs w:val="20"/>
                <w:highlight w:val="cyan"/>
              </w:rPr>
              <w:t> available on </w:t>
            </w:r>
            <w:r w:rsidRPr="00A96770">
              <w:rPr>
                <w:rFonts w:ascii="Consolas" w:eastAsia="Times New Roman" w:hAnsi="Consolas" w:cs="Courier New"/>
                <w:color w:val="222222"/>
                <w:sz w:val="18"/>
                <w:szCs w:val="18"/>
                <w:highlight w:val="cyan"/>
              </w:rPr>
              <w:t>1d</w:t>
            </w:r>
            <w:r w:rsidRPr="00A96770">
              <w:rPr>
                <w:rFonts w:ascii="Segoe UI" w:eastAsia="Times New Roman" w:hAnsi="Segoe UI" w:cs="Segoe UI"/>
                <w:color w:val="222222"/>
                <w:sz w:val="20"/>
                <w:szCs w:val="20"/>
                <w:highlight w:val="cyan"/>
              </w:rPr>
              <w:t> chart.</w:t>
            </w:r>
          </w:p>
        </w:tc>
      </w:tr>
    </w:tbl>
    <w:p w14:paraId="642B5B31" w14:textId="77777777" w:rsidR="00CE1564" w:rsidRPr="00CE1564" w:rsidRDefault="00CE1564" w:rsidP="00CE1564">
      <w:pPr>
        <w:pStyle w:val="NoSpacing"/>
        <w:rPr>
          <w:rFonts w:ascii="Helvetica" w:hAnsi="Helvetica"/>
          <w:sz w:val="40"/>
          <w:szCs w:val="40"/>
        </w:rPr>
      </w:pPr>
      <w:r w:rsidRPr="00CE1564">
        <w:rPr>
          <w:bdr w:val="none" w:sz="0" w:space="0" w:color="auto" w:frame="1"/>
        </w:rPr>
        <w:t>Volume-weighted average price</w:t>
      </w:r>
    </w:p>
    <w:p w14:paraId="6E5643B6" w14:textId="77777777" w:rsidR="00CE1564" w:rsidRPr="00CE1564" w:rsidRDefault="00CE1564" w:rsidP="00CE1564">
      <w:pPr>
        <w:pStyle w:val="NoSpacing"/>
        <w:rPr>
          <w:rFonts w:ascii="Helvetica" w:hAnsi="Helvetica"/>
          <w:color w:val="666666"/>
        </w:rPr>
      </w:pPr>
      <w:r w:rsidRPr="00CE1564">
        <w:rPr>
          <w:color w:val="666666"/>
          <w:sz w:val="30"/>
          <w:szCs w:val="30"/>
          <w:bdr w:val="none" w:sz="0" w:space="0" w:color="auto" w:frame="1"/>
        </w:rPr>
        <w:lastRenderedPageBreak/>
        <w:t>In finance, volume-weighted average price is the ratio of the value traded to total volume traded over a particular time horizon. It is a measure of the average price at which a stock is traded over the trading horizon.</w:t>
      </w:r>
    </w:p>
    <w:p w14:paraId="136EE810" w14:textId="15A82155" w:rsidR="00A96770" w:rsidRDefault="00A96770" w:rsidP="00A96770">
      <w:pPr>
        <w:pStyle w:val="NoSpacing"/>
      </w:pPr>
    </w:p>
    <w:p w14:paraId="6E137E96" w14:textId="7CEC2FFB" w:rsidR="00A96770" w:rsidRDefault="00A96770" w:rsidP="00A96770">
      <w:pPr>
        <w:pStyle w:val="NoSpacing"/>
      </w:pPr>
    </w:p>
    <w:p w14:paraId="0BF9BB2E" w14:textId="1B0687CB" w:rsidR="00A96770" w:rsidRDefault="00A96770" w:rsidP="000F16CC">
      <w:pPr>
        <w:pStyle w:val="Heading3"/>
        <w:rPr>
          <w:color w:val="0070C0"/>
        </w:rPr>
      </w:pPr>
      <w:r w:rsidRPr="000F16CC">
        <w:rPr>
          <w:color w:val="0070C0"/>
          <w:highlight w:val="magenta"/>
        </w:rPr>
        <w:t>Collections</w:t>
      </w:r>
    </w:p>
    <w:p w14:paraId="649436F5" w14:textId="250D4865" w:rsidR="000F16CC" w:rsidRDefault="000F16CC" w:rsidP="000F16CC">
      <w:pPr>
        <w:pStyle w:val="Heading3"/>
        <w:rPr>
          <w:color w:val="0070C0"/>
        </w:rPr>
      </w:pPr>
    </w:p>
    <w:p w14:paraId="099F1A0B" w14:textId="3FB75312" w:rsidR="000F16CC" w:rsidRDefault="000F16CC" w:rsidP="000F16CC">
      <w:pPr>
        <w:pStyle w:val="Heading3"/>
        <w:rPr>
          <w:rStyle w:val="HTMLCode"/>
          <w:rFonts w:ascii="Consolas" w:hAnsi="Consolas"/>
          <w:color w:val="222222"/>
          <w:sz w:val="18"/>
          <w:szCs w:val="18"/>
        </w:rPr>
      </w:pPr>
      <w:r>
        <w:rPr>
          <w:rFonts w:ascii="Segoe UI" w:hAnsi="Segoe UI" w:cs="Segoe UI"/>
          <w:color w:val="222222"/>
          <w:sz w:val="20"/>
          <w:szCs w:val="20"/>
          <w:shd w:val="clear" w:color="auto" w:fill="FFFFFF"/>
        </w:rPr>
        <w:t>Returns an array of </w:t>
      </w:r>
      <w:r>
        <w:rPr>
          <w:rStyle w:val="HTMLCode"/>
          <w:rFonts w:ascii="Consolas" w:hAnsi="Consolas"/>
          <w:color w:val="222222"/>
          <w:sz w:val="18"/>
          <w:szCs w:val="18"/>
        </w:rPr>
        <w:t>quote</w:t>
      </w:r>
      <w:r>
        <w:rPr>
          <w:rFonts w:ascii="Segoe UI" w:hAnsi="Segoe UI" w:cs="Segoe UI"/>
          <w:color w:val="222222"/>
          <w:sz w:val="20"/>
          <w:szCs w:val="20"/>
          <w:shd w:val="clear" w:color="auto" w:fill="FFFFFF"/>
        </w:rPr>
        <w:t> objects for a given collection type. Currently supported collection types are </w:t>
      </w:r>
      <w:r>
        <w:rPr>
          <w:rStyle w:val="HTMLCode"/>
          <w:rFonts w:ascii="Consolas" w:hAnsi="Consolas"/>
          <w:color w:val="222222"/>
          <w:sz w:val="18"/>
          <w:szCs w:val="18"/>
        </w:rPr>
        <w:t>sector</w:t>
      </w:r>
      <w:r>
        <w:rPr>
          <w:rFonts w:ascii="Segoe UI" w:hAnsi="Segoe UI" w:cs="Segoe UI"/>
          <w:color w:val="222222"/>
          <w:sz w:val="20"/>
          <w:szCs w:val="20"/>
          <w:shd w:val="clear" w:color="auto" w:fill="FFFFFF"/>
        </w:rPr>
        <w:t>, </w:t>
      </w:r>
      <w:r>
        <w:rPr>
          <w:rStyle w:val="HTMLCode"/>
          <w:rFonts w:ascii="Consolas" w:hAnsi="Consolas"/>
          <w:color w:val="222222"/>
          <w:sz w:val="18"/>
          <w:szCs w:val="18"/>
        </w:rPr>
        <w:t>tag</w:t>
      </w:r>
      <w:r>
        <w:rPr>
          <w:rFonts w:ascii="Segoe UI" w:hAnsi="Segoe UI" w:cs="Segoe UI"/>
          <w:color w:val="222222"/>
          <w:sz w:val="20"/>
          <w:szCs w:val="20"/>
          <w:shd w:val="clear" w:color="auto" w:fill="FFFFFF"/>
        </w:rPr>
        <w:t>, and </w:t>
      </w:r>
      <w:r>
        <w:rPr>
          <w:rStyle w:val="HTMLCode"/>
          <w:rFonts w:ascii="Consolas" w:hAnsi="Consolas"/>
          <w:color w:val="222222"/>
          <w:sz w:val="18"/>
          <w:szCs w:val="18"/>
        </w:rPr>
        <w:t>list</w:t>
      </w:r>
    </w:p>
    <w:p w14:paraId="76FAA630" w14:textId="08C678AD" w:rsidR="000F16CC" w:rsidRDefault="000F16CC" w:rsidP="000F16CC">
      <w:pPr>
        <w:pStyle w:val="Heading3"/>
        <w:rPr>
          <w:color w:val="0070C0"/>
        </w:rPr>
      </w:pPr>
    </w:p>
    <w:p w14:paraId="61EACBA4" w14:textId="77777777" w:rsidR="000F16CC" w:rsidRPr="000F16CC" w:rsidRDefault="000F16CC" w:rsidP="000F16CC">
      <w:pPr>
        <w:pStyle w:val="Heading3"/>
        <w:rPr>
          <w:color w:val="0070C0"/>
        </w:rPr>
      </w:pPr>
      <w:r w:rsidRPr="000F16CC">
        <w:rPr>
          <w:color w:val="0070C0"/>
        </w:rPr>
        <w:t>HTTP request</w:t>
      </w:r>
    </w:p>
    <w:p w14:paraId="07933A95" w14:textId="77777777" w:rsidR="000F16CC" w:rsidRPr="000F16CC" w:rsidRDefault="000F16CC" w:rsidP="000F16CC">
      <w:pPr>
        <w:pStyle w:val="Heading3"/>
        <w:rPr>
          <w:color w:val="0070C0"/>
        </w:rPr>
      </w:pPr>
      <w:r w:rsidRPr="000F16CC">
        <w:rPr>
          <w:color w:val="0070C0"/>
        </w:rPr>
        <w:t>/stock/market/collection/sector?collectionName=Health%20Care</w:t>
      </w:r>
    </w:p>
    <w:p w14:paraId="363B1E1A" w14:textId="77777777" w:rsidR="000F16CC" w:rsidRPr="000F16CC" w:rsidRDefault="000F16CC" w:rsidP="000F16CC">
      <w:pPr>
        <w:pStyle w:val="Heading3"/>
        <w:rPr>
          <w:color w:val="0070C0"/>
        </w:rPr>
      </w:pPr>
      <w:r w:rsidRPr="000F16CC">
        <w:rPr>
          <w:color w:val="0070C0"/>
        </w:rPr>
        <w:t>/stock/market/collection/tag?collectionName=Computer%20Hardware</w:t>
      </w:r>
    </w:p>
    <w:p w14:paraId="4110346D" w14:textId="0648E804" w:rsidR="000F16CC" w:rsidRDefault="000F16CC" w:rsidP="000F16CC">
      <w:pPr>
        <w:pStyle w:val="Heading3"/>
        <w:rPr>
          <w:color w:val="0070C0"/>
        </w:rPr>
      </w:pPr>
      <w:r w:rsidRPr="000F16CC">
        <w:rPr>
          <w:color w:val="0070C0"/>
        </w:rPr>
        <w:t>/stock/market/collection/list?collectionName=iexvolume</w:t>
      </w:r>
    </w:p>
    <w:p w14:paraId="35F99FCB" w14:textId="129AA93F" w:rsidR="000F16CC" w:rsidRDefault="000F16CC" w:rsidP="000F16CC">
      <w:pPr>
        <w:pStyle w:val="Heading3"/>
        <w:rPr>
          <w:color w:val="0070C0"/>
        </w:rPr>
      </w:pPr>
      <w:r w:rsidRPr="000F16CC">
        <w:rPr>
          <w:color w:val="0070C0"/>
        </w:rPr>
        <w:t>Parameters</w:t>
      </w:r>
    </w:p>
    <w:tbl>
      <w:tblPr>
        <w:tblW w:w="0" w:type="auto"/>
        <w:shd w:val="clear" w:color="auto" w:fill="FFFFFF"/>
        <w:tblCellMar>
          <w:left w:w="420" w:type="dxa"/>
          <w:right w:w="420" w:type="dxa"/>
        </w:tblCellMar>
        <w:tblLook w:val="04A0" w:firstRow="1" w:lastRow="0" w:firstColumn="1" w:lastColumn="0" w:noHBand="0" w:noVBand="1"/>
      </w:tblPr>
      <w:tblGrid>
        <w:gridCol w:w="2066"/>
        <w:gridCol w:w="6657"/>
      </w:tblGrid>
      <w:tr w:rsidR="000F16CC" w:rsidRPr="000F16CC" w14:paraId="2FC54822" w14:textId="77777777" w:rsidTr="000F16CC">
        <w:trPr>
          <w:tblHeader/>
        </w:trPr>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15BA70F9" w14:textId="77777777" w:rsidR="000F16CC" w:rsidRPr="000F16CC" w:rsidRDefault="000F16CC" w:rsidP="000F16CC">
            <w:pPr>
              <w:spacing w:after="240" w:line="240" w:lineRule="auto"/>
              <w:rPr>
                <w:rFonts w:ascii="Segoe UI" w:eastAsia="Times New Roman" w:hAnsi="Segoe UI" w:cs="Segoe UI"/>
                <w:b/>
                <w:bCs/>
                <w:color w:val="222222"/>
                <w:sz w:val="20"/>
                <w:szCs w:val="20"/>
              </w:rPr>
            </w:pPr>
            <w:r w:rsidRPr="000F16CC">
              <w:rPr>
                <w:rFonts w:ascii="Segoe UI" w:eastAsia="Times New Roman" w:hAnsi="Segoe UI" w:cs="Segoe UI"/>
                <w:b/>
                <w:bCs/>
                <w:color w:val="222222"/>
                <w:sz w:val="20"/>
                <w:szCs w:val="20"/>
              </w:rPr>
              <w:t>Parameter</w:t>
            </w:r>
          </w:p>
        </w:tc>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2C8CC744" w14:textId="77777777" w:rsidR="000F16CC" w:rsidRPr="000F16CC" w:rsidRDefault="000F16CC" w:rsidP="000F16CC">
            <w:pPr>
              <w:spacing w:after="240" w:line="240" w:lineRule="auto"/>
              <w:rPr>
                <w:rFonts w:ascii="Segoe UI" w:eastAsia="Times New Roman" w:hAnsi="Segoe UI" w:cs="Segoe UI"/>
                <w:b/>
                <w:bCs/>
                <w:color w:val="222222"/>
                <w:sz w:val="20"/>
                <w:szCs w:val="20"/>
              </w:rPr>
            </w:pPr>
            <w:r w:rsidRPr="000F16CC">
              <w:rPr>
                <w:rFonts w:ascii="Segoe UI" w:eastAsia="Times New Roman" w:hAnsi="Segoe UI" w:cs="Segoe UI"/>
                <w:b/>
                <w:bCs/>
                <w:color w:val="222222"/>
                <w:sz w:val="20"/>
                <w:szCs w:val="20"/>
              </w:rPr>
              <w:t>Details</w:t>
            </w:r>
          </w:p>
        </w:tc>
      </w:tr>
      <w:tr w:rsidR="000F16CC" w:rsidRPr="000F16CC" w14:paraId="27116B06" w14:textId="77777777" w:rsidTr="000F16CC">
        <w:tc>
          <w:tcPr>
            <w:tcW w:w="0" w:type="auto"/>
            <w:shd w:val="clear" w:color="auto" w:fill="FFFFFF"/>
            <w:tcMar>
              <w:top w:w="150" w:type="dxa"/>
              <w:left w:w="150" w:type="dxa"/>
              <w:bottom w:w="150" w:type="dxa"/>
              <w:right w:w="150" w:type="dxa"/>
            </w:tcMar>
            <w:hideMark/>
          </w:tcPr>
          <w:p w14:paraId="3E6CFE51" w14:textId="77777777" w:rsidR="000F16CC" w:rsidRPr="000F16CC" w:rsidRDefault="000F16CC" w:rsidP="000F16CC">
            <w:pPr>
              <w:spacing w:after="240" w:line="240" w:lineRule="auto"/>
              <w:rPr>
                <w:rFonts w:ascii="Segoe UI" w:eastAsia="Times New Roman" w:hAnsi="Segoe UI" w:cs="Segoe UI"/>
                <w:color w:val="222222"/>
                <w:sz w:val="20"/>
                <w:szCs w:val="20"/>
              </w:rPr>
            </w:pPr>
            <w:r w:rsidRPr="000F16CC">
              <w:rPr>
                <w:rFonts w:ascii="Segoe UI" w:eastAsia="Times New Roman" w:hAnsi="Segoe UI" w:cs="Segoe UI"/>
                <w:b/>
                <w:bCs/>
                <w:color w:val="222222"/>
                <w:sz w:val="24"/>
                <w:szCs w:val="24"/>
              </w:rPr>
              <w:t>collectionName</w:t>
            </w:r>
          </w:p>
        </w:tc>
        <w:tc>
          <w:tcPr>
            <w:tcW w:w="0" w:type="auto"/>
            <w:shd w:val="clear" w:color="auto" w:fill="FFFFFF"/>
            <w:tcMar>
              <w:top w:w="150" w:type="dxa"/>
              <w:left w:w="150" w:type="dxa"/>
              <w:bottom w:w="150" w:type="dxa"/>
              <w:right w:w="150" w:type="dxa"/>
            </w:tcMar>
            <w:hideMark/>
          </w:tcPr>
          <w:p w14:paraId="7440FF4A" w14:textId="77777777" w:rsidR="000A3EC7" w:rsidRDefault="000F16CC" w:rsidP="000A3EC7">
            <w:pPr>
              <w:pStyle w:val="NoSpacing"/>
              <w:rPr>
                <w:rFonts w:ascii="Segoe UI" w:eastAsia="Times New Roman" w:hAnsi="Segoe UI" w:cs="Segoe UI"/>
                <w:color w:val="222222"/>
                <w:sz w:val="20"/>
                <w:szCs w:val="20"/>
              </w:rPr>
            </w:pPr>
            <w:r w:rsidRPr="000F16CC">
              <w:rPr>
                <w:rFonts w:ascii="Segoe UI" w:eastAsia="Times New Roman" w:hAnsi="Segoe UI" w:cs="Segoe UI"/>
                <w:color w:val="222222"/>
                <w:sz w:val="20"/>
                <w:szCs w:val="20"/>
              </w:rPr>
              <w:t>• Required</w:t>
            </w:r>
            <w:r w:rsidRPr="000F16CC">
              <w:rPr>
                <w:rFonts w:ascii="Segoe UI" w:eastAsia="Times New Roman" w:hAnsi="Segoe UI" w:cs="Segoe UI"/>
                <w:color w:val="222222"/>
                <w:sz w:val="20"/>
                <w:szCs w:val="20"/>
              </w:rPr>
              <w:br/>
              <w:t>•Name of the sector, tag, or list to return and is </w:t>
            </w:r>
            <w:r w:rsidRPr="000F16CC">
              <w:rPr>
                <w:rFonts w:ascii="Segoe UI" w:eastAsia="Times New Roman" w:hAnsi="Segoe UI" w:cs="Segoe UI"/>
                <w:b/>
                <w:bCs/>
                <w:color w:val="222222"/>
                <w:sz w:val="20"/>
                <w:szCs w:val="20"/>
              </w:rPr>
              <w:t>case sensitive</w:t>
            </w:r>
            <w:r w:rsidRPr="000F16CC">
              <w:rPr>
                <w:rFonts w:ascii="Segoe UI" w:eastAsia="Times New Roman" w:hAnsi="Segoe UI" w:cs="Segoe UI"/>
                <w:color w:val="222222"/>
                <w:sz w:val="20"/>
                <w:szCs w:val="20"/>
              </w:rPr>
              <w:t>. </w:t>
            </w:r>
            <w:r w:rsidRPr="000F16CC">
              <w:rPr>
                <w:rFonts w:ascii="Segoe UI" w:eastAsia="Times New Roman" w:hAnsi="Segoe UI" w:cs="Segoe UI"/>
                <w:color w:val="222222"/>
                <w:sz w:val="20"/>
                <w:szCs w:val="20"/>
              </w:rPr>
              <w:br/>
              <w:t>Supported lists can be found under the </w:t>
            </w:r>
            <w:hyperlink r:id="rId7" w:anchor="list" w:history="1">
              <w:r w:rsidRPr="000F16CC">
                <w:rPr>
                  <w:rFonts w:ascii="Consolas" w:eastAsia="Times New Roman" w:hAnsi="Consolas" w:cs="Courier New"/>
                  <w:color w:val="006FE8"/>
                  <w:sz w:val="18"/>
                  <w:szCs w:val="18"/>
                </w:rPr>
                <w:t>list</w:t>
              </w:r>
            </w:hyperlink>
            <w:r w:rsidRPr="000F16CC">
              <w:rPr>
                <w:rFonts w:ascii="Segoe UI" w:eastAsia="Times New Roman" w:hAnsi="Segoe UI" w:cs="Segoe UI"/>
                <w:color w:val="222222"/>
                <w:sz w:val="20"/>
                <w:szCs w:val="20"/>
              </w:rPr>
              <w:t> section. </w:t>
            </w:r>
            <w:r w:rsidRPr="000F16CC">
              <w:rPr>
                <w:rFonts w:ascii="Segoe UI" w:eastAsia="Times New Roman" w:hAnsi="Segoe UI" w:cs="Segoe UI"/>
                <w:color w:val="222222"/>
                <w:sz w:val="20"/>
                <w:szCs w:val="20"/>
              </w:rPr>
              <w:br/>
              <w:t>Supported sectors can be found under the </w:t>
            </w:r>
            <w:hyperlink r:id="rId8" w:anchor="sector-performance" w:history="1">
              <w:r w:rsidRPr="000F16CC">
                <w:rPr>
                  <w:rFonts w:ascii="Consolas" w:eastAsia="Times New Roman" w:hAnsi="Consolas" w:cs="Courier New"/>
                  <w:color w:val="006FE8"/>
                  <w:sz w:val="18"/>
                  <w:szCs w:val="18"/>
                </w:rPr>
                <w:t>sector-performance</w:t>
              </w:r>
            </w:hyperlink>
            <w:r w:rsidRPr="000F16CC">
              <w:rPr>
                <w:rFonts w:ascii="Segoe UI" w:eastAsia="Times New Roman" w:hAnsi="Segoe UI" w:cs="Segoe UI"/>
                <w:color w:val="222222"/>
                <w:sz w:val="20"/>
                <w:szCs w:val="20"/>
              </w:rPr>
              <w:t> section. </w:t>
            </w:r>
          </w:p>
          <w:p w14:paraId="3105C483" w14:textId="0351CD63" w:rsidR="000A3EC7" w:rsidRPr="000A3EC7" w:rsidRDefault="000A3EC7" w:rsidP="000A3EC7">
            <w:pPr>
              <w:pStyle w:val="NoSpacing"/>
              <w:numPr>
                <w:ilvl w:val="0"/>
                <w:numId w:val="3"/>
              </w:numPr>
              <w:rPr>
                <w:highlight w:val="yellow"/>
              </w:rPr>
            </w:pPr>
            <w:r w:rsidRPr="000A3EC7">
              <w:rPr>
                <w:highlight w:val="yellow"/>
              </w:rPr>
              <w:t>Communication Services</w:t>
            </w:r>
          </w:p>
          <w:p w14:paraId="4550A996" w14:textId="77777777" w:rsidR="000A3EC7" w:rsidRPr="000A3EC7" w:rsidRDefault="000A3EC7" w:rsidP="000A3EC7">
            <w:pPr>
              <w:pStyle w:val="NoSpacing"/>
              <w:numPr>
                <w:ilvl w:val="0"/>
                <w:numId w:val="3"/>
              </w:numPr>
              <w:rPr>
                <w:highlight w:val="yellow"/>
              </w:rPr>
            </w:pPr>
            <w:r w:rsidRPr="000A3EC7">
              <w:rPr>
                <w:highlight w:val="yellow"/>
              </w:rPr>
              <w:t>Consumer Discretionary</w:t>
            </w:r>
          </w:p>
          <w:p w14:paraId="4286AAB8" w14:textId="77777777" w:rsidR="000A3EC7" w:rsidRPr="000A3EC7" w:rsidRDefault="000A3EC7" w:rsidP="000A3EC7">
            <w:pPr>
              <w:pStyle w:val="NoSpacing"/>
              <w:numPr>
                <w:ilvl w:val="0"/>
                <w:numId w:val="3"/>
              </w:numPr>
              <w:rPr>
                <w:highlight w:val="yellow"/>
              </w:rPr>
            </w:pPr>
            <w:r w:rsidRPr="000A3EC7">
              <w:rPr>
                <w:highlight w:val="yellow"/>
              </w:rPr>
              <w:t>Consumer Staples</w:t>
            </w:r>
          </w:p>
          <w:p w14:paraId="43503CC5" w14:textId="77777777" w:rsidR="000A3EC7" w:rsidRPr="000A3EC7" w:rsidRDefault="000A3EC7" w:rsidP="000A3EC7">
            <w:pPr>
              <w:pStyle w:val="NoSpacing"/>
              <w:numPr>
                <w:ilvl w:val="0"/>
                <w:numId w:val="3"/>
              </w:numPr>
              <w:rPr>
                <w:highlight w:val="yellow"/>
              </w:rPr>
            </w:pPr>
            <w:r w:rsidRPr="000A3EC7">
              <w:rPr>
                <w:highlight w:val="yellow"/>
              </w:rPr>
              <w:t>Energy</w:t>
            </w:r>
          </w:p>
          <w:p w14:paraId="783828EE" w14:textId="77777777" w:rsidR="000A3EC7" w:rsidRPr="000A3EC7" w:rsidRDefault="000A3EC7" w:rsidP="000A3EC7">
            <w:pPr>
              <w:pStyle w:val="NoSpacing"/>
              <w:numPr>
                <w:ilvl w:val="0"/>
                <w:numId w:val="3"/>
              </w:numPr>
              <w:rPr>
                <w:highlight w:val="yellow"/>
              </w:rPr>
            </w:pPr>
            <w:r w:rsidRPr="000A3EC7">
              <w:rPr>
                <w:highlight w:val="yellow"/>
              </w:rPr>
              <w:t>Financials</w:t>
            </w:r>
          </w:p>
          <w:p w14:paraId="1D872AB9" w14:textId="77777777" w:rsidR="000A3EC7" w:rsidRPr="000A3EC7" w:rsidRDefault="000A3EC7" w:rsidP="000A3EC7">
            <w:pPr>
              <w:pStyle w:val="NoSpacing"/>
              <w:numPr>
                <w:ilvl w:val="0"/>
                <w:numId w:val="3"/>
              </w:numPr>
              <w:rPr>
                <w:highlight w:val="yellow"/>
              </w:rPr>
            </w:pPr>
            <w:r w:rsidRPr="000A3EC7">
              <w:rPr>
                <w:highlight w:val="yellow"/>
              </w:rPr>
              <w:t>Health Care</w:t>
            </w:r>
          </w:p>
          <w:p w14:paraId="657EC336" w14:textId="77777777" w:rsidR="000A3EC7" w:rsidRPr="000A3EC7" w:rsidRDefault="000A3EC7" w:rsidP="000A3EC7">
            <w:pPr>
              <w:pStyle w:val="NoSpacing"/>
              <w:numPr>
                <w:ilvl w:val="0"/>
                <w:numId w:val="3"/>
              </w:numPr>
              <w:rPr>
                <w:highlight w:val="yellow"/>
              </w:rPr>
            </w:pPr>
            <w:r w:rsidRPr="000A3EC7">
              <w:rPr>
                <w:highlight w:val="yellow"/>
              </w:rPr>
              <w:t>Industrials</w:t>
            </w:r>
          </w:p>
          <w:p w14:paraId="4B13DDCF" w14:textId="77777777" w:rsidR="000A3EC7" w:rsidRPr="000A3EC7" w:rsidRDefault="000A3EC7" w:rsidP="000A3EC7">
            <w:pPr>
              <w:pStyle w:val="NoSpacing"/>
              <w:numPr>
                <w:ilvl w:val="0"/>
                <w:numId w:val="3"/>
              </w:numPr>
              <w:rPr>
                <w:highlight w:val="yellow"/>
              </w:rPr>
            </w:pPr>
            <w:r w:rsidRPr="000A3EC7">
              <w:rPr>
                <w:highlight w:val="yellow"/>
              </w:rPr>
              <w:t>Materials</w:t>
            </w:r>
          </w:p>
          <w:p w14:paraId="54313D51" w14:textId="77777777" w:rsidR="000A3EC7" w:rsidRPr="000A3EC7" w:rsidRDefault="000A3EC7" w:rsidP="000A3EC7">
            <w:pPr>
              <w:pStyle w:val="NoSpacing"/>
              <w:numPr>
                <w:ilvl w:val="0"/>
                <w:numId w:val="3"/>
              </w:numPr>
              <w:rPr>
                <w:highlight w:val="yellow"/>
              </w:rPr>
            </w:pPr>
            <w:r w:rsidRPr="000A3EC7">
              <w:rPr>
                <w:highlight w:val="yellow"/>
              </w:rPr>
              <w:t>Real Estate</w:t>
            </w:r>
          </w:p>
          <w:p w14:paraId="000A3495" w14:textId="77777777" w:rsidR="000A3EC7" w:rsidRPr="000A3EC7" w:rsidRDefault="000A3EC7" w:rsidP="000A3EC7">
            <w:pPr>
              <w:pStyle w:val="NoSpacing"/>
              <w:numPr>
                <w:ilvl w:val="0"/>
                <w:numId w:val="3"/>
              </w:numPr>
              <w:rPr>
                <w:highlight w:val="yellow"/>
              </w:rPr>
            </w:pPr>
            <w:r w:rsidRPr="000A3EC7">
              <w:rPr>
                <w:highlight w:val="yellow"/>
              </w:rPr>
              <w:t>Technology</w:t>
            </w:r>
          </w:p>
          <w:p w14:paraId="228FD7AD" w14:textId="77777777" w:rsidR="000A3EC7" w:rsidRDefault="000A3EC7" w:rsidP="000A3EC7">
            <w:pPr>
              <w:pStyle w:val="NoSpacing"/>
              <w:numPr>
                <w:ilvl w:val="0"/>
                <w:numId w:val="3"/>
              </w:numPr>
            </w:pPr>
            <w:r w:rsidRPr="000A3EC7">
              <w:rPr>
                <w:highlight w:val="yellow"/>
              </w:rPr>
              <w:t>Utilities</w:t>
            </w:r>
          </w:p>
          <w:p w14:paraId="76654B94" w14:textId="77777777" w:rsidR="000F16CC" w:rsidRPr="000F16CC" w:rsidRDefault="000F16CC" w:rsidP="000F16CC">
            <w:pPr>
              <w:spacing w:after="240" w:line="240" w:lineRule="auto"/>
              <w:rPr>
                <w:rFonts w:ascii="Segoe UI" w:eastAsia="Times New Roman" w:hAnsi="Segoe UI" w:cs="Segoe UI"/>
                <w:color w:val="222222"/>
                <w:sz w:val="20"/>
                <w:szCs w:val="20"/>
              </w:rPr>
            </w:pPr>
            <w:r w:rsidRPr="000F16CC">
              <w:rPr>
                <w:rFonts w:ascii="Segoe UI" w:eastAsia="Times New Roman" w:hAnsi="Segoe UI" w:cs="Segoe UI"/>
                <w:color w:val="222222"/>
                <w:sz w:val="20"/>
                <w:szCs w:val="20"/>
              </w:rPr>
              <w:lastRenderedPageBreak/>
              <w:br/>
              <w:t>Supported tags can be found in each stock </w:t>
            </w:r>
            <w:hyperlink r:id="rId9" w:anchor="company" w:history="1">
              <w:r w:rsidRPr="000F16CC">
                <w:rPr>
                  <w:rFonts w:ascii="Consolas" w:eastAsia="Times New Roman" w:hAnsi="Consolas" w:cs="Courier New"/>
                  <w:color w:val="006FE8"/>
                  <w:sz w:val="18"/>
                  <w:szCs w:val="18"/>
                </w:rPr>
                <w:t>company</w:t>
              </w:r>
            </w:hyperlink>
            <w:r w:rsidRPr="000F16CC">
              <w:rPr>
                <w:rFonts w:ascii="Segoe UI" w:eastAsia="Times New Roman" w:hAnsi="Segoe UI" w:cs="Segoe UI"/>
                <w:color w:val="222222"/>
                <w:sz w:val="20"/>
                <w:szCs w:val="20"/>
              </w:rPr>
              <w:t> object.</w:t>
            </w:r>
          </w:p>
        </w:tc>
      </w:tr>
    </w:tbl>
    <w:p w14:paraId="757A8CE2" w14:textId="77777777" w:rsidR="000F16CC" w:rsidRPr="000F16CC" w:rsidRDefault="000F16CC" w:rsidP="000F16CC">
      <w:pPr>
        <w:pStyle w:val="NoSpacing"/>
      </w:pPr>
      <w:r w:rsidRPr="000F16CC">
        <w:lastRenderedPageBreak/>
        <w:t>Response</w:t>
      </w:r>
    </w:p>
    <w:tbl>
      <w:tblPr>
        <w:tblW w:w="0" w:type="auto"/>
        <w:shd w:val="clear" w:color="auto" w:fill="FFFFFF"/>
        <w:tblCellMar>
          <w:left w:w="420" w:type="dxa"/>
          <w:right w:w="420" w:type="dxa"/>
        </w:tblCellMar>
        <w:tblLook w:val="04A0" w:firstRow="1" w:lastRow="0" w:firstColumn="1" w:lastColumn="0" w:noHBand="0" w:noVBand="1"/>
      </w:tblPr>
      <w:tblGrid>
        <w:gridCol w:w="1005"/>
        <w:gridCol w:w="848"/>
        <w:gridCol w:w="2232"/>
      </w:tblGrid>
      <w:tr w:rsidR="000F16CC" w:rsidRPr="000F16CC" w14:paraId="6BD20C2C" w14:textId="77777777" w:rsidTr="000F16CC">
        <w:trPr>
          <w:tblHeader/>
        </w:trPr>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797BBF2C" w14:textId="77777777" w:rsidR="000F16CC" w:rsidRPr="000F16CC" w:rsidRDefault="000F16CC" w:rsidP="000F16CC">
            <w:pPr>
              <w:spacing w:after="240" w:line="240" w:lineRule="auto"/>
              <w:rPr>
                <w:rFonts w:ascii="Segoe UI" w:eastAsia="Times New Roman" w:hAnsi="Segoe UI" w:cs="Segoe UI"/>
                <w:b/>
                <w:bCs/>
                <w:color w:val="222222"/>
                <w:sz w:val="20"/>
                <w:szCs w:val="20"/>
              </w:rPr>
            </w:pPr>
            <w:r w:rsidRPr="000F16CC">
              <w:rPr>
                <w:rFonts w:ascii="Segoe UI" w:eastAsia="Times New Roman" w:hAnsi="Segoe UI" w:cs="Segoe UI"/>
                <w:b/>
                <w:bCs/>
                <w:color w:val="222222"/>
                <w:sz w:val="20"/>
                <w:szCs w:val="20"/>
              </w:rPr>
              <w:t>Key</w:t>
            </w:r>
          </w:p>
        </w:tc>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1B61EB9B" w14:textId="77777777" w:rsidR="000F16CC" w:rsidRPr="000F16CC" w:rsidRDefault="000F16CC" w:rsidP="000F16CC">
            <w:pPr>
              <w:spacing w:after="240" w:line="240" w:lineRule="auto"/>
              <w:rPr>
                <w:rFonts w:ascii="Segoe UI" w:eastAsia="Times New Roman" w:hAnsi="Segoe UI" w:cs="Segoe UI"/>
                <w:b/>
                <w:bCs/>
                <w:color w:val="222222"/>
                <w:sz w:val="20"/>
                <w:szCs w:val="20"/>
              </w:rPr>
            </w:pPr>
            <w:r w:rsidRPr="000F16CC">
              <w:rPr>
                <w:rFonts w:ascii="Segoe UI" w:eastAsia="Times New Roman" w:hAnsi="Segoe UI" w:cs="Segoe UI"/>
                <w:b/>
                <w:bCs/>
                <w:color w:val="222222"/>
                <w:sz w:val="20"/>
                <w:szCs w:val="20"/>
              </w:rPr>
              <w:t>Type</w:t>
            </w:r>
          </w:p>
        </w:tc>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16984D16" w14:textId="77777777" w:rsidR="000F16CC" w:rsidRPr="000F16CC" w:rsidRDefault="000F16CC" w:rsidP="000F16CC">
            <w:pPr>
              <w:spacing w:after="240" w:line="240" w:lineRule="auto"/>
              <w:rPr>
                <w:rFonts w:ascii="Segoe UI" w:eastAsia="Times New Roman" w:hAnsi="Segoe UI" w:cs="Segoe UI"/>
                <w:b/>
                <w:bCs/>
                <w:color w:val="222222"/>
                <w:sz w:val="20"/>
                <w:szCs w:val="20"/>
              </w:rPr>
            </w:pPr>
            <w:r w:rsidRPr="000F16CC">
              <w:rPr>
                <w:rFonts w:ascii="Segoe UI" w:eastAsia="Times New Roman" w:hAnsi="Segoe UI" w:cs="Segoe UI"/>
                <w:b/>
                <w:bCs/>
                <w:color w:val="222222"/>
                <w:sz w:val="20"/>
                <w:szCs w:val="20"/>
              </w:rPr>
              <w:t>Description</w:t>
            </w:r>
          </w:p>
        </w:tc>
      </w:tr>
      <w:tr w:rsidR="000F16CC" w:rsidRPr="000F16CC" w14:paraId="6A3EFC79" w14:textId="77777777" w:rsidTr="000F16CC">
        <w:tc>
          <w:tcPr>
            <w:tcW w:w="0" w:type="auto"/>
            <w:shd w:val="clear" w:color="auto" w:fill="FFFFFF"/>
            <w:tcMar>
              <w:top w:w="150" w:type="dxa"/>
              <w:left w:w="150" w:type="dxa"/>
              <w:bottom w:w="150" w:type="dxa"/>
              <w:right w:w="150" w:type="dxa"/>
            </w:tcMar>
            <w:hideMark/>
          </w:tcPr>
          <w:p w14:paraId="7429E340" w14:textId="77777777" w:rsidR="000F16CC" w:rsidRPr="000F16CC" w:rsidRDefault="000F16CC" w:rsidP="000F16CC">
            <w:pPr>
              <w:spacing w:after="240" w:line="240" w:lineRule="auto"/>
              <w:rPr>
                <w:rFonts w:ascii="Segoe UI" w:eastAsia="Times New Roman" w:hAnsi="Segoe UI" w:cs="Segoe UI"/>
                <w:color w:val="222222"/>
                <w:sz w:val="20"/>
                <w:szCs w:val="20"/>
              </w:rPr>
            </w:pPr>
            <w:r w:rsidRPr="000F16CC">
              <w:rPr>
                <w:rFonts w:ascii="Consolas" w:eastAsia="Times New Roman" w:hAnsi="Consolas" w:cs="Courier New"/>
                <w:color w:val="222222"/>
                <w:sz w:val="18"/>
                <w:szCs w:val="18"/>
              </w:rPr>
              <w:t>quote</w:t>
            </w:r>
          </w:p>
        </w:tc>
        <w:tc>
          <w:tcPr>
            <w:tcW w:w="0" w:type="auto"/>
            <w:shd w:val="clear" w:color="auto" w:fill="FFFFFF"/>
            <w:tcMar>
              <w:top w:w="150" w:type="dxa"/>
              <w:left w:w="150" w:type="dxa"/>
              <w:bottom w:w="150" w:type="dxa"/>
              <w:right w:w="150" w:type="dxa"/>
            </w:tcMar>
            <w:hideMark/>
          </w:tcPr>
          <w:p w14:paraId="0600046A" w14:textId="77777777" w:rsidR="000F16CC" w:rsidRPr="000F16CC" w:rsidRDefault="000F16CC" w:rsidP="000F16CC">
            <w:pPr>
              <w:spacing w:after="240" w:line="240" w:lineRule="auto"/>
              <w:rPr>
                <w:rFonts w:ascii="Segoe UI" w:eastAsia="Times New Roman" w:hAnsi="Segoe UI" w:cs="Segoe UI"/>
                <w:color w:val="222222"/>
                <w:sz w:val="20"/>
                <w:szCs w:val="20"/>
              </w:rPr>
            </w:pPr>
            <w:r w:rsidRPr="000F16CC">
              <w:rPr>
                <w:rFonts w:ascii="Segoe UI" w:eastAsia="Times New Roman" w:hAnsi="Segoe UI" w:cs="Segoe UI"/>
                <w:color w:val="222222"/>
                <w:sz w:val="20"/>
                <w:szCs w:val="20"/>
              </w:rPr>
              <w:t>object</w:t>
            </w:r>
          </w:p>
        </w:tc>
        <w:tc>
          <w:tcPr>
            <w:tcW w:w="0" w:type="auto"/>
            <w:shd w:val="clear" w:color="auto" w:fill="FFFFFF"/>
            <w:tcMar>
              <w:top w:w="150" w:type="dxa"/>
              <w:left w:w="150" w:type="dxa"/>
              <w:bottom w:w="150" w:type="dxa"/>
              <w:right w:w="150" w:type="dxa"/>
            </w:tcMar>
            <w:hideMark/>
          </w:tcPr>
          <w:p w14:paraId="49B61B37" w14:textId="77777777" w:rsidR="000F16CC" w:rsidRPr="000F16CC" w:rsidRDefault="000F16CC" w:rsidP="000F16CC">
            <w:pPr>
              <w:spacing w:after="240" w:line="240" w:lineRule="auto"/>
              <w:rPr>
                <w:rFonts w:ascii="Segoe UI" w:eastAsia="Times New Roman" w:hAnsi="Segoe UI" w:cs="Segoe UI"/>
                <w:color w:val="222222"/>
                <w:sz w:val="20"/>
                <w:szCs w:val="20"/>
              </w:rPr>
            </w:pPr>
            <w:r w:rsidRPr="000F16CC">
              <w:rPr>
                <w:rFonts w:ascii="Segoe UI" w:eastAsia="Times New Roman" w:hAnsi="Segoe UI" w:cs="Segoe UI"/>
                <w:color w:val="222222"/>
                <w:sz w:val="20"/>
                <w:szCs w:val="20"/>
              </w:rPr>
              <w:t>See the </w:t>
            </w:r>
            <w:hyperlink r:id="rId10" w:anchor="quote" w:history="1">
              <w:r w:rsidRPr="000F16CC">
                <w:rPr>
                  <w:rFonts w:ascii="Consolas" w:eastAsia="Times New Roman" w:hAnsi="Consolas" w:cs="Courier New"/>
                  <w:color w:val="006FE8"/>
                  <w:sz w:val="18"/>
                  <w:szCs w:val="18"/>
                </w:rPr>
                <w:t>quote</w:t>
              </w:r>
            </w:hyperlink>
            <w:r w:rsidRPr="000F16CC">
              <w:rPr>
                <w:rFonts w:ascii="Segoe UI" w:eastAsia="Times New Roman" w:hAnsi="Segoe UI" w:cs="Segoe UI"/>
                <w:color w:val="222222"/>
                <w:sz w:val="20"/>
                <w:szCs w:val="20"/>
              </w:rPr>
              <w:t> section.</w:t>
            </w:r>
          </w:p>
        </w:tc>
      </w:tr>
      <w:tr w:rsidR="000F16CC" w:rsidRPr="000F16CC" w14:paraId="4552719D" w14:textId="77777777" w:rsidTr="000F16CC">
        <w:tc>
          <w:tcPr>
            <w:tcW w:w="0" w:type="auto"/>
            <w:shd w:val="clear" w:color="auto" w:fill="FFFFFF"/>
            <w:tcMar>
              <w:top w:w="150" w:type="dxa"/>
              <w:left w:w="150" w:type="dxa"/>
              <w:bottom w:w="150" w:type="dxa"/>
              <w:right w:w="150" w:type="dxa"/>
            </w:tcMar>
          </w:tcPr>
          <w:p w14:paraId="75EFD183" w14:textId="77777777" w:rsidR="000F16CC" w:rsidRPr="000F16CC" w:rsidRDefault="000F16CC" w:rsidP="000F16CC">
            <w:pPr>
              <w:pStyle w:val="Heading3"/>
              <w:rPr>
                <w:color w:val="0070C0"/>
              </w:rPr>
            </w:pPr>
          </w:p>
          <w:p w14:paraId="1B605FDC" w14:textId="7ACD593E" w:rsidR="000F16CC" w:rsidRPr="000F16CC" w:rsidRDefault="000F16CC" w:rsidP="000F16CC">
            <w:pPr>
              <w:pStyle w:val="Heading3"/>
              <w:rPr>
                <w:color w:val="0070C0"/>
              </w:rPr>
            </w:pPr>
            <w:r w:rsidRPr="000F16CC">
              <w:rPr>
                <w:color w:val="0070C0"/>
              </w:rPr>
              <w:t>Quote</w:t>
            </w:r>
          </w:p>
        </w:tc>
        <w:tc>
          <w:tcPr>
            <w:tcW w:w="0" w:type="auto"/>
            <w:shd w:val="clear" w:color="auto" w:fill="FFFFFF"/>
            <w:tcMar>
              <w:top w:w="150" w:type="dxa"/>
              <w:left w:w="150" w:type="dxa"/>
              <w:bottom w:w="150" w:type="dxa"/>
              <w:right w:w="150" w:type="dxa"/>
            </w:tcMar>
          </w:tcPr>
          <w:p w14:paraId="5B4A4540" w14:textId="77777777" w:rsidR="000F16CC" w:rsidRPr="000F16CC" w:rsidRDefault="000F16CC" w:rsidP="000F16CC">
            <w:pPr>
              <w:pStyle w:val="Heading3"/>
              <w:rPr>
                <w:rFonts w:ascii="Segoe UI" w:hAnsi="Segoe UI" w:cs="Segoe UI"/>
                <w:color w:val="0070C0"/>
                <w:sz w:val="20"/>
                <w:szCs w:val="20"/>
              </w:rPr>
            </w:pPr>
          </w:p>
        </w:tc>
        <w:tc>
          <w:tcPr>
            <w:tcW w:w="0" w:type="auto"/>
            <w:shd w:val="clear" w:color="auto" w:fill="FFFFFF"/>
            <w:tcMar>
              <w:top w:w="150" w:type="dxa"/>
              <w:left w:w="150" w:type="dxa"/>
              <w:bottom w:w="150" w:type="dxa"/>
              <w:right w:w="150" w:type="dxa"/>
            </w:tcMar>
          </w:tcPr>
          <w:p w14:paraId="4B4F8948" w14:textId="77777777" w:rsidR="000F16CC" w:rsidRPr="000F16CC" w:rsidRDefault="000F16CC" w:rsidP="000F16CC">
            <w:pPr>
              <w:spacing w:after="240" w:line="240" w:lineRule="auto"/>
              <w:rPr>
                <w:rFonts w:ascii="Segoe UI" w:eastAsia="Times New Roman" w:hAnsi="Segoe UI" w:cs="Segoe UI"/>
                <w:color w:val="222222"/>
                <w:sz w:val="20"/>
                <w:szCs w:val="20"/>
              </w:rPr>
            </w:pPr>
          </w:p>
        </w:tc>
      </w:tr>
    </w:tbl>
    <w:p w14:paraId="39B8DB07" w14:textId="77777777" w:rsidR="000F16CC" w:rsidRDefault="000F16CC" w:rsidP="000F16CC">
      <w:pPr>
        <w:pStyle w:val="NoSpacing"/>
      </w:pPr>
      <w:r>
        <w:t>HTTP request</w:t>
      </w:r>
    </w:p>
    <w:p w14:paraId="03B76401" w14:textId="77777777" w:rsidR="000F16CC" w:rsidRDefault="000F16CC" w:rsidP="000F16CC">
      <w:pPr>
        <w:pStyle w:val="NoSpacing"/>
      </w:pPr>
      <w:hyperlink r:id="rId11" w:history="1">
        <w:r>
          <w:rPr>
            <w:rStyle w:val="HTMLCode"/>
            <w:rFonts w:ascii="Consolas" w:eastAsiaTheme="minorHAnsi" w:hAnsi="Consolas"/>
            <w:color w:val="006FE8"/>
            <w:sz w:val="18"/>
            <w:szCs w:val="18"/>
          </w:rPr>
          <w:t>/stock/aapl/quote</w:t>
        </w:r>
      </w:hyperlink>
    </w:p>
    <w:p w14:paraId="2D842047" w14:textId="77777777" w:rsidR="000F16CC" w:rsidRDefault="000F16CC" w:rsidP="000F16CC">
      <w:pPr>
        <w:pStyle w:val="NoSpacing"/>
        <w:rPr>
          <w:sz w:val="23"/>
          <w:szCs w:val="23"/>
        </w:rPr>
      </w:pPr>
      <w:r>
        <w:rPr>
          <w:sz w:val="23"/>
          <w:szCs w:val="23"/>
        </w:rPr>
        <w:t>Parameters</w:t>
      </w:r>
    </w:p>
    <w:p w14:paraId="6D466F2B" w14:textId="77777777" w:rsidR="000F16CC" w:rsidRPr="000F16CC" w:rsidRDefault="000F16CC" w:rsidP="000F16CC">
      <w:r w:rsidRPr="000F16CC">
        <w:t>Parameter</w:t>
      </w:r>
      <w:r w:rsidRPr="000F16CC">
        <w:tab/>
        <w:t>Details</w:t>
      </w:r>
    </w:p>
    <w:p w14:paraId="6EBBE192" w14:textId="77777777" w:rsidR="000F16CC" w:rsidRDefault="000F16CC" w:rsidP="000F16CC">
      <w:pPr>
        <w:pStyle w:val="NoSpacing"/>
      </w:pPr>
      <w:r>
        <w:t>• Optional</w:t>
      </w:r>
      <w:r>
        <w:br/>
        <w:t>• If set to </w:t>
      </w:r>
      <w:r>
        <w:rPr>
          <w:rStyle w:val="HTMLCode"/>
          <w:rFonts w:ascii="Consolas" w:eastAsiaTheme="minorHAnsi" w:hAnsi="Consolas"/>
          <w:color w:val="222222"/>
          <w:sz w:val="18"/>
          <w:szCs w:val="18"/>
        </w:rPr>
        <w:t>true</w:t>
      </w:r>
      <w:r>
        <w:t>, all percentage values will be multiplied by a factor of 100 (Ex: </w:t>
      </w:r>
      <w:r>
        <w:rPr>
          <w:rStyle w:val="HTMLCode"/>
          <w:rFonts w:ascii="Consolas" w:eastAsiaTheme="minorHAnsi" w:hAnsi="Consolas"/>
          <w:color w:val="222222"/>
          <w:sz w:val="18"/>
          <w:szCs w:val="18"/>
        </w:rPr>
        <w:t>/stock/aapl/quote?displayPercent=true</w:t>
      </w:r>
      <w:r>
        <w:t>)</w:t>
      </w:r>
    </w:p>
    <w:p w14:paraId="6320A6E8" w14:textId="77777777" w:rsidR="000F16CC" w:rsidRDefault="000F16CC"/>
    <w:tbl>
      <w:tblPr>
        <w:tblW w:w="0" w:type="auto"/>
        <w:shd w:val="clear" w:color="auto" w:fill="FFFFFF"/>
        <w:tblCellMar>
          <w:left w:w="420" w:type="dxa"/>
          <w:right w:w="420" w:type="dxa"/>
        </w:tblCellMar>
        <w:tblLook w:val="04A0" w:firstRow="1" w:lastRow="0" w:firstColumn="1" w:lastColumn="0" w:noHBand="0" w:noVBand="1"/>
      </w:tblPr>
      <w:tblGrid>
        <w:gridCol w:w="9350"/>
      </w:tblGrid>
      <w:tr w:rsidR="000F16CC" w14:paraId="04D2641A" w14:textId="77777777" w:rsidTr="000F16CC">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150" w:type="dxa"/>
              <w:bottom w:w="75" w:type="dxa"/>
              <w:right w:w="150" w:type="dxa"/>
            </w:tcMar>
            <w:vAlign w:val="bottom"/>
          </w:tcPr>
          <w:p w14:paraId="1714677A" w14:textId="6FB1D470" w:rsidR="000F16CC" w:rsidRPr="000F16CC" w:rsidRDefault="000F16CC" w:rsidP="00CE1564">
            <w:pPr>
              <w:pStyle w:val="NoSpacing"/>
              <w:rPr>
                <w:rFonts w:ascii="Segoe UI" w:hAnsi="Segoe UI" w:cs="Segoe UI"/>
                <w:bCs/>
                <w:color w:val="222222"/>
                <w:sz w:val="20"/>
                <w:szCs w:val="20"/>
              </w:rPr>
            </w:pPr>
            <w:r w:rsidRPr="000F16CC">
              <w:t>Response</w:t>
            </w:r>
          </w:p>
        </w:tc>
      </w:tr>
      <w:tr w:rsidR="000F16CC" w14:paraId="22015649" w14:textId="77777777" w:rsidTr="000F16C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hideMark/>
          </w:tcPr>
          <w:tbl>
            <w:tblPr>
              <w:tblW w:w="0" w:type="auto"/>
              <w:shd w:val="clear" w:color="auto" w:fill="FFFFFF"/>
              <w:tblCellMar>
                <w:left w:w="420" w:type="dxa"/>
                <w:right w:w="420" w:type="dxa"/>
              </w:tblCellMar>
              <w:tblLook w:val="04A0" w:firstRow="1" w:lastRow="0" w:firstColumn="1" w:lastColumn="0" w:noHBand="0" w:noVBand="1"/>
            </w:tblPr>
            <w:tblGrid>
              <w:gridCol w:w="2703"/>
              <w:gridCol w:w="1009"/>
              <w:gridCol w:w="5338"/>
            </w:tblGrid>
            <w:tr w:rsidR="00CE1564" w:rsidRPr="000F16CC" w14:paraId="3440542F" w14:textId="77777777" w:rsidTr="000F16CC">
              <w:trPr>
                <w:tblHeader/>
              </w:trPr>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056728DC" w14:textId="77777777" w:rsidR="000F16CC" w:rsidRPr="000F16CC" w:rsidRDefault="000F16CC" w:rsidP="00CE1564">
                  <w:pPr>
                    <w:pStyle w:val="NoSpacing"/>
                  </w:pPr>
                  <w:r w:rsidRPr="000F16CC">
                    <w:t>Key</w:t>
                  </w:r>
                </w:p>
              </w:tc>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61973CD6" w14:textId="77777777" w:rsidR="000F16CC" w:rsidRPr="000F16CC" w:rsidRDefault="000F16CC" w:rsidP="00CE1564">
                  <w:pPr>
                    <w:pStyle w:val="NoSpacing"/>
                  </w:pPr>
                  <w:r w:rsidRPr="000F16CC">
                    <w:t>Type</w:t>
                  </w:r>
                </w:p>
              </w:tc>
              <w:tc>
                <w:tcPr>
                  <w:tcW w:w="0" w:type="auto"/>
                  <w:tcBorders>
                    <w:bottom w:val="single" w:sz="6" w:space="0" w:color="F1F1F1"/>
                  </w:tcBorders>
                  <w:shd w:val="clear" w:color="auto" w:fill="FFFFFF"/>
                  <w:tcMar>
                    <w:top w:w="75" w:type="dxa"/>
                    <w:left w:w="150" w:type="dxa"/>
                    <w:bottom w:w="75" w:type="dxa"/>
                    <w:right w:w="150" w:type="dxa"/>
                  </w:tcMar>
                  <w:vAlign w:val="bottom"/>
                  <w:hideMark/>
                </w:tcPr>
                <w:p w14:paraId="0205D170" w14:textId="77777777" w:rsidR="000F16CC" w:rsidRPr="000F16CC" w:rsidRDefault="000F16CC" w:rsidP="00CE1564">
                  <w:pPr>
                    <w:pStyle w:val="NoSpacing"/>
                  </w:pPr>
                  <w:r w:rsidRPr="000F16CC">
                    <w:t>Description</w:t>
                  </w:r>
                </w:p>
              </w:tc>
            </w:tr>
            <w:tr w:rsidR="00CE1564" w:rsidRPr="000F16CC" w14:paraId="5BFF7D1A" w14:textId="77777777" w:rsidTr="000F16CC">
              <w:tc>
                <w:tcPr>
                  <w:tcW w:w="0" w:type="auto"/>
                  <w:shd w:val="clear" w:color="auto" w:fill="FFFFFF"/>
                  <w:tcMar>
                    <w:top w:w="150" w:type="dxa"/>
                    <w:left w:w="150" w:type="dxa"/>
                    <w:bottom w:w="150" w:type="dxa"/>
                    <w:right w:w="150" w:type="dxa"/>
                  </w:tcMar>
                  <w:hideMark/>
                </w:tcPr>
                <w:p w14:paraId="22EA6625" w14:textId="77777777" w:rsidR="000F16CC" w:rsidRPr="00CE1564" w:rsidRDefault="000F16CC" w:rsidP="00CE1564">
                  <w:pPr>
                    <w:pStyle w:val="NoSpacing"/>
                    <w:rPr>
                      <w:highlight w:val="yellow"/>
                    </w:rPr>
                  </w:pPr>
                  <w:r w:rsidRPr="00CE1564">
                    <w:rPr>
                      <w:sz w:val="24"/>
                      <w:szCs w:val="24"/>
                      <w:highlight w:val="yellow"/>
                    </w:rPr>
                    <w:t>symbol</w:t>
                  </w:r>
                </w:p>
              </w:tc>
              <w:tc>
                <w:tcPr>
                  <w:tcW w:w="0" w:type="auto"/>
                  <w:shd w:val="clear" w:color="auto" w:fill="FFFFFF"/>
                  <w:tcMar>
                    <w:top w:w="150" w:type="dxa"/>
                    <w:left w:w="150" w:type="dxa"/>
                    <w:bottom w:w="150" w:type="dxa"/>
                    <w:right w:w="150" w:type="dxa"/>
                  </w:tcMar>
                  <w:hideMark/>
                </w:tcPr>
                <w:p w14:paraId="155D6678" w14:textId="77777777" w:rsidR="000F16CC" w:rsidRPr="00CE1564" w:rsidRDefault="000F16CC" w:rsidP="00CE1564">
                  <w:pPr>
                    <w:pStyle w:val="NoSpacing"/>
                    <w:rPr>
                      <w:highlight w:val="yellow"/>
                    </w:rPr>
                  </w:pPr>
                  <w:r w:rsidRPr="00CE1564">
                    <w:rPr>
                      <w:highlight w:val="yellow"/>
                    </w:rPr>
                    <w:t>string</w:t>
                  </w:r>
                </w:p>
              </w:tc>
              <w:tc>
                <w:tcPr>
                  <w:tcW w:w="0" w:type="auto"/>
                  <w:shd w:val="clear" w:color="auto" w:fill="FFFFFF"/>
                  <w:tcMar>
                    <w:top w:w="150" w:type="dxa"/>
                    <w:left w:w="150" w:type="dxa"/>
                    <w:bottom w:w="150" w:type="dxa"/>
                    <w:right w:w="150" w:type="dxa"/>
                  </w:tcMar>
                  <w:hideMark/>
                </w:tcPr>
                <w:p w14:paraId="3B30D8F2" w14:textId="77777777" w:rsidR="000F16CC" w:rsidRPr="00CE1564" w:rsidRDefault="000F16CC" w:rsidP="00CE1564">
                  <w:pPr>
                    <w:pStyle w:val="NoSpacing"/>
                    <w:rPr>
                      <w:highlight w:val="yellow"/>
                    </w:rPr>
                  </w:pPr>
                  <w:r w:rsidRPr="00CE1564">
                    <w:rPr>
                      <w:highlight w:val="yellow"/>
                    </w:rPr>
                    <w:t>refers to the stock ticker.</w:t>
                  </w:r>
                </w:p>
              </w:tc>
            </w:tr>
            <w:tr w:rsidR="00CE1564" w:rsidRPr="000F16CC" w14:paraId="3D296FDD" w14:textId="77777777" w:rsidTr="000F16CC">
              <w:tc>
                <w:tcPr>
                  <w:tcW w:w="0" w:type="auto"/>
                  <w:shd w:val="clear" w:color="auto" w:fill="FFFFFF"/>
                  <w:tcMar>
                    <w:top w:w="150" w:type="dxa"/>
                    <w:left w:w="150" w:type="dxa"/>
                    <w:bottom w:w="150" w:type="dxa"/>
                    <w:right w:w="150" w:type="dxa"/>
                  </w:tcMar>
                  <w:hideMark/>
                </w:tcPr>
                <w:p w14:paraId="736F2955" w14:textId="77777777" w:rsidR="000F16CC" w:rsidRPr="000F16CC" w:rsidRDefault="000F16CC" w:rsidP="00CE1564">
                  <w:pPr>
                    <w:pStyle w:val="NoSpacing"/>
                  </w:pPr>
                  <w:r w:rsidRPr="000F16CC">
                    <w:rPr>
                      <w:sz w:val="24"/>
                      <w:szCs w:val="24"/>
                    </w:rPr>
                    <w:t>companyName</w:t>
                  </w:r>
                </w:p>
              </w:tc>
              <w:tc>
                <w:tcPr>
                  <w:tcW w:w="0" w:type="auto"/>
                  <w:shd w:val="clear" w:color="auto" w:fill="FFFFFF"/>
                  <w:tcMar>
                    <w:top w:w="150" w:type="dxa"/>
                    <w:left w:w="150" w:type="dxa"/>
                    <w:bottom w:w="150" w:type="dxa"/>
                    <w:right w:w="150" w:type="dxa"/>
                  </w:tcMar>
                  <w:hideMark/>
                </w:tcPr>
                <w:p w14:paraId="0A918862" w14:textId="77777777" w:rsidR="000F16CC" w:rsidRPr="000F16CC" w:rsidRDefault="000F16CC" w:rsidP="00CE1564">
                  <w:pPr>
                    <w:pStyle w:val="NoSpacing"/>
                  </w:pPr>
                  <w:r w:rsidRPr="000F16CC">
                    <w:t>string</w:t>
                  </w:r>
                </w:p>
              </w:tc>
              <w:tc>
                <w:tcPr>
                  <w:tcW w:w="0" w:type="auto"/>
                  <w:shd w:val="clear" w:color="auto" w:fill="FFFFFF"/>
                  <w:tcMar>
                    <w:top w:w="150" w:type="dxa"/>
                    <w:left w:w="150" w:type="dxa"/>
                    <w:bottom w:w="150" w:type="dxa"/>
                    <w:right w:w="150" w:type="dxa"/>
                  </w:tcMar>
                  <w:hideMark/>
                </w:tcPr>
                <w:p w14:paraId="0C29DDAA" w14:textId="77777777" w:rsidR="000F16CC" w:rsidRPr="000F16CC" w:rsidRDefault="000F16CC" w:rsidP="00CE1564">
                  <w:pPr>
                    <w:pStyle w:val="NoSpacing"/>
                  </w:pPr>
                  <w:r w:rsidRPr="000F16CC">
                    <w:t>refers to the company name.</w:t>
                  </w:r>
                </w:p>
              </w:tc>
            </w:tr>
            <w:tr w:rsidR="00CE1564" w:rsidRPr="000F16CC" w14:paraId="0FD87752" w14:textId="77777777" w:rsidTr="000F16CC">
              <w:tc>
                <w:tcPr>
                  <w:tcW w:w="0" w:type="auto"/>
                  <w:shd w:val="clear" w:color="auto" w:fill="FFFFFF"/>
                  <w:tcMar>
                    <w:top w:w="150" w:type="dxa"/>
                    <w:left w:w="150" w:type="dxa"/>
                    <w:bottom w:w="150" w:type="dxa"/>
                    <w:right w:w="150" w:type="dxa"/>
                  </w:tcMar>
                  <w:hideMark/>
                </w:tcPr>
                <w:p w14:paraId="79B55875" w14:textId="77777777" w:rsidR="000F16CC" w:rsidRPr="000F16CC" w:rsidRDefault="000F16CC" w:rsidP="00CE1564">
                  <w:pPr>
                    <w:pStyle w:val="NoSpacing"/>
                  </w:pPr>
                  <w:r w:rsidRPr="000F16CC">
                    <w:rPr>
                      <w:sz w:val="24"/>
                      <w:szCs w:val="24"/>
                    </w:rPr>
                    <w:t>primaryExchange</w:t>
                  </w:r>
                </w:p>
              </w:tc>
              <w:tc>
                <w:tcPr>
                  <w:tcW w:w="0" w:type="auto"/>
                  <w:shd w:val="clear" w:color="auto" w:fill="FFFFFF"/>
                  <w:tcMar>
                    <w:top w:w="150" w:type="dxa"/>
                    <w:left w:w="150" w:type="dxa"/>
                    <w:bottom w:w="150" w:type="dxa"/>
                    <w:right w:w="150" w:type="dxa"/>
                  </w:tcMar>
                  <w:hideMark/>
                </w:tcPr>
                <w:p w14:paraId="3D0F8547" w14:textId="77777777" w:rsidR="000F16CC" w:rsidRPr="000F16CC" w:rsidRDefault="000F16CC" w:rsidP="00CE1564">
                  <w:pPr>
                    <w:pStyle w:val="NoSpacing"/>
                  </w:pPr>
                  <w:r w:rsidRPr="000F16CC">
                    <w:t>string</w:t>
                  </w:r>
                </w:p>
              </w:tc>
              <w:tc>
                <w:tcPr>
                  <w:tcW w:w="0" w:type="auto"/>
                  <w:shd w:val="clear" w:color="auto" w:fill="FFFFFF"/>
                  <w:tcMar>
                    <w:top w:w="150" w:type="dxa"/>
                    <w:left w:w="150" w:type="dxa"/>
                    <w:bottom w:w="150" w:type="dxa"/>
                    <w:right w:w="150" w:type="dxa"/>
                  </w:tcMar>
                  <w:hideMark/>
                </w:tcPr>
                <w:p w14:paraId="1778C98A" w14:textId="77777777" w:rsidR="000F16CC" w:rsidRPr="000F16CC" w:rsidRDefault="000F16CC" w:rsidP="00CE1564">
                  <w:pPr>
                    <w:pStyle w:val="NoSpacing"/>
                  </w:pPr>
                  <w:r w:rsidRPr="000F16CC">
                    <w:t>refers to the primary listings exchange.</w:t>
                  </w:r>
                </w:p>
              </w:tc>
            </w:tr>
            <w:tr w:rsidR="00CE1564" w:rsidRPr="000F16CC" w14:paraId="28E47358" w14:textId="77777777" w:rsidTr="000F16CC">
              <w:tc>
                <w:tcPr>
                  <w:tcW w:w="0" w:type="auto"/>
                  <w:shd w:val="clear" w:color="auto" w:fill="FFFFFF"/>
                  <w:tcMar>
                    <w:top w:w="150" w:type="dxa"/>
                    <w:left w:w="150" w:type="dxa"/>
                    <w:bottom w:w="150" w:type="dxa"/>
                    <w:right w:w="150" w:type="dxa"/>
                  </w:tcMar>
                  <w:hideMark/>
                </w:tcPr>
                <w:p w14:paraId="7E664380" w14:textId="77777777" w:rsidR="000F16CC" w:rsidRPr="000F16CC" w:rsidRDefault="000F16CC" w:rsidP="00CE1564">
                  <w:pPr>
                    <w:pStyle w:val="NoSpacing"/>
                  </w:pPr>
                  <w:r w:rsidRPr="000F16CC">
                    <w:rPr>
                      <w:sz w:val="24"/>
                      <w:szCs w:val="24"/>
                    </w:rPr>
                    <w:t>sector</w:t>
                  </w:r>
                </w:p>
              </w:tc>
              <w:tc>
                <w:tcPr>
                  <w:tcW w:w="0" w:type="auto"/>
                  <w:shd w:val="clear" w:color="auto" w:fill="FFFFFF"/>
                  <w:tcMar>
                    <w:top w:w="150" w:type="dxa"/>
                    <w:left w:w="150" w:type="dxa"/>
                    <w:bottom w:w="150" w:type="dxa"/>
                    <w:right w:w="150" w:type="dxa"/>
                  </w:tcMar>
                  <w:hideMark/>
                </w:tcPr>
                <w:p w14:paraId="343886FA" w14:textId="77777777" w:rsidR="000F16CC" w:rsidRPr="000F16CC" w:rsidRDefault="000F16CC" w:rsidP="00CE1564">
                  <w:pPr>
                    <w:pStyle w:val="NoSpacing"/>
                  </w:pPr>
                  <w:r w:rsidRPr="000F16CC">
                    <w:t>string</w:t>
                  </w:r>
                </w:p>
              </w:tc>
              <w:tc>
                <w:tcPr>
                  <w:tcW w:w="0" w:type="auto"/>
                  <w:shd w:val="clear" w:color="auto" w:fill="FFFFFF"/>
                  <w:tcMar>
                    <w:top w:w="150" w:type="dxa"/>
                    <w:left w:w="150" w:type="dxa"/>
                    <w:bottom w:w="150" w:type="dxa"/>
                    <w:right w:w="150" w:type="dxa"/>
                  </w:tcMar>
                  <w:hideMark/>
                </w:tcPr>
                <w:p w14:paraId="779EF9DC" w14:textId="77777777" w:rsidR="000F16CC" w:rsidRPr="000F16CC" w:rsidRDefault="000F16CC" w:rsidP="00CE1564">
                  <w:pPr>
                    <w:pStyle w:val="NoSpacing"/>
                  </w:pPr>
                  <w:r w:rsidRPr="000F16CC">
                    <w:t>refers to the sector of the stock.</w:t>
                  </w:r>
                </w:p>
              </w:tc>
            </w:tr>
            <w:tr w:rsidR="00CE1564" w:rsidRPr="000F16CC" w14:paraId="4B77B9DB" w14:textId="77777777" w:rsidTr="000F16CC">
              <w:tc>
                <w:tcPr>
                  <w:tcW w:w="0" w:type="auto"/>
                  <w:shd w:val="clear" w:color="auto" w:fill="FFFFFF"/>
                  <w:tcMar>
                    <w:top w:w="150" w:type="dxa"/>
                    <w:left w:w="150" w:type="dxa"/>
                    <w:bottom w:w="150" w:type="dxa"/>
                    <w:right w:w="150" w:type="dxa"/>
                  </w:tcMar>
                  <w:hideMark/>
                </w:tcPr>
                <w:p w14:paraId="5F29CBB6" w14:textId="77777777" w:rsidR="000F16CC" w:rsidRPr="000F16CC" w:rsidRDefault="000F16CC" w:rsidP="00CE1564">
                  <w:pPr>
                    <w:pStyle w:val="NoSpacing"/>
                  </w:pPr>
                  <w:r w:rsidRPr="000F16CC">
                    <w:rPr>
                      <w:sz w:val="24"/>
                      <w:szCs w:val="24"/>
                    </w:rPr>
                    <w:t>calculationPrice</w:t>
                  </w:r>
                </w:p>
              </w:tc>
              <w:tc>
                <w:tcPr>
                  <w:tcW w:w="0" w:type="auto"/>
                  <w:shd w:val="clear" w:color="auto" w:fill="FFFFFF"/>
                  <w:tcMar>
                    <w:top w:w="150" w:type="dxa"/>
                    <w:left w:w="150" w:type="dxa"/>
                    <w:bottom w:w="150" w:type="dxa"/>
                    <w:right w:w="150" w:type="dxa"/>
                  </w:tcMar>
                  <w:hideMark/>
                </w:tcPr>
                <w:p w14:paraId="6178EFAA" w14:textId="77777777" w:rsidR="000F16CC" w:rsidRPr="000F16CC" w:rsidRDefault="000F16CC" w:rsidP="00CE1564">
                  <w:pPr>
                    <w:pStyle w:val="NoSpacing"/>
                  </w:pPr>
                  <w:r w:rsidRPr="000F16CC">
                    <w:t>string</w:t>
                  </w:r>
                </w:p>
              </w:tc>
              <w:tc>
                <w:tcPr>
                  <w:tcW w:w="0" w:type="auto"/>
                  <w:shd w:val="clear" w:color="auto" w:fill="FFFFFF"/>
                  <w:tcMar>
                    <w:top w:w="150" w:type="dxa"/>
                    <w:left w:w="150" w:type="dxa"/>
                    <w:bottom w:w="150" w:type="dxa"/>
                    <w:right w:w="150" w:type="dxa"/>
                  </w:tcMar>
                  <w:hideMark/>
                </w:tcPr>
                <w:p w14:paraId="778F31D5" w14:textId="77777777" w:rsidR="000F16CC" w:rsidRPr="000F16CC" w:rsidRDefault="000F16CC" w:rsidP="00CE1564">
                  <w:pPr>
                    <w:pStyle w:val="NoSpacing"/>
                  </w:pPr>
                  <w:r w:rsidRPr="000F16CC">
                    <w:t>refers to the source of the latest price. </w:t>
                  </w:r>
                  <w:r w:rsidRPr="000F16CC">
                    <w:br/>
                    <w:t>(</w:t>
                  </w:r>
                  <w:r w:rsidRPr="000F16CC">
                    <w:rPr>
                      <w:rFonts w:ascii="Consolas" w:hAnsi="Consolas" w:cs="Courier New"/>
                      <w:sz w:val="18"/>
                      <w:szCs w:val="18"/>
                    </w:rPr>
                    <w:t>"tops"</w:t>
                  </w:r>
                  <w:r w:rsidRPr="000F16CC">
                    <w:t>, </w:t>
                  </w:r>
                  <w:r w:rsidRPr="000F16CC">
                    <w:rPr>
                      <w:rFonts w:ascii="Consolas" w:hAnsi="Consolas" w:cs="Courier New"/>
                      <w:sz w:val="18"/>
                      <w:szCs w:val="18"/>
                    </w:rPr>
                    <w:t>"sip"</w:t>
                  </w:r>
                  <w:r w:rsidRPr="000F16CC">
                    <w:t>, </w:t>
                  </w:r>
                  <w:r w:rsidRPr="000F16CC">
                    <w:rPr>
                      <w:rFonts w:ascii="Consolas" w:hAnsi="Consolas" w:cs="Courier New"/>
                      <w:sz w:val="18"/>
                      <w:szCs w:val="18"/>
                    </w:rPr>
                    <w:t>"previousclose"</w:t>
                  </w:r>
                  <w:r w:rsidRPr="000F16CC">
                    <w:t> or </w:t>
                  </w:r>
                  <w:r w:rsidRPr="000F16CC">
                    <w:rPr>
                      <w:rFonts w:ascii="Consolas" w:hAnsi="Consolas" w:cs="Courier New"/>
                      <w:sz w:val="18"/>
                      <w:szCs w:val="18"/>
                    </w:rPr>
                    <w:t>"close"</w:t>
                  </w:r>
                  <w:r w:rsidRPr="000F16CC">
                    <w:t>)</w:t>
                  </w:r>
                </w:p>
              </w:tc>
            </w:tr>
            <w:tr w:rsidR="00CE1564" w:rsidRPr="000F16CC" w14:paraId="2E2440B1" w14:textId="77777777" w:rsidTr="000F16CC">
              <w:tc>
                <w:tcPr>
                  <w:tcW w:w="0" w:type="auto"/>
                  <w:shd w:val="clear" w:color="auto" w:fill="FFFFFF"/>
                  <w:tcMar>
                    <w:top w:w="150" w:type="dxa"/>
                    <w:left w:w="150" w:type="dxa"/>
                    <w:bottom w:w="150" w:type="dxa"/>
                    <w:right w:w="150" w:type="dxa"/>
                  </w:tcMar>
                  <w:hideMark/>
                </w:tcPr>
                <w:p w14:paraId="4B21DB9A" w14:textId="77777777" w:rsidR="000F16CC" w:rsidRPr="00CE1564" w:rsidRDefault="000F16CC" w:rsidP="00CE1564">
                  <w:pPr>
                    <w:pStyle w:val="NoSpacing"/>
                    <w:rPr>
                      <w:highlight w:val="yellow"/>
                    </w:rPr>
                  </w:pPr>
                  <w:r w:rsidRPr="00CE1564">
                    <w:rPr>
                      <w:sz w:val="24"/>
                      <w:szCs w:val="24"/>
                      <w:highlight w:val="yellow"/>
                    </w:rPr>
                    <w:t>open</w:t>
                  </w:r>
                </w:p>
              </w:tc>
              <w:tc>
                <w:tcPr>
                  <w:tcW w:w="0" w:type="auto"/>
                  <w:shd w:val="clear" w:color="auto" w:fill="FFFFFF"/>
                  <w:tcMar>
                    <w:top w:w="150" w:type="dxa"/>
                    <w:left w:w="150" w:type="dxa"/>
                    <w:bottom w:w="150" w:type="dxa"/>
                    <w:right w:w="150" w:type="dxa"/>
                  </w:tcMar>
                  <w:hideMark/>
                </w:tcPr>
                <w:p w14:paraId="6CF28300" w14:textId="77777777" w:rsidR="000F16CC" w:rsidRPr="00CE1564" w:rsidRDefault="000F16CC" w:rsidP="00CE1564">
                  <w:pPr>
                    <w:pStyle w:val="NoSpacing"/>
                    <w:rPr>
                      <w:highlight w:val="yellow"/>
                    </w:rPr>
                  </w:pPr>
                  <w:r w:rsidRPr="00CE1564">
                    <w:rPr>
                      <w:highlight w:val="yellow"/>
                    </w:rPr>
                    <w:t>number</w:t>
                  </w:r>
                </w:p>
              </w:tc>
              <w:tc>
                <w:tcPr>
                  <w:tcW w:w="0" w:type="auto"/>
                  <w:shd w:val="clear" w:color="auto" w:fill="FFFFFF"/>
                  <w:tcMar>
                    <w:top w:w="150" w:type="dxa"/>
                    <w:left w:w="150" w:type="dxa"/>
                    <w:bottom w:w="150" w:type="dxa"/>
                    <w:right w:w="150" w:type="dxa"/>
                  </w:tcMar>
                  <w:hideMark/>
                </w:tcPr>
                <w:p w14:paraId="2E9891F5" w14:textId="77777777" w:rsidR="000F16CC" w:rsidRPr="00CE1564" w:rsidRDefault="000F16CC" w:rsidP="00CE1564">
                  <w:pPr>
                    <w:pStyle w:val="NoSpacing"/>
                    <w:rPr>
                      <w:highlight w:val="yellow"/>
                    </w:rPr>
                  </w:pPr>
                  <w:r w:rsidRPr="00CE1564">
                    <w:rPr>
                      <w:highlight w:val="yellow"/>
                    </w:rPr>
                    <w:t>refers to the official open price</w:t>
                  </w:r>
                </w:p>
              </w:tc>
            </w:tr>
            <w:tr w:rsidR="00CE1564" w:rsidRPr="000F16CC" w14:paraId="43ACAC10" w14:textId="77777777" w:rsidTr="000F16CC">
              <w:tc>
                <w:tcPr>
                  <w:tcW w:w="0" w:type="auto"/>
                  <w:shd w:val="clear" w:color="auto" w:fill="FFFFFF"/>
                  <w:tcMar>
                    <w:top w:w="150" w:type="dxa"/>
                    <w:left w:w="150" w:type="dxa"/>
                    <w:bottom w:w="150" w:type="dxa"/>
                    <w:right w:w="150" w:type="dxa"/>
                  </w:tcMar>
                  <w:hideMark/>
                </w:tcPr>
                <w:p w14:paraId="3FD2943A" w14:textId="77777777" w:rsidR="000F16CC" w:rsidRPr="000F16CC" w:rsidRDefault="000F16CC" w:rsidP="00CE1564">
                  <w:pPr>
                    <w:pStyle w:val="NoSpacing"/>
                  </w:pPr>
                  <w:r w:rsidRPr="000F16CC">
                    <w:rPr>
                      <w:sz w:val="24"/>
                      <w:szCs w:val="24"/>
                    </w:rPr>
                    <w:t>openTime</w:t>
                  </w:r>
                </w:p>
              </w:tc>
              <w:tc>
                <w:tcPr>
                  <w:tcW w:w="0" w:type="auto"/>
                  <w:shd w:val="clear" w:color="auto" w:fill="FFFFFF"/>
                  <w:tcMar>
                    <w:top w:w="150" w:type="dxa"/>
                    <w:left w:w="150" w:type="dxa"/>
                    <w:bottom w:w="150" w:type="dxa"/>
                    <w:right w:w="150" w:type="dxa"/>
                  </w:tcMar>
                  <w:hideMark/>
                </w:tcPr>
                <w:p w14:paraId="0C8D4B51"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238F1887" w14:textId="77777777" w:rsidR="000F16CC" w:rsidRPr="000F16CC" w:rsidRDefault="000F16CC" w:rsidP="00CE1564">
                  <w:pPr>
                    <w:pStyle w:val="NoSpacing"/>
                  </w:pPr>
                  <w:r w:rsidRPr="000F16CC">
                    <w:t>refers to the official listing exchange time for the open</w:t>
                  </w:r>
                </w:p>
              </w:tc>
            </w:tr>
            <w:tr w:rsidR="00CE1564" w:rsidRPr="000F16CC" w14:paraId="4CE60596" w14:textId="77777777" w:rsidTr="000F16CC">
              <w:tc>
                <w:tcPr>
                  <w:tcW w:w="0" w:type="auto"/>
                  <w:shd w:val="clear" w:color="auto" w:fill="FFFFFF"/>
                  <w:tcMar>
                    <w:top w:w="150" w:type="dxa"/>
                    <w:left w:w="150" w:type="dxa"/>
                    <w:bottom w:w="150" w:type="dxa"/>
                    <w:right w:w="150" w:type="dxa"/>
                  </w:tcMar>
                  <w:hideMark/>
                </w:tcPr>
                <w:p w14:paraId="5251C46B" w14:textId="77777777" w:rsidR="000F16CC" w:rsidRPr="00CE1564" w:rsidRDefault="000F16CC" w:rsidP="00CE1564">
                  <w:pPr>
                    <w:pStyle w:val="NoSpacing"/>
                    <w:rPr>
                      <w:highlight w:val="yellow"/>
                    </w:rPr>
                  </w:pPr>
                  <w:r w:rsidRPr="00CE1564">
                    <w:rPr>
                      <w:sz w:val="24"/>
                      <w:szCs w:val="24"/>
                      <w:highlight w:val="yellow"/>
                    </w:rPr>
                    <w:lastRenderedPageBreak/>
                    <w:t>close</w:t>
                  </w:r>
                </w:p>
              </w:tc>
              <w:tc>
                <w:tcPr>
                  <w:tcW w:w="0" w:type="auto"/>
                  <w:shd w:val="clear" w:color="auto" w:fill="FFFFFF"/>
                  <w:tcMar>
                    <w:top w:w="150" w:type="dxa"/>
                    <w:left w:w="150" w:type="dxa"/>
                    <w:bottom w:w="150" w:type="dxa"/>
                    <w:right w:w="150" w:type="dxa"/>
                  </w:tcMar>
                  <w:hideMark/>
                </w:tcPr>
                <w:p w14:paraId="25E91836" w14:textId="77777777" w:rsidR="000F16CC" w:rsidRPr="00CE1564" w:rsidRDefault="000F16CC" w:rsidP="00CE1564">
                  <w:pPr>
                    <w:pStyle w:val="NoSpacing"/>
                    <w:rPr>
                      <w:highlight w:val="yellow"/>
                    </w:rPr>
                  </w:pPr>
                  <w:r w:rsidRPr="00CE1564">
                    <w:rPr>
                      <w:highlight w:val="yellow"/>
                    </w:rPr>
                    <w:t>number</w:t>
                  </w:r>
                </w:p>
              </w:tc>
              <w:tc>
                <w:tcPr>
                  <w:tcW w:w="0" w:type="auto"/>
                  <w:shd w:val="clear" w:color="auto" w:fill="FFFFFF"/>
                  <w:tcMar>
                    <w:top w:w="150" w:type="dxa"/>
                    <w:left w:w="150" w:type="dxa"/>
                    <w:bottom w:w="150" w:type="dxa"/>
                    <w:right w:w="150" w:type="dxa"/>
                  </w:tcMar>
                  <w:hideMark/>
                </w:tcPr>
                <w:p w14:paraId="7A529333" w14:textId="77777777" w:rsidR="000F16CC" w:rsidRPr="00CE1564" w:rsidRDefault="000F16CC" w:rsidP="00CE1564">
                  <w:pPr>
                    <w:pStyle w:val="NoSpacing"/>
                    <w:rPr>
                      <w:highlight w:val="yellow"/>
                    </w:rPr>
                  </w:pPr>
                  <w:r w:rsidRPr="00CE1564">
                    <w:rPr>
                      <w:highlight w:val="yellow"/>
                    </w:rPr>
                    <w:t>refers to the official close price</w:t>
                  </w:r>
                </w:p>
              </w:tc>
            </w:tr>
            <w:tr w:rsidR="00CE1564" w:rsidRPr="000F16CC" w14:paraId="37837350" w14:textId="77777777" w:rsidTr="000F16CC">
              <w:tc>
                <w:tcPr>
                  <w:tcW w:w="0" w:type="auto"/>
                  <w:shd w:val="clear" w:color="auto" w:fill="FFFFFF"/>
                  <w:tcMar>
                    <w:top w:w="150" w:type="dxa"/>
                    <w:left w:w="150" w:type="dxa"/>
                    <w:bottom w:w="150" w:type="dxa"/>
                    <w:right w:w="150" w:type="dxa"/>
                  </w:tcMar>
                  <w:hideMark/>
                </w:tcPr>
                <w:p w14:paraId="2F712149" w14:textId="77777777" w:rsidR="000F16CC" w:rsidRPr="000F16CC" w:rsidRDefault="000F16CC" w:rsidP="00CE1564">
                  <w:pPr>
                    <w:pStyle w:val="NoSpacing"/>
                  </w:pPr>
                  <w:r w:rsidRPr="000F16CC">
                    <w:rPr>
                      <w:sz w:val="24"/>
                      <w:szCs w:val="24"/>
                    </w:rPr>
                    <w:t>closeTime</w:t>
                  </w:r>
                </w:p>
              </w:tc>
              <w:tc>
                <w:tcPr>
                  <w:tcW w:w="0" w:type="auto"/>
                  <w:shd w:val="clear" w:color="auto" w:fill="FFFFFF"/>
                  <w:tcMar>
                    <w:top w:w="150" w:type="dxa"/>
                    <w:left w:w="150" w:type="dxa"/>
                    <w:bottom w:w="150" w:type="dxa"/>
                    <w:right w:w="150" w:type="dxa"/>
                  </w:tcMar>
                  <w:hideMark/>
                </w:tcPr>
                <w:p w14:paraId="2216C689"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5ECB4784" w14:textId="77777777" w:rsidR="000F16CC" w:rsidRPr="000F16CC" w:rsidRDefault="000F16CC" w:rsidP="00CE1564">
                  <w:pPr>
                    <w:pStyle w:val="NoSpacing"/>
                  </w:pPr>
                  <w:r w:rsidRPr="000F16CC">
                    <w:t>refers to the official listing exchange time for the close</w:t>
                  </w:r>
                </w:p>
              </w:tc>
            </w:tr>
            <w:tr w:rsidR="00CE1564" w:rsidRPr="000F16CC" w14:paraId="1AEEFE89" w14:textId="77777777" w:rsidTr="000F16CC">
              <w:tc>
                <w:tcPr>
                  <w:tcW w:w="0" w:type="auto"/>
                  <w:shd w:val="clear" w:color="auto" w:fill="FFFFFF"/>
                  <w:tcMar>
                    <w:top w:w="150" w:type="dxa"/>
                    <w:left w:w="150" w:type="dxa"/>
                    <w:bottom w:w="150" w:type="dxa"/>
                    <w:right w:w="150" w:type="dxa"/>
                  </w:tcMar>
                  <w:hideMark/>
                </w:tcPr>
                <w:p w14:paraId="48EB8E2B" w14:textId="77777777" w:rsidR="000F16CC" w:rsidRPr="00CE1564" w:rsidRDefault="000F16CC" w:rsidP="00CE1564">
                  <w:pPr>
                    <w:pStyle w:val="NoSpacing"/>
                    <w:rPr>
                      <w:highlight w:val="yellow"/>
                    </w:rPr>
                  </w:pPr>
                  <w:r w:rsidRPr="00CE1564">
                    <w:rPr>
                      <w:sz w:val="24"/>
                      <w:szCs w:val="24"/>
                      <w:highlight w:val="yellow"/>
                    </w:rPr>
                    <w:t>high</w:t>
                  </w:r>
                </w:p>
              </w:tc>
              <w:tc>
                <w:tcPr>
                  <w:tcW w:w="0" w:type="auto"/>
                  <w:shd w:val="clear" w:color="auto" w:fill="FFFFFF"/>
                  <w:tcMar>
                    <w:top w:w="150" w:type="dxa"/>
                    <w:left w:w="150" w:type="dxa"/>
                    <w:bottom w:w="150" w:type="dxa"/>
                    <w:right w:w="150" w:type="dxa"/>
                  </w:tcMar>
                  <w:hideMark/>
                </w:tcPr>
                <w:p w14:paraId="0FB9D3C0" w14:textId="77777777" w:rsidR="000F16CC" w:rsidRPr="00CE1564" w:rsidRDefault="000F16CC" w:rsidP="00CE1564">
                  <w:pPr>
                    <w:pStyle w:val="NoSpacing"/>
                    <w:rPr>
                      <w:highlight w:val="yellow"/>
                    </w:rPr>
                  </w:pPr>
                  <w:r w:rsidRPr="00CE1564">
                    <w:rPr>
                      <w:highlight w:val="yellow"/>
                    </w:rPr>
                    <w:t>number</w:t>
                  </w:r>
                </w:p>
              </w:tc>
              <w:tc>
                <w:tcPr>
                  <w:tcW w:w="0" w:type="auto"/>
                  <w:shd w:val="clear" w:color="auto" w:fill="FFFFFF"/>
                  <w:tcMar>
                    <w:top w:w="150" w:type="dxa"/>
                    <w:left w:w="150" w:type="dxa"/>
                    <w:bottom w:w="150" w:type="dxa"/>
                    <w:right w:w="150" w:type="dxa"/>
                  </w:tcMar>
                  <w:hideMark/>
                </w:tcPr>
                <w:p w14:paraId="66FD3534" w14:textId="77777777" w:rsidR="000F16CC" w:rsidRPr="00CE1564" w:rsidRDefault="000F16CC" w:rsidP="00CE1564">
                  <w:pPr>
                    <w:pStyle w:val="NoSpacing"/>
                    <w:rPr>
                      <w:highlight w:val="yellow"/>
                    </w:rPr>
                  </w:pPr>
                  <w:r w:rsidRPr="00CE1564">
                    <w:rPr>
                      <w:highlight w:val="yellow"/>
                    </w:rPr>
                    <w:t xml:space="preserve">refers to the market-wide highest price from the SIP. 15 </w:t>
                  </w:r>
                  <w:proofErr w:type="gramStart"/>
                  <w:r w:rsidRPr="00CE1564">
                    <w:rPr>
                      <w:highlight w:val="yellow"/>
                    </w:rPr>
                    <w:t>minute</w:t>
                  </w:r>
                  <w:proofErr w:type="gramEnd"/>
                  <w:r w:rsidRPr="00CE1564">
                    <w:rPr>
                      <w:highlight w:val="yellow"/>
                    </w:rPr>
                    <w:t xml:space="preserve"> delayed</w:t>
                  </w:r>
                </w:p>
              </w:tc>
            </w:tr>
            <w:tr w:rsidR="00CE1564" w:rsidRPr="000F16CC" w14:paraId="6AA29093" w14:textId="77777777" w:rsidTr="000F16CC">
              <w:tc>
                <w:tcPr>
                  <w:tcW w:w="0" w:type="auto"/>
                  <w:shd w:val="clear" w:color="auto" w:fill="FFFFFF"/>
                  <w:tcMar>
                    <w:top w:w="150" w:type="dxa"/>
                    <w:left w:w="150" w:type="dxa"/>
                    <w:bottom w:w="150" w:type="dxa"/>
                    <w:right w:w="150" w:type="dxa"/>
                  </w:tcMar>
                  <w:hideMark/>
                </w:tcPr>
                <w:p w14:paraId="5DA77DCC" w14:textId="77777777" w:rsidR="000F16CC" w:rsidRPr="00CE1564" w:rsidRDefault="000F16CC" w:rsidP="00CE1564">
                  <w:pPr>
                    <w:pStyle w:val="NoSpacing"/>
                    <w:rPr>
                      <w:highlight w:val="yellow"/>
                    </w:rPr>
                  </w:pPr>
                  <w:r w:rsidRPr="00CE1564">
                    <w:rPr>
                      <w:sz w:val="24"/>
                      <w:szCs w:val="24"/>
                      <w:highlight w:val="yellow"/>
                    </w:rPr>
                    <w:t>low</w:t>
                  </w:r>
                </w:p>
              </w:tc>
              <w:tc>
                <w:tcPr>
                  <w:tcW w:w="0" w:type="auto"/>
                  <w:shd w:val="clear" w:color="auto" w:fill="FFFFFF"/>
                  <w:tcMar>
                    <w:top w:w="150" w:type="dxa"/>
                    <w:left w:w="150" w:type="dxa"/>
                    <w:bottom w:w="150" w:type="dxa"/>
                    <w:right w:w="150" w:type="dxa"/>
                  </w:tcMar>
                  <w:hideMark/>
                </w:tcPr>
                <w:p w14:paraId="7D91E581" w14:textId="77777777" w:rsidR="000F16CC" w:rsidRPr="00CE1564" w:rsidRDefault="000F16CC" w:rsidP="00CE1564">
                  <w:pPr>
                    <w:pStyle w:val="NoSpacing"/>
                    <w:rPr>
                      <w:highlight w:val="yellow"/>
                    </w:rPr>
                  </w:pPr>
                  <w:r w:rsidRPr="00CE1564">
                    <w:rPr>
                      <w:highlight w:val="yellow"/>
                    </w:rPr>
                    <w:t>number</w:t>
                  </w:r>
                </w:p>
              </w:tc>
              <w:tc>
                <w:tcPr>
                  <w:tcW w:w="0" w:type="auto"/>
                  <w:shd w:val="clear" w:color="auto" w:fill="FFFFFF"/>
                  <w:tcMar>
                    <w:top w:w="150" w:type="dxa"/>
                    <w:left w:w="150" w:type="dxa"/>
                    <w:bottom w:w="150" w:type="dxa"/>
                    <w:right w:w="150" w:type="dxa"/>
                  </w:tcMar>
                  <w:hideMark/>
                </w:tcPr>
                <w:p w14:paraId="611E835E" w14:textId="77777777" w:rsidR="000F16CC" w:rsidRPr="00CE1564" w:rsidRDefault="000F16CC" w:rsidP="00CE1564">
                  <w:pPr>
                    <w:pStyle w:val="NoSpacing"/>
                    <w:rPr>
                      <w:highlight w:val="yellow"/>
                    </w:rPr>
                  </w:pPr>
                  <w:r w:rsidRPr="00CE1564">
                    <w:rPr>
                      <w:highlight w:val="yellow"/>
                    </w:rPr>
                    <w:t xml:space="preserve">refers to the market-wide lowest price from the SIP. 15 </w:t>
                  </w:r>
                  <w:proofErr w:type="gramStart"/>
                  <w:r w:rsidRPr="00CE1564">
                    <w:rPr>
                      <w:highlight w:val="yellow"/>
                    </w:rPr>
                    <w:t>minute</w:t>
                  </w:r>
                  <w:proofErr w:type="gramEnd"/>
                  <w:r w:rsidRPr="00CE1564">
                    <w:rPr>
                      <w:highlight w:val="yellow"/>
                    </w:rPr>
                    <w:t xml:space="preserve"> delayed</w:t>
                  </w:r>
                </w:p>
              </w:tc>
            </w:tr>
            <w:tr w:rsidR="00CE1564" w:rsidRPr="000F16CC" w14:paraId="79E2DD59" w14:textId="77777777" w:rsidTr="000F16CC">
              <w:tc>
                <w:tcPr>
                  <w:tcW w:w="0" w:type="auto"/>
                  <w:shd w:val="clear" w:color="auto" w:fill="FFFFFF"/>
                  <w:tcMar>
                    <w:top w:w="150" w:type="dxa"/>
                    <w:left w:w="150" w:type="dxa"/>
                    <w:bottom w:w="150" w:type="dxa"/>
                    <w:right w:w="150" w:type="dxa"/>
                  </w:tcMar>
                  <w:hideMark/>
                </w:tcPr>
                <w:p w14:paraId="79915906" w14:textId="77777777" w:rsidR="000F16CC" w:rsidRPr="000F16CC" w:rsidRDefault="000F16CC" w:rsidP="00CE1564">
                  <w:pPr>
                    <w:pStyle w:val="NoSpacing"/>
                  </w:pPr>
                  <w:r w:rsidRPr="000F16CC">
                    <w:rPr>
                      <w:sz w:val="24"/>
                      <w:szCs w:val="24"/>
                    </w:rPr>
                    <w:t>latestPrice</w:t>
                  </w:r>
                </w:p>
              </w:tc>
              <w:tc>
                <w:tcPr>
                  <w:tcW w:w="0" w:type="auto"/>
                  <w:shd w:val="clear" w:color="auto" w:fill="FFFFFF"/>
                  <w:tcMar>
                    <w:top w:w="150" w:type="dxa"/>
                    <w:left w:w="150" w:type="dxa"/>
                    <w:bottom w:w="150" w:type="dxa"/>
                    <w:right w:w="150" w:type="dxa"/>
                  </w:tcMar>
                  <w:hideMark/>
                </w:tcPr>
                <w:p w14:paraId="58114486"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297EA093" w14:textId="77777777" w:rsidR="000F16CC" w:rsidRPr="000F16CC" w:rsidRDefault="000F16CC" w:rsidP="00CE1564">
                  <w:pPr>
                    <w:pStyle w:val="NoSpacing"/>
                  </w:pPr>
                  <w:r w:rsidRPr="000F16CC">
                    <w:t xml:space="preserve">refers to the latest price being the IEX real time price, the </w:t>
                  </w:r>
                  <w:proofErr w:type="gramStart"/>
                  <w:r w:rsidRPr="000F16CC">
                    <w:t>15 minute</w:t>
                  </w:r>
                  <w:proofErr w:type="gramEnd"/>
                  <w:r w:rsidRPr="000F16CC">
                    <w:t xml:space="preserve"> delayed market price, or the previous close price.</w:t>
                  </w:r>
                </w:p>
              </w:tc>
            </w:tr>
            <w:tr w:rsidR="00CE1564" w:rsidRPr="000F16CC" w14:paraId="163BB49C" w14:textId="77777777" w:rsidTr="000F16CC">
              <w:tc>
                <w:tcPr>
                  <w:tcW w:w="0" w:type="auto"/>
                  <w:shd w:val="clear" w:color="auto" w:fill="FFFFFF"/>
                  <w:tcMar>
                    <w:top w:w="150" w:type="dxa"/>
                    <w:left w:w="150" w:type="dxa"/>
                    <w:bottom w:w="150" w:type="dxa"/>
                    <w:right w:w="150" w:type="dxa"/>
                  </w:tcMar>
                  <w:hideMark/>
                </w:tcPr>
                <w:p w14:paraId="0F529725" w14:textId="77777777" w:rsidR="000F16CC" w:rsidRPr="000F16CC" w:rsidRDefault="000F16CC" w:rsidP="00CE1564">
                  <w:pPr>
                    <w:pStyle w:val="NoSpacing"/>
                  </w:pPr>
                  <w:r w:rsidRPr="000F16CC">
                    <w:rPr>
                      <w:sz w:val="24"/>
                      <w:szCs w:val="24"/>
                    </w:rPr>
                    <w:t>latestSource</w:t>
                  </w:r>
                </w:p>
              </w:tc>
              <w:tc>
                <w:tcPr>
                  <w:tcW w:w="0" w:type="auto"/>
                  <w:shd w:val="clear" w:color="auto" w:fill="FFFFFF"/>
                  <w:tcMar>
                    <w:top w:w="150" w:type="dxa"/>
                    <w:left w:w="150" w:type="dxa"/>
                    <w:bottom w:w="150" w:type="dxa"/>
                    <w:right w:w="150" w:type="dxa"/>
                  </w:tcMar>
                  <w:hideMark/>
                </w:tcPr>
                <w:p w14:paraId="6E7D2B00" w14:textId="77777777" w:rsidR="000F16CC" w:rsidRPr="000F16CC" w:rsidRDefault="000F16CC" w:rsidP="00CE1564">
                  <w:pPr>
                    <w:pStyle w:val="NoSpacing"/>
                  </w:pPr>
                  <w:r w:rsidRPr="000F16CC">
                    <w:t>string</w:t>
                  </w:r>
                </w:p>
              </w:tc>
              <w:tc>
                <w:tcPr>
                  <w:tcW w:w="0" w:type="auto"/>
                  <w:shd w:val="clear" w:color="auto" w:fill="FFFFFF"/>
                  <w:tcMar>
                    <w:top w:w="150" w:type="dxa"/>
                    <w:left w:w="150" w:type="dxa"/>
                    <w:bottom w:w="150" w:type="dxa"/>
                    <w:right w:w="150" w:type="dxa"/>
                  </w:tcMar>
                  <w:hideMark/>
                </w:tcPr>
                <w:p w14:paraId="52E7808E" w14:textId="77777777" w:rsidR="000F16CC" w:rsidRPr="000F16CC" w:rsidRDefault="000F16CC" w:rsidP="00CE1564">
                  <w:pPr>
                    <w:pStyle w:val="NoSpacing"/>
                  </w:pPr>
                  <w:r w:rsidRPr="000F16CC">
                    <w:t>refers to the source of </w:t>
                  </w:r>
                  <w:r w:rsidRPr="000F16CC">
                    <w:rPr>
                      <w:rFonts w:ascii="Consolas" w:hAnsi="Consolas" w:cs="Courier New"/>
                      <w:sz w:val="18"/>
                      <w:szCs w:val="18"/>
                    </w:rPr>
                    <w:t>latestPrice</w:t>
                  </w:r>
                  <w:r w:rsidRPr="000F16CC">
                    <w:t>. </w:t>
                  </w:r>
                  <w:r w:rsidRPr="000F16CC">
                    <w:br/>
                    <w:t>(</w:t>
                  </w:r>
                  <w:r w:rsidRPr="000F16CC">
                    <w:rPr>
                      <w:rFonts w:ascii="Consolas" w:hAnsi="Consolas" w:cs="Courier New"/>
                      <w:sz w:val="18"/>
                      <w:szCs w:val="18"/>
                    </w:rPr>
                    <w:t>"IEX real time price"</w:t>
                  </w:r>
                  <w:r w:rsidRPr="000F16CC">
                    <w:t>, </w:t>
                  </w:r>
                  <w:r w:rsidRPr="000F16CC">
                    <w:rPr>
                      <w:rFonts w:ascii="Consolas" w:hAnsi="Consolas" w:cs="Courier New"/>
                      <w:sz w:val="18"/>
                      <w:szCs w:val="18"/>
                    </w:rPr>
                    <w:t>"</w:t>
                  </w:r>
                  <w:proofErr w:type="gramStart"/>
                  <w:r w:rsidRPr="000F16CC">
                    <w:rPr>
                      <w:rFonts w:ascii="Consolas" w:hAnsi="Consolas" w:cs="Courier New"/>
                      <w:sz w:val="18"/>
                      <w:szCs w:val="18"/>
                    </w:rPr>
                    <w:t>15 minute</w:t>
                  </w:r>
                  <w:proofErr w:type="gramEnd"/>
                  <w:r w:rsidRPr="000F16CC">
                    <w:rPr>
                      <w:rFonts w:ascii="Consolas" w:hAnsi="Consolas" w:cs="Courier New"/>
                      <w:sz w:val="18"/>
                      <w:szCs w:val="18"/>
                    </w:rPr>
                    <w:t xml:space="preserve"> delayed price"</w:t>
                  </w:r>
                  <w:r w:rsidRPr="000F16CC">
                    <w:t>, </w:t>
                  </w:r>
                  <w:r w:rsidRPr="000F16CC">
                    <w:rPr>
                      <w:rFonts w:ascii="Consolas" w:hAnsi="Consolas" w:cs="Courier New"/>
                      <w:sz w:val="18"/>
                      <w:szCs w:val="18"/>
                    </w:rPr>
                    <w:t>"Close"</w:t>
                  </w:r>
                  <w:r w:rsidRPr="000F16CC">
                    <w:t> or </w:t>
                  </w:r>
                  <w:r w:rsidRPr="000F16CC">
                    <w:rPr>
                      <w:rFonts w:ascii="Consolas" w:hAnsi="Consolas" w:cs="Courier New"/>
                      <w:sz w:val="18"/>
                      <w:szCs w:val="18"/>
                    </w:rPr>
                    <w:t>"Previous close"</w:t>
                  </w:r>
                  <w:r w:rsidRPr="000F16CC">
                    <w:t>)</w:t>
                  </w:r>
                </w:p>
              </w:tc>
            </w:tr>
            <w:tr w:rsidR="00CE1564" w:rsidRPr="000F16CC" w14:paraId="01ED5227" w14:textId="77777777" w:rsidTr="000F16CC">
              <w:tc>
                <w:tcPr>
                  <w:tcW w:w="0" w:type="auto"/>
                  <w:shd w:val="clear" w:color="auto" w:fill="FFFFFF"/>
                  <w:tcMar>
                    <w:top w:w="150" w:type="dxa"/>
                    <w:left w:w="150" w:type="dxa"/>
                    <w:bottom w:w="150" w:type="dxa"/>
                    <w:right w:w="150" w:type="dxa"/>
                  </w:tcMar>
                  <w:hideMark/>
                </w:tcPr>
                <w:p w14:paraId="0B8C832A" w14:textId="77777777" w:rsidR="000F16CC" w:rsidRPr="000F16CC" w:rsidRDefault="000F16CC" w:rsidP="00CE1564">
                  <w:pPr>
                    <w:pStyle w:val="NoSpacing"/>
                  </w:pPr>
                  <w:r w:rsidRPr="000F16CC">
                    <w:rPr>
                      <w:sz w:val="24"/>
                      <w:szCs w:val="24"/>
                    </w:rPr>
                    <w:t>latestTime</w:t>
                  </w:r>
                </w:p>
              </w:tc>
              <w:tc>
                <w:tcPr>
                  <w:tcW w:w="0" w:type="auto"/>
                  <w:shd w:val="clear" w:color="auto" w:fill="FFFFFF"/>
                  <w:tcMar>
                    <w:top w:w="150" w:type="dxa"/>
                    <w:left w:w="150" w:type="dxa"/>
                    <w:bottom w:w="150" w:type="dxa"/>
                    <w:right w:w="150" w:type="dxa"/>
                  </w:tcMar>
                  <w:hideMark/>
                </w:tcPr>
                <w:p w14:paraId="2890A878" w14:textId="77777777" w:rsidR="000F16CC" w:rsidRPr="000F16CC" w:rsidRDefault="000F16CC" w:rsidP="00CE1564">
                  <w:pPr>
                    <w:pStyle w:val="NoSpacing"/>
                  </w:pPr>
                  <w:r w:rsidRPr="000F16CC">
                    <w:t>string</w:t>
                  </w:r>
                </w:p>
              </w:tc>
              <w:tc>
                <w:tcPr>
                  <w:tcW w:w="0" w:type="auto"/>
                  <w:shd w:val="clear" w:color="auto" w:fill="FFFFFF"/>
                  <w:tcMar>
                    <w:top w:w="150" w:type="dxa"/>
                    <w:left w:w="150" w:type="dxa"/>
                    <w:bottom w:w="150" w:type="dxa"/>
                    <w:right w:w="150" w:type="dxa"/>
                  </w:tcMar>
                  <w:hideMark/>
                </w:tcPr>
                <w:p w14:paraId="509BBEA3" w14:textId="77777777" w:rsidR="000F16CC" w:rsidRPr="000F16CC" w:rsidRDefault="000F16CC" w:rsidP="00CE1564">
                  <w:pPr>
                    <w:pStyle w:val="NoSpacing"/>
                  </w:pPr>
                  <w:r w:rsidRPr="000F16CC">
                    <w:t>refers to a human readable time of the </w:t>
                  </w:r>
                  <w:r w:rsidRPr="000F16CC">
                    <w:rPr>
                      <w:rFonts w:ascii="Consolas" w:hAnsi="Consolas" w:cs="Courier New"/>
                      <w:sz w:val="18"/>
                      <w:szCs w:val="18"/>
                    </w:rPr>
                    <w:t>latestPrice</w:t>
                  </w:r>
                  <w:r w:rsidRPr="000F16CC">
                    <w:t>. The format will vary based on </w:t>
                  </w:r>
                  <w:r w:rsidRPr="000F16CC">
                    <w:rPr>
                      <w:rFonts w:ascii="Consolas" w:hAnsi="Consolas" w:cs="Courier New"/>
                      <w:sz w:val="18"/>
                      <w:szCs w:val="18"/>
                    </w:rPr>
                    <w:t>latestSource</w:t>
                  </w:r>
                  <w:r w:rsidRPr="000F16CC">
                    <w:t>.</w:t>
                  </w:r>
                </w:p>
              </w:tc>
            </w:tr>
            <w:tr w:rsidR="00CE1564" w:rsidRPr="000F16CC" w14:paraId="6BFC2A8A" w14:textId="77777777" w:rsidTr="000F16CC">
              <w:tc>
                <w:tcPr>
                  <w:tcW w:w="0" w:type="auto"/>
                  <w:shd w:val="clear" w:color="auto" w:fill="FFFFFF"/>
                  <w:tcMar>
                    <w:top w:w="150" w:type="dxa"/>
                    <w:left w:w="150" w:type="dxa"/>
                    <w:bottom w:w="150" w:type="dxa"/>
                    <w:right w:w="150" w:type="dxa"/>
                  </w:tcMar>
                  <w:hideMark/>
                </w:tcPr>
                <w:p w14:paraId="08755AF8" w14:textId="77777777" w:rsidR="000F16CC" w:rsidRPr="000F16CC" w:rsidRDefault="000F16CC" w:rsidP="00CE1564">
                  <w:pPr>
                    <w:pStyle w:val="NoSpacing"/>
                  </w:pPr>
                  <w:r w:rsidRPr="000F16CC">
                    <w:rPr>
                      <w:sz w:val="24"/>
                      <w:szCs w:val="24"/>
                    </w:rPr>
                    <w:t>latestUpdate</w:t>
                  </w:r>
                </w:p>
              </w:tc>
              <w:tc>
                <w:tcPr>
                  <w:tcW w:w="0" w:type="auto"/>
                  <w:shd w:val="clear" w:color="auto" w:fill="FFFFFF"/>
                  <w:tcMar>
                    <w:top w:w="150" w:type="dxa"/>
                    <w:left w:w="150" w:type="dxa"/>
                    <w:bottom w:w="150" w:type="dxa"/>
                    <w:right w:w="150" w:type="dxa"/>
                  </w:tcMar>
                  <w:hideMark/>
                </w:tcPr>
                <w:p w14:paraId="192F8370"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4ED211A8" w14:textId="77777777" w:rsidR="000F16CC" w:rsidRPr="000F16CC" w:rsidRDefault="000F16CC" w:rsidP="00CE1564">
                  <w:pPr>
                    <w:pStyle w:val="NoSpacing"/>
                  </w:pPr>
                  <w:r w:rsidRPr="000F16CC">
                    <w:t>refers to the update time of </w:t>
                  </w:r>
                  <w:r w:rsidRPr="000F16CC">
                    <w:rPr>
                      <w:rFonts w:ascii="Consolas" w:hAnsi="Consolas" w:cs="Courier New"/>
                      <w:sz w:val="18"/>
                      <w:szCs w:val="18"/>
                    </w:rPr>
                    <w:t>latestPrice</w:t>
                  </w:r>
                  <w:r w:rsidRPr="000F16CC">
                    <w:t> in milliseconds since midnight Jan 1, 1970.</w:t>
                  </w:r>
                </w:p>
              </w:tc>
            </w:tr>
            <w:tr w:rsidR="00CE1564" w:rsidRPr="000F16CC" w14:paraId="1DE6CB6C" w14:textId="77777777" w:rsidTr="000F16CC">
              <w:tc>
                <w:tcPr>
                  <w:tcW w:w="0" w:type="auto"/>
                  <w:shd w:val="clear" w:color="auto" w:fill="FFFFFF"/>
                  <w:tcMar>
                    <w:top w:w="150" w:type="dxa"/>
                    <w:left w:w="150" w:type="dxa"/>
                    <w:bottom w:w="150" w:type="dxa"/>
                    <w:right w:w="150" w:type="dxa"/>
                  </w:tcMar>
                  <w:hideMark/>
                </w:tcPr>
                <w:p w14:paraId="43F8E3D2" w14:textId="77777777" w:rsidR="000F16CC" w:rsidRPr="000F16CC" w:rsidRDefault="000F16CC" w:rsidP="00CE1564">
                  <w:pPr>
                    <w:pStyle w:val="NoSpacing"/>
                  </w:pPr>
                  <w:r w:rsidRPr="000F16CC">
                    <w:rPr>
                      <w:sz w:val="24"/>
                      <w:szCs w:val="24"/>
                    </w:rPr>
                    <w:t>latestVolume</w:t>
                  </w:r>
                </w:p>
              </w:tc>
              <w:tc>
                <w:tcPr>
                  <w:tcW w:w="0" w:type="auto"/>
                  <w:shd w:val="clear" w:color="auto" w:fill="FFFFFF"/>
                  <w:tcMar>
                    <w:top w:w="150" w:type="dxa"/>
                    <w:left w:w="150" w:type="dxa"/>
                    <w:bottom w:w="150" w:type="dxa"/>
                    <w:right w:w="150" w:type="dxa"/>
                  </w:tcMar>
                  <w:hideMark/>
                </w:tcPr>
                <w:p w14:paraId="3E48DA83"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0BF3AAA9" w14:textId="77777777" w:rsidR="000F16CC" w:rsidRPr="000F16CC" w:rsidRDefault="000F16CC" w:rsidP="00CE1564">
                  <w:pPr>
                    <w:pStyle w:val="NoSpacing"/>
                  </w:pPr>
                  <w:r w:rsidRPr="000F16CC">
                    <w:t>refers to the total market volume of the stock.</w:t>
                  </w:r>
                </w:p>
              </w:tc>
            </w:tr>
            <w:tr w:rsidR="00CE1564" w:rsidRPr="000F16CC" w14:paraId="394CA04E" w14:textId="77777777" w:rsidTr="000F16CC">
              <w:tc>
                <w:tcPr>
                  <w:tcW w:w="0" w:type="auto"/>
                  <w:shd w:val="clear" w:color="auto" w:fill="FFFFFF"/>
                  <w:tcMar>
                    <w:top w:w="150" w:type="dxa"/>
                    <w:left w:w="150" w:type="dxa"/>
                    <w:bottom w:w="150" w:type="dxa"/>
                    <w:right w:w="150" w:type="dxa"/>
                  </w:tcMar>
                  <w:hideMark/>
                </w:tcPr>
                <w:p w14:paraId="3A16A04A" w14:textId="77777777" w:rsidR="000F16CC" w:rsidRPr="000F16CC" w:rsidRDefault="000F16CC" w:rsidP="00CE1564">
                  <w:pPr>
                    <w:pStyle w:val="NoSpacing"/>
                  </w:pPr>
                  <w:r w:rsidRPr="000F16CC">
                    <w:rPr>
                      <w:sz w:val="24"/>
                      <w:szCs w:val="24"/>
                    </w:rPr>
                    <w:t>iexRealtimePrice</w:t>
                  </w:r>
                </w:p>
              </w:tc>
              <w:tc>
                <w:tcPr>
                  <w:tcW w:w="0" w:type="auto"/>
                  <w:shd w:val="clear" w:color="auto" w:fill="FFFFFF"/>
                  <w:tcMar>
                    <w:top w:w="150" w:type="dxa"/>
                    <w:left w:w="150" w:type="dxa"/>
                    <w:bottom w:w="150" w:type="dxa"/>
                    <w:right w:w="150" w:type="dxa"/>
                  </w:tcMar>
                  <w:hideMark/>
                </w:tcPr>
                <w:p w14:paraId="110FF740"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2C8D06DA" w14:textId="77777777" w:rsidR="000F16CC" w:rsidRPr="000F16CC" w:rsidRDefault="000F16CC" w:rsidP="00CE1564">
                  <w:pPr>
                    <w:pStyle w:val="NoSpacing"/>
                  </w:pPr>
                  <w:r w:rsidRPr="000F16CC">
                    <w:t>refers to last sale price of the stock on IEX. (Refer to the </w:t>
                  </w:r>
                  <w:hyperlink r:id="rId12" w:anchor="attribution" w:history="1">
                    <w:r w:rsidRPr="000F16CC">
                      <w:rPr>
                        <w:color w:val="006FE8"/>
                        <w:u w:val="single"/>
                      </w:rPr>
                      <w:t>attribution section</w:t>
                    </w:r>
                  </w:hyperlink>
                  <w:r w:rsidRPr="000F16CC">
                    <w:t> above.)</w:t>
                  </w:r>
                </w:p>
              </w:tc>
            </w:tr>
            <w:tr w:rsidR="00CE1564" w:rsidRPr="000F16CC" w14:paraId="0888C5CD" w14:textId="77777777" w:rsidTr="000F16CC">
              <w:tc>
                <w:tcPr>
                  <w:tcW w:w="0" w:type="auto"/>
                  <w:shd w:val="clear" w:color="auto" w:fill="FFFFFF"/>
                  <w:tcMar>
                    <w:top w:w="150" w:type="dxa"/>
                    <w:left w:w="150" w:type="dxa"/>
                    <w:bottom w:w="150" w:type="dxa"/>
                    <w:right w:w="150" w:type="dxa"/>
                  </w:tcMar>
                  <w:hideMark/>
                </w:tcPr>
                <w:p w14:paraId="4BAE9246" w14:textId="77777777" w:rsidR="000F16CC" w:rsidRPr="000F16CC" w:rsidRDefault="000F16CC" w:rsidP="00CE1564">
                  <w:pPr>
                    <w:pStyle w:val="NoSpacing"/>
                  </w:pPr>
                  <w:r w:rsidRPr="000F16CC">
                    <w:rPr>
                      <w:sz w:val="24"/>
                      <w:szCs w:val="24"/>
                    </w:rPr>
                    <w:t>iexRealtimeSize</w:t>
                  </w:r>
                </w:p>
              </w:tc>
              <w:tc>
                <w:tcPr>
                  <w:tcW w:w="0" w:type="auto"/>
                  <w:shd w:val="clear" w:color="auto" w:fill="FFFFFF"/>
                  <w:tcMar>
                    <w:top w:w="150" w:type="dxa"/>
                    <w:left w:w="150" w:type="dxa"/>
                    <w:bottom w:w="150" w:type="dxa"/>
                    <w:right w:w="150" w:type="dxa"/>
                  </w:tcMar>
                  <w:hideMark/>
                </w:tcPr>
                <w:p w14:paraId="032E5B47"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24707016" w14:textId="77777777" w:rsidR="000F16CC" w:rsidRPr="000F16CC" w:rsidRDefault="000F16CC" w:rsidP="00CE1564">
                  <w:pPr>
                    <w:pStyle w:val="NoSpacing"/>
                  </w:pPr>
                  <w:r w:rsidRPr="000F16CC">
                    <w:t>refers to last sale size of the stock on IEX.</w:t>
                  </w:r>
                </w:p>
              </w:tc>
            </w:tr>
            <w:tr w:rsidR="00CE1564" w:rsidRPr="000F16CC" w14:paraId="2D43D0E2" w14:textId="77777777" w:rsidTr="000F16CC">
              <w:tc>
                <w:tcPr>
                  <w:tcW w:w="0" w:type="auto"/>
                  <w:shd w:val="clear" w:color="auto" w:fill="FFFFFF"/>
                  <w:tcMar>
                    <w:top w:w="150" w:type="dxa"/>
                    <w:left w:w="150" w:type="dxa"/>
                    <w:bottom w:w="150" w:type="dxa"/>
                    <w:right w:w="150" w:type="dxa"/>
                  </w:tcMar>
                  <w:hideMark/>
                </w:tcPr>
                <w:p w14:paraId="021910BC" w14:textId="77777777" w:rsidR="000F16CC" w:rsidRPr="000F16CC" w:rsidRDefault="000F16CC" w:rsidP="00CE1564">
                  <w:pPr>
                    <w:pStyle w:val="NoSpacing"/>
                  </w:pPr>
                  <w:r w:rsidRPr="000F16CC">
                    <w:rPr>
                      <w:sz w:val="24"/>
                      <w:szCs w:val="24"/>
                    </w:rPr>
                    <w:t>iexLastUpdated</w:t>
                  </w:r>
                </w:p>
              </w:tc>
              <w:tc>
                <w:tcPr>
                  <w:tcW w:w="0" w:type="auto"/>
                  <w:shd w:val="clear" w:color="auto" w:fill="FFFFFF"/>
                  <w:tcMar>
                    <w:top w:w="150" w:type="dxa"/>
                    <w:left w:w="150" w:type="dxa"/>
                    <w:bottom w:w="150" w:type="dxa"/>
                    <w:right w:w="150" w:type="dxa"/>
                  </w:tcMar>
                  <w:hideMark/>
                </w:tcPr>
                <w:p w14:paraId="16A3A5CF"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1F1CC1CE" w14:textId="77777777" w:rsidR="000F16CC" w:rsidRPr="000F16CC" w:rsidRDefault="000F16CC" w:rsidP="00CE1564">
                  <w:pPr>
                    <w:pStyle w:val="NoSpacing"/>
                  </w:pPr>
                  <w:r w:rsidRPr="000F16CC">
                    <w:t>refers to the last update time of the data in milliseconds since midnight Jan 1, 1970 UTC or </w:t>
                  </w:r>
                  <w:r w:rsidRPr="000F16CC">
                    <w:rPr>
                      <w:rFonts w:ascii="Consolas" w:hAnsi="Consolas" w:cs="Courier New"/>
                      <w:sz w:val="18"/>
                      <w:szCs w:val="18"/>
                    </w:rPr>
                    <w:t>-1</w:t>
                  </w:r>
                  <w:r w:rsidRPr="000F16CC">
                    <w:t> or </w:t>
                  </w:r>
                  <w:r w:rsidRPr="000F16CC">
                    <w:rPr>
                      <w:rFonts w:ascii="Consolas" w:hAnsi="Consolas" w:cs="Courier New"/>
                      <w:sz w:val="18"/>
                      <w:szCs w:val="18"/>
                    </w:rPr>
                    <w:t>0</w:t>
                  </w:r>
                  <w:r w:rsidRPr="000F16CC">
                    <w:t>. If the value is </w:t>
                  </w:r>
                  <w:r w:rsidRPr="000F16CC">
                    <w:rPr>
                      <w:rFonts w:ascii="Consolas" w:hAnsi="Consolas" w:cs="Courier New"/>
                      <w:sz w:val="18"/>
                      <w:szCs w:val="18"/>
                    </w:rPr>
                    <w:t>-1</w:t>
                  </w:r>
                  <w:r w:rsidRPr="000F16CC">
                    <w:t> or </w:t>
                  </w:r>
                  <w:r w:rsidRPr="000F16CC">
                    <w:rPr>
                      <w:rFonts w:ascii="Consolas" w:hAnsi="Consolas" w:cs="Courier New"/>
                      <w:sz w:val="18"/>
                      <w:szCs w:val="18"/>
                    </w:rPr>
                    <w:t>0</w:t>
                  </w:r>
                  <w:r w:rsidRPr="000F16CC">
                    <w:t>, IEX has not quoted the symbol in the trading day.</w:t>
                  </w:r>
                </w:p>
              </w:tc>
            </w:tr>
            <w:tr w:rsidR="00CE1564" w:rsidRPr="000F16CC" w14:paraId="7B988451" w14:textId="77777777" w:rsidTr="000F16CC">
              <w:tc>
                <w:tcPr>
                  <w:tcW w:w="0" w:type="auto"/>
                  <w:shd w:val="clear" w:color="auto" w:fill="FFFFFF"/>
                  <w:tcMar>
                    <w:top w:w="150" w:type="dxa"/>
                    <w:left w:w="150" w:type="dxa"/>
                    <w:bottom w:w="150" w:type="dxa"/>
                    <w:right w:w="150" w:type="dxa"/>
                  </w:tcMar>
                  <w:hideMark/>
                </w:tcPr>
                <w:p w14:paraId="1DB127CC" w14:textId="77777777" w:rsidR="000F16CC" w:rsidRPr="000F16CC" w:rsidRDefault="000F16CC" w:rsidP="00CE1564">
                  <w:pPr>
                    <w:pStyle w:val="NoSpacing"/>
                  </w:pPr>
                  <w:r w:rsidRPr="000F16CC">
                    <w:rPr>
                      <w:sz w:val="24"/>
                      <w:szCs w:val="24"/>
                    </w:rPr>
                    <w:t>delayedPrice</w:t>
                  </w:r>
                </w:p>
              </w:tc>
              <w:tc>
                <w:tcPr>
                  <w:tcW w:w="0" w:type="auto"/>
                  <w:shd w:val="clear" w:color="auto" w:fill="FFFFFF"/>
                  <w:tcMar>
                    <w:top w:w="150" w:type="dxa"/>
                    <w:left w:w="150" w:type="dxa"/>
                    <w:bottom w:w="150" w:type="dxa"/>
                    <w:right w:w="150" w:type="dxa"/>
                  </w:tcMar>
                  <w:hideMark/>
                </w:tcPr>
                <w:p w14:paraId="305091B4"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1DF28301" w14:textId="77777777" w:rsidR="000F16CC" w:rsidRPr="000F16CC" w:rsidRDefault="000F16CC" w:rsidP="00CE1564">
                  <w:pPr>
                    <w:pStyle w:val="NoSpacing"/>
                  </w:pPr>
                  <w:r w:rsidRPr="000F16CC">
                    <w:t xml:space="preserve">refers to the </w:t>
                  </w:r>
                  <w:proofErr w:type="gramStart"/>
                  <w:r w:rsidRPr="000F16CC">
                    <w:t>15 minute</w:t>
                  </w:r>
                  <w:proofErr w:type="gramEnd"/>
                  <w:r w:rsidRPr="000F16CC">
                    <w:t xml:space="preserve"> delayed market price during normal market hours 9:30 - 16:00.</w:t>
                  </w:r>
                </w:p>
              </w:tc>
            </w:tr>
            <w:tr w:rsidR="00CE1564" w:rsidRPr="000F16CC" w14:paraId="23767EF3" w14:textId="77777777" w:rsidTr="000F16CC">
              <w:tc>
                <w:tcPr>
                  <w:tcW w:w="0" w:type="auto"/>
                  <w:shd w:val="clear" w:color="auto" w:fill="FFFFFF"/>
                  <w:tcMar>
                    <w:top w:w="150" w:type="dxa"/>
                    <w:left w:w="150" w:type="dxa"/>
                    <w:bottom w:w="150" w:type="dxa"/>
                    <w:right w:w="150" w:type="dxa"/>
                  </w:tcMar>
                  <w:hideMark/>
                </w:tcPr>
                <w:p w14:paraId="25191828" w14:textId="77777777" w:rsidR="000F16CC" w:rsidRPr="000F16CC" w:rsidRDefault="000F16CC" w:rsidP="00CE1564">
                  <w:pPr>
                    <w:pStyle w:val="NoSpacing"/>
                  </w:pPr>
                  <w:r w:rsidRPr="000F16CC">
                    <w:rPr>
                      <w:sz w:val="24"/>
                      <w:szCs w:val="24"/>
                    </w:rPr>
                    <w:t>delayedPriceTime</w:t>
                  </w:r>
                </w:p>
              </w:tc>
              <w:tc>
                <w:tcPr>
                  <w:tcW w:w="0" w:type="auto"/>
                  <w:shd w:val="clear" w:color="auto" w:fill="FFFFFF"/>
                  <w:tcMar>
                    <w:top w:w="150" w:type="dxa"/>
                    <w:left w:w="150" w:type="dxa"/>
                    <w:bottom w:w="150" w:type="dxa"/>
                    <w:right w:w="150" w:type="dxa"/>
                  </w:tcMar>
                  <w:hideMark/>
                </w:tcPr>
                <w:p w14:paraId="4EC06C67"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470B9C43" w14:textId="77777777" w:rsidR="000F16CC" w:rsidRPr="000F16CC" w:rsidRDefault="000F16CC" w:rsidP="00CE1564">
                  <w:pPr>
                    <w:pStyle w:val="NoSpacing"/>
                  </w:pPr>
                  <w:r w:rsidRPr="000F16CC">
                    <w:t>refers to the time of the delayed market price during normal market hours 9:30 - 16:00.</w:t>
                  </w:r>
                </w:p>
              </w:tc>
            </w:tr>
            <w:tr w:rsidR="00CE1564" w:rsidRPr="000F16CC" w14:paraId="40610762" w14:textId="77777777" w:rsidTr="000F16CC">
              <w:tc>
                <w:tcPr>
                  <w:tcW w:w="0" w:type="auto"/>
                  <w:shd w:val="clear" w:color="auto" w:fill="FFFFFF"/>
                  <w:tcMar>
                    <w:top w:w="150" w:type="dxa"/>
                    <w:left w:w="150" w:type="dxa"/>
                    <w:bottom w:w="150" w:type="dxa"/>
                    <w:right w:w="150" w:type="dxa"/>
                  </w:tcMar>
                  <w:hideMark/>
                </w:tcPr>
                <w:p w14:paraId="13F0E421" w14:textId="77777777" w:rsidR="000F16CC" w:rsidRPr="000F16CC" w:rsidRDefault="000F16CC" w:rsidP="00CE1564">
                  <w:pPr>
                    <w:pStyle w:val="NoSpacing"/>
                  </w:pPr>
                  <w:r w:rsidRPr="000F16CC">
                    <w:rPr>
                      <w:sz w:val="24"/>
                      <w:szCs w:val="24"/>
                    </w:rPr>
                    <w:lastRenderedPageBreak/>
                    <w:t>extendedPrice</w:t>
                  </w:r>
                </w:p>
              </w:tc>
              <w:tc>
                <w:tcPr>
                  <w:tcW w:w="0" w:type="auto"/>
                  <w:shd w:val="clear" w:color="auto" w:fill="FFFFFF"/>
                  <w:tcMar>
                    <w:top w:w="150" w:type="dxa"/>
                    <w:left w:w="150" w:type="dxa"/>
                    <w:bottom w:w="150" w:type="dxa"/>
                    <w:right w:w="150" w:type="dxa"/>
                  </w:tcMar>
                  <w:hideMark/>
                </w:tcPr>
                <w:p w14:paraId="1B6C9424"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2F7BEDDD" w14:textId="77777777" w:rsidR="000F16CC" w:rsidRPr="000F16CC" w:rsidRDefault="000F16CC" w:rsidP="00CE1564">
                  <w:pPr>
                    <w:pStyle w:val="NoSpacing"/>
                  </w:pPr>
                  <w:r w:rsidRPr="000F16CC">
                    <w:t xml:space="preserve">refers to the </w:t>
                  </w:r>
                  <w:proofErr w:type="gramStart"/>
                  <w:r w:rsidRPr="000F16CC">
                    <w:t>15 minute</w:t>
                  </w:r>
                  <w:proofErr w:type="gramEnd"/>
                  <w:r w:rsidRPr="000F16CC">
                    <w:t xml:space="preserve"> delayed market price outside normal market hours 8:00 - 9:30 and 16:00 - 17:00.</w:t>
                  </w:r>
                </w:p>
              </w:tc>
            </w:tr>
            <w:tr w:rsidR="00CE1564" w:rsidRPr="000F16CC" w14:paraId="13C9CC02" w14:textId="77777777" w:rsidTr="000F16CC">
              <w:tc>
                <w:tcPr>
                  <w:tcW w:w="0" w:type="auto"/>
                  <w:shd w:val="clear" w:color="auto" w:fill="FFFFFF"/>
                  <w:tcMar>
                    <w:top w:w="150" w:type="dxa"/>
                    <w:left w:w="150" w:type="dxa"/>
                    <w:bottom w:w="150" w:type="dxa"/>
                    <w:right w:w="150" w:type="dxa"/>
                  </w:tcMar>
                  <w:hideMark/>
                </w:tcPr>
                <w:p w14:paraId="65651B1B" w14:textId="77777777" w:rsidR="000F16CC" w:rsidRPr="000F16CC" w:rsidRDefault="000F16CC" w:rsidP="00CE1564">
                  <w:pPr>
                    <w:pStyle w:val="NoSpacing"/>
                  </w:pPr>
                  <w:r w:rsidRPr="000F16CC">
                    <w:rPr>
                      <w:sz w:val="24"/>
                      <w:szCs w:val="24"/>
                    </w:rPr>
                    <w:t>extendedChange</w:t>
                  </w:r>
                </w:p>
              </w:tc>
              <w:tc>
                <w:tcPr>
                  <w:tcW w:w="0" w:type="auto"/>
                  <w:shd w:val="clear" w:color="auto" w:fill="FFFFFF"/>
                  <w:tcMar>
                    <w:top w:w="150" w:type="dxa"/>
                    <w:left w:w="150" w:type="dxa"/>
                    <w:bottom w:w="150" w:type="dxa"/>
                    <w:right w:w="150" w:type="dxa"/>
                  </w:tcMar>
                  <w:hideMark/>
                </w:tcPr>
                <w:p w14:paraId="72CDD936"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5E12D6DD" w14:textId="77777777" w:rsidR="000F16CC" w:rsidRPr="000F16CC" w:rsidRDefault="000F16CC" w:rsidP="00CE1564">
                  <w:pPr>
                    <w:pStyle w:val="NoSpacing"/>
                  </w:pPr>
                  <w:r w:rsidRPr="000F16CC">
                    <w:t>is calculated using </w:t>
                  </w:r>
                  <w:r w:rsidRPr="000F16CC">
                    <w:rPr>
                      <w:rFonts w:ascii="Consolas" w:hAnsi="Consolas" w:cs="Courier New"/>
                      <w:sz w:val="18"/>
                      <w:szCs w:val="18"/>
                    </w:rPr>
                    <w:t>extendedPrice</w:t>
                  </w:r>
                  <w:r w:rsidRPr="000F16CC">
                    <w:t> from </w:t>
                  </w:r>
                  <w:r w:rsidRPr="000F16CC">
                    <w:rPr>
                      <w:rFonts w:ascii="Consolas" w:hAnsi="Consolas" w:cs="Courier New"/>
                      <w:sz w:val="18"/>
                      <w:szCs w:val="18"/>
                    </w:rPr>
                    <w:t>calculationPrice</w:t>
                  </w:r>
                  <w:r w:rsidRPr="000F16CC">
                    <w:t>.</w:t>
                  </w:r>
                </w:p>
              </w:tc>
            </w:tr>
            <w:tr w:rsidR="00CE1564" w:rsidRPr="000F16CC" w14:paraId="53BE8692" w14:textId="77777777" w:rsidTr="000F16CC">
              <w:tc>
                <w:tcPr>
                  <w:tcW w:w="0" w:type="auto"/>
                  <w:shd w:val="clear" w:color="auto" w:fill="FFFFFF"/>
                  <w:tcMar>
                    <w:top w:w="150" w:type="dxa"/>
                    <w:left w:w="150" w:type="dxa"/>
                    <w:bottom w:w="150" w:type="dxa"/>
                    <w:right w:w="150" w:type="dxa"/>
                  </w:tcMar>
                  <w:hideMark/>
                </w:tcPr>
                <w:p w14:paraId="3FA41589" w14:textId="77777777" w:rsidR="000F16CC" w:rsidRPr="000F16CC" w:rsidRDefault="000F16CC" w:rsidP="00CE1564">
                  <w:pPr>
                    <w:pStyle w:val="NoSpacing"/>
                  </w:pPr>
                  <w:r w:rsidRPr="000F16CC">
                    <w:rPr>
                      <w:sz w:val="24"/>
                      <w:szCs w:val="24"/>
                    </w:rPr>
                    <w:t>extendedChangePercent</w:t>
                  </w:r>
                </w:p>
              </w:tc>
              <w:tc>
                <w:tcPr>
                  <w:tcW w:w="0" w:type="auto"/>
                  <w:shd w:val="clear" w:color="auto" w:fill="FFFFFF"/>
                  <w:tcMar>
                    <w:top w:w="150" w:type="dxa"/>
                    <w:left w:w="150" w:type="dxa"/>
                    <w:bottom w:w="150" w:type="dxa"/>
                    <w:right w:w="150" w:type="dxa"/>
                  </w:tcMar>
                  <w:hideMark/>
                </w:tcPr>
                <w:p w14:paraId="14DAF413"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2ED2456F" w14:textId="77777777" w:rsidR="000F16CC" w:rsidRPr="000F16CC" w:rsidRDefault="000F16CC" w:rsidP="00CE1564">
                  <w:pPr>
                    <w:pStyle w:val="NoSpacing"/>
                  </w:pPr>
                  <w:r w:rsidRPr="000F16CC">
                    <w:t>is calculated using </w:t>
                  </w:r>
                  <w:r w:rsidRPr="000F16CC">
                    <w:rPr>
                      <w:rFonts w:ascii="Consolas" w:hAnsi="Consolas" w:cs="Courier New"/>
                      <w:sz w:val="18"/>
                      <w:szCs w:val="18"/>
                    </w:rPr>
                    <w:t>extendedPrice</w:t>
                  </w:r>
                  <w:r w:rsidRPr="000F16CC">
                    <w:t> from </w:t>
                  </w:r>
                  <w:r w:rsidRPr="000F16CC">
                    <w:rPr>
                      <w:rFonts w:ascii="Consolas" w:hAnsi="Consolas" w:cs="Courier New"/>
                      <w:sz w:val="18"/>
                      <w:szCs w:val="18"/>
                    </w:rPr>
                    <w:t>calculationPrice</w:t>
                  </w:r>
                  <w:r w:rsidRPr="000F16CC">
                    <w:t>.</w:t>
                  </w:r>
                </w:p>
              </w:tc>
            </w:tr>
            <w:tr w:rsidR="00CE1564" w:rsidRPr="000F16CC" w14:paraId="0CA76B85" w14:textId="77777777" w:rsidTr="000F16CC">
              <w:tc>
                <w:tcPr>
                  <w:tcW w:w="0" w:type="auto"/>
                  <w:shd w:val="clear" w:color="auto" w:fill="FFFFFF"/>
                  <w:tcMar>
                    <w:top w:w="150" w:type="dxa"/>
                    <w:left w:w="150" w:type="dxa"/>
                    <w:bottom w:w="150" w:type="dxa"/>
                    <w:right w:w="150" w:type="dxa"/>
                  </w:tcMar>
                  <w:hideMark/>
                </w:tcPr>
                <w:p w14:paraId="4F3D614F" w14:textId="77777777" w:rsidR="000F16CC" w:rsidRPr="000F16CC" w:rsidRDefault="000F16CC" w:rsidP="00CE1564">
                  <w:pPr>
                    <w:pStyle w:val="NoSpacing"/>
                  </w:pPr>
                  <w:r w:rsidRPr="000F16CC">
                    <w:rPr>
                      <w:sz w:val="24"/>
                      <w:szCs w:val="24"/>
                    </w:rPr>
                    <w:t>extendedPriceTime</w:t>
                  </w:r>
                </w:p>
              </w:tc>
              <w:tc>
                <w:tcPr>
                  <w:tcW w:w="0" w:type="auto"/>
                  <w:shd w:val="clear" w:color="auto" w:fill="FFFFFF"/>
                  <w:tcMar>
                    <w:top w:w="150" w:type="dxa"/>
                    <w:left w:w="150" w:type="dxa"/>
                    <w:bottom w:w="150" w:type="dxa"/>
                    <w:right w:w="150" w:type="dxa"/>
                  </w:tcMar>
                  <w:hideMark/>
                </w:tcPr>
                <w:p w14:paraId="00CAFE7A"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06913B95" w14:textId="77777777" w:rsidR="000F16CC" w:rsidRPr="000F16CC" w:rsidRDefault="000F16CC" w:rsidP="00CE1564">
                  <w:pPr>
                    <w:pStyle w:val="NoSpacing"/>
                  </w:pPr>
                  <w:r w:rsidRPr="000F16CC">
                    <w:t>refers to the time of the delayed market price outside normal market hours 8:00 - 9:30 and 16:00 - 17:00.</w:t>
                  </w:r>
                </w:p>
              </w:tc>
            </w:tr>
            <w:tr w:rsidR="00CE1564" w:rsidRPr="000F16CC" w14:paraId="0299B662" w14:textId="77777777" w:rsidTr="000F16CC">
              <w:tc>
                <w:tcPr>
                  <w:tcW w:w="0" w:type="auto"/>
                  <w:shd w:val="clear" w:color="auto" w:fill="FFFFFF"/>
                  <w:tcMar>
                    <w:top w:w="150" w:type="dxa"/>
                    <w:left w:w="150" w:type="dxa"/>
                    <w:bottom w:w="150" w:type="dxa"/>
                    <w:right w:w="150" w:type="dxa"/>
                  </w:tcMar>
                  <w:hideMark/>
                </w:tcPr>
                <w:p w14:paraId="0DD4889F" w14:textId="77777777" w:rsidR="000F16CC" w:rsidRPr="00CE1564" w:rsidRDefault="000F16CC" w:rsidP="00CE1564">
                  <w:pPr>
                    <w:pStyle w:val="NoSpacing"/>
                    <w:rPr>
                      <w:highlight w:val="yellow"/>
                    </w:rPr>
                  </w:pPr>
                  <w:r w:rsidRPr="00CE1564">
                    <w:rPr>
                      <w:sz w:val="24"/>
                      <w:szCs w:val="24"/>
                      <w:highlight w:val="yellow"/>
                    </w:rPr>
                    <w:t>change</w:t>
                  </w:r>
                </w:p>
              </w:tc>
              <w:tc>
                <w:tcPr>
                  <w:tcW w:w="0" w:type="auto"/>
                  <w:shd w:val="clear" w:color="auto" w:fill="FFFFFF"/>
                  <w:tcMar>
                    <w:top w:w="150" w:type="dxa"/>
                    <w:left w:w="150" w:type="dxa"/>
                    <w:bottom w:w="150" w:type="dxa"/>
                    <w:right w:w="150" w:type="dxa"/>
                  </w:tcMar>
                  <w:hideMark/>
                </w:tcPr>
                <w:p w14:paraId="2D89F1EB" w14:textId="77777777" w:rsidR="000F16CC" w:rsidRPr="00CE1564" w:rsidRDefault="000F16CC" w:rsidP="00CE1564">
                  <w:pPr>
                    <w:pStyle w:val="NoSpacing"/>
                    <w:rPr>
                      <w:highlight w:val="yellow"/>
                    </w:rPr>
                  </w:pPr>
                  <w:r w:rsidRPr="00CE1564">
                    <w:rPr>
                      <w:highlight w:val="yellow"/>
                    </w:rPr>
                    <w:t>number</w:t>
                  </w:r>
                </w:p>
              </w:tc>
              <w:tc>
                <w:tcPr>
                  <w:tcW w:w="0" w:type="auto"/>
                  <w:shd w:val="clear" w:color="auto" w:fill="FFFFFF"/>
                  <w:tcMar>
                    <w:top w:w="150" w:type="dxa"/>
                    <w:left w:w="150" w:type="dxa"/>
                    <w:bottom w:w="150" w:type="dxa"/>
                    <w:right w:w="150" w:type="dxa"/>
                  </w:tcMar>
                  <w:hideMark/>
                </w:tcPr>
                <w:p w14:paraId="20128C36" w14:textId="77777777" w:rsidR="000F16CC" w:rsidRPr="00CE1564" w:rsidRDefault="000F16CC" w:rsidP="00CE1564">
                  <w:pPr>
                    <w:pStyle w:val="NoSpacing"/>
                    <w:rPr>
                      <w:highlight w:val="yellow"/>
                    </w:rPr>
                  </w:pPr>
                  <w:r w:rsidRPr="00CE1564">
                    <w:rPr>
                      <w:highlight w:val="yellow"/>
                    </w:rPr>
                    <w:t>is calculated using </w:t>
                  </w:r>
                  <w:r w:rsidRPr="00CE1564">
                    <w:rPr>
                      <w:rFonts w:ascii="Consolas" w:hAnsi="Consolas" w:cs="Courier New"/>
                      <w:sz w:val="18"/>
                      <w:szCs w:val="18"/>
                      <w:highlight w:val="yellow"/>
                    </w:rPr>
                    <w:t>calculationPrice</w:t>
                  </w:r>
                  <w:r w:rsidRPr="00CE1564">
                    <w:rPr>
                      <w:highlight w:val="yellow"/>
                    </w:rPr>
                    <w:t> from </w:t>
                  </w:r>
                  <w:r w:rsidRPr="00CE1564">
                    <w:rPr>
                      <w:rFonts w:ascii="Consolas" w:hAnsi="Consolas" w:cs="Courier New"/>
                      <w:sz w:val="18"/>
                      <w:szCs w:val="18"/>
                      <w:highlight w:val="yellow"/>
                    </w:rPr>
                    <w:t>previousClose</w:t>
                  </w:r>
                  <w:r w:rsidRPr="00CE1564">
                    <w:rPr>
                      <w:highlight w:val="yellow"/>
                    </w:rPr>
                    <w:t>.</w:t>
                  </w:r>
                </w:p>
              </w:tc>
            </w:tr>
            <w:tr w:rsidR="00CE1564" w:rsidRPr="000F16CC" w14:paraId="0C9E78DE" w14:textId="77777777" w:rsidTr="000F16CC">
              <w:tc>
                <w:tcPr>
                  <w:tcW w:w="0" w:type="auto"/>
                  <w:shd w:val="clear" w:color="auto" w:fill="FFFFFF"/>
                  <w:tcMar>
                    <w:top w:w="150" w:type="dxa"/>
                    <w:left w:w="150" w:type="dxa"/>
                    <w:bottom w:w="150" w:type="dxa"/>
                    <w:right w:w="150" w:type="dxa"/>
                  </w:tcMar>
                  <w:hideMark/>
                </w:tcPr>
                <w:p w14:paraId="5DF67B02" w14:textId="77777777" w:rsidR="000F16CC" w:rsidRPr="00CE1564" w:rsidRDefault="000F16CC" w:rsidP="00CE1564">
                  <w:pPr>
                    <w:pStyle w:val="NoSpacing"/>
                    <w:rPr>
                      <w:highlight w:val="yellow"/>
                    </w:rPr>
                  </w:pPr>
                  <w:r w:rsidRPr="00CE1564">
                    <w:rPr>
                      <w:sz w:val="24"/>
                      <w:szCs w:val="24"/>
                      <w:highlight w:val="yellow"/>
                    </w:rPr>
                    <w:t>changePercent</w:t>
                  </w:r>
                </w:p>
              </w:tc>
              <w:tc>
                <w:tcPr>
                  <w:tcW w:w="0" w:type="auto"/>
                  <w:shd w:val="clear" w:color="auto" w:fill="FFFFFF"/>
                  <w:tcMar>
                    <w:top w:w="150" w:type="dxa"/>
                    <w:left w:w="150" w:type="dxa"/>
                    <w:bottom w:w="150" w:type="dxa"/>
                    <w:right w:w="150" w:type="dxa"/>
                  </w:tcMar>
                  <w:hideMark/>
                </w:tcPr>
                <w:p w14:paraId="53D9D86A" w14:textId="77777777" w:rsidR="000F16CC" w:rsidRPr="00CE1564" w:rsidRDefault="000F16CC" w:rsidP="00CE1564">
                  <w:pPr>
                    <w:pStyle w:val="NoSpacing"/>
                    <w:rPr>
                      <w:highlight w:val="yellow"/>
                    </w:rPr>
                  </w:pPr>
                  <w:r w:rsidRPr="00CE1564">
                    <w:rPr>
                      <w:highlight w:val="yellow"/>
                    </w:rPr>
                    <w:t>number</w:t>
                  </w:r>
                </w:p>
              </w:tc>
              <w:tc>
                <w:tcPr>
                  <w:tcW w:w="0" w:type="auto"/>
                  <w:shd w:val="clear" w:color="auto" w:fill="FFFFFF"/>
                  <w:tcMar>
                    <w:top w:w="150" w:type="dxa"/>
                    <w:left w:w="150" w:type="dxa"/>
                    <w:bottom w:w="150" w:type="dxa"/>
                    <w:right w:w="150" w:type="dxa"/>
                  </w:tcMar>
                  <w:hideMark/>
                </w:tcPr>
                <w:p w14:paraId="67503F6F" w14:textId="77777777" w:rsidR="000F16CC" w:rsidRPr="00CE1564" w:rsidRDefault="000F16CC" w:rsidP="00CE1564">
                  <w:pPr>
                    <w:pStyle w:val="NoSpacing"/>
                    <w:rPr>
                      <w:highlight w:val="yellow"/>
                    </w:rPr>
                  </w:pPr>
                  <w:r w:rsidRPr="00CE1564">
                    <w:rPr>
                      <w:highlight w:val="yellow"/>
                    </w:rPr>
                    <w:t>is calculated using </w:t>
                  </w:r>
                  <w:r w:rsidRPr="00CE1564">
                    <w:rPr>
                      <w:rFonts w:ascii="Consolas" w:hAnsi="Consolas" w:cs="Courier New"/>
                      <w:sz w:val="18"/>
                      <w:szCs w:val="18"/>
                      <w:highlight w:val="yellow"/>
                    </w:rPr>
                    <w:t>calculationPrice</w:t>
                  </w:r>
                  <w:r w:rsidRPr="00CE1564">
                    <w:rPr>
                      <w:highlight w:val="yellow"/>
                    </w:rPr>
                    <w:t> from </w:t>
                  </w:r>
                  <w:r w:rsidRPr="00CE1564">
                    <w:rPr>
                      <w:rFonts w:ascii="Consolas" w:hAnsi="Consolas" w:cs="Courier New"/>
                      <w:sz w:val="18"/>
                      <w:szCs w:val="18"/>
                      <w:highlight w:val="yellow"/>
                    </w:rPr>
                    <w:t>previousClose</w:t>
                  </w:r>
                  <w:r w:rsidRPr="00CE1564">
                    <w:rPr>
                      <w:highlight w:val="yellow"/>
                    </w:rPr>
                    <w:t>.</w:t>
                  </w:r>
                </w:p>
              </w:tc>
            </w:tr>
            <w:tr w:rsidR="00CE1564" w:rsidRPr="000F16CC" w14:paraId="71AA758D" w14:textId="77777777" w:rsidTr="000F16CC">
              <w:tc>
                <w:tcPr>
                  <w:tcW w:w="0" w:type="auto"/>
                  <w:shd w:val="clear" w:color="auto" w:fill="FFFFFF"/>
                  <w:tcMar>
                    <w:top w:w="150" w:type="dxa"/>
                    <w:left w:w="150" w:type="dxa"/>
                    <w:bottom w:w="150" w:type="dxa"/>
                    <w:right w:w="150" w:type="dxa"/>
                  </w:tcMar>
                  <w:hideMark/>
                </w:tcPr>
                <w:p w14:paraId="368F9392" w14:textId="77777777" w:rsidR="000F16CC" w:rsidRPr="000F16CC" w:rsidRDefault="000F16CC" w:rsidP="00CE1564">
                  <w:pPr>
                    <w:pStyle w:val="NoSpacing"/>
                  </w:pPr>
                  <w:r w:rsidRPr="000F16CC">
                    <w:rPr>
                      <w:sz w:val="24"/>
                      <w:szCs w:val="24"/>
                    </w:rPr>
                    <w:t>iexMarketPercent</w:t>
                  </w:r>
                </w:p>
              </w:tc>
              <w:tc>
                <w:tcPr>
                  <w:tcW w:w="0" w:type="auto"/>
                  <w:shd w:val="clear" w:color="auto" w:fill="FFFFFF"/>
                  <w:tcMar>
                    <w:top w:w="150" w:type="dxa"/>
                    <w:left w:w="150" w:type="dxa"/>
                    <w:bottom w:w="150" w:type="dxa"/>
                    <w:right w:w="150" w:type="dxa"/>
                  </w:tcMar>
                  <w:hideMark/>
                </w:tcPr>
                <w:p w14:paraId="3D1D2759"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227B5CF9" w14:textId="77777777" w:rsidR="000F16CC" w:rsidRPr="000F16CC" w:rsidRDefault="000F16CC" w:rsidP="00CE1564">
                  <w:pPr>
                    <w:pStyle w:val="NoSpacing"/>
                  </w:pPr>
                  <w:r w:rsidRPr="000F16CC">
                    <w:t>refers to IEX’s percentage of the market in the stock.</w:t>
                  </w:r>
                </w:p>
              </w:tc>
            </w:tr>
            <w:tr w:rsidR="00CE1564" w:rsidRPr="000F16CC" w14:paraId="3C485C63" w14:textId="77777777" w:rsidTr="000F16CC">
              <w:tc>
                <w:tcPr>
                  <w:tcW w:w="0" w:type="auto"/>
                  <w:shd w:val="clear" w:color="auto" w:fill="FFFFFF"/>
                  <w:tcMar>
                    <w:top w:w="150" w:type="dxa"/>
                    <w:left w:w="150" w:type="dxa"/>
                    <w:bottom w:w="150" w:type="dxa"/>
                    <w:right w:w="150" w:type="dxa"/>
                  </w:tcMar>
                  <w:hideMark/>
                </w:tcPr>
                <w:p w14:paraId="336C8BCC" w14:textId="77777777" w:rsidR="000F16CC" w:rsidRPr="00CE1564" w:rsidRDefault="000F16CC" w:rsidP="00CE1564">
                  <w:pPr>
                    <w:pStyle w:val="NoSpacing"/>
                    <w:rPr>
                      <w:highlight w:val="yellow"/>
                    </w:rPr>
                  </w:pPr>
                  <w:r w:rsidRPr="00CE1564">
                    <w:rPr>
                      <w:sz w:val="24"/>
                      <w:szCs w:val="24"/>
                      <w:highlight w:val="yellow"/>
                    </w:rPr>
                    <w:t>iexVolume</w:t>
                  </w:r>
                </w:p>
              </w:tc>
              <w:tc>
                <w:tcPr>
                  <w:tcW w:w="0" w:type="auto"/>
                  <w:shd w:val="clear" w:color="auto" w:fill="FFFFFF"/>
                  <w:tcMar>
                    <w:top w:w="150" w:type="dxa"/>
                    <w:left w:w="150" w:type="dxa"/>
                    <w:bottom w:w="150" w:type="dxa"/>
                    <w:right w:w="150" w:type="dxa"/>
                  </w:tcMar>
                  <w:hideMark/>
                </w:tcPr>
                <w:p w14:paraId="663BE866" w14:textId="77777777" w:rsidR="000F16CC" w:rsidRPr="00CE1564" w:rsidRDefault="000F16CC" w:rsidP="00CE1564">
                  <w:pPr>
                    <w:pStyle w:val="NoSpacing"/>
                    <w:rPr>
                      <w:highlight w:val="yellow"/>
                    </w:rPr>
                  </w:pPr>
                  <w:r w:rsidRPr="00CE1564">
                    <w:rPr>
                      <w:highlight w:val="yellow"/>
                    </w:rPr>
                    <w:t>number</w:t>
                  </w:r>
                </w:p>
              </w:tc>
              <w:tc>
                <w:tcPr>
                  <w:tcW w:w="0" w:type="auto"/>
                  <w:shd w:val="clear" w:color="auto" w:fill="FFFFFF"/>
                  <w:tcMar>
                    <w:top w:w="150" w:type="dxa"/>
                    <w:left w:w="150" w:type="dxa"/>
                    <w:bottom w:w="150" w:type="dxa"/>
                    <w:right w:w="150" w:type="dxa"/>
                  </w:tcMar>
                  <w:hideMark/>
                </w:tcPr>
                <w:p w14:paraId="234F8259" w14:textId="77777777" w:rsidR="000F16CC" w:rsidRPr="00CE1564" w:rsidRDefault="000F16CC" w:rsidP="00CE1564">
                  <w:pPr>
                    <w:pStyle w:val="NoSpacing"/>
                    <w:rPr>
                      <w:highlight w:val="yellow"/>
                    </w:rPr>
                  </w:pPr>
                  <w:r w:rsidRPr="00CE1564">
                    <w:rPr>
                      <w:highlight w:val="yellow"/>
                    </w:rPr>
                    <w:t>refers to shares traded in the stock on IEX.</w:t>
                  </w:r>
                </w:p>
              </w:tc>
            </w:tr>
            <w:tr w:rsidR="00CE1564" w:rsidRPr="000F16CC" w14:paraId="320FE4BA" w14:textId="77777777" w:rsidTr="000F16CC">
              <w:tc>
                <w:tcPr>
                  <w:tcW w:w="0" w:type="auto"/>
                  <w:shd w:val="clear" w:color="auto" w:fill="FFFFFF"/>
                  <w:tcMar>
                    <w:top w:w="150" w:type="dxa"/>
                    <w:left w:w="150" w:type="dxa"/>
                    <w:bottom w:w="150" w:type="dxa"/>
                    <w:right w:w="150" w:type="dxa"/>
                  </w:tcMar>
                  <w:hideMark/>
                </w:tcPr>
                <w:p w14:paraId="3F0D0374" w14:textId="77777777" w:rsidR="000F16CC" w:rsidRPr="000F16CC" w:rsidRDefault="000F16CC" w:rsidP="00CE1564">
                  <w:pPr>
                    <w:pStyle w:val="NoSpacing"/>
                  </w:pPr>
                  <w:r w:rsidRPr="000F16CC">
                    <w:rPr>
                      <w:sz w:val="24"/>
                      <w:szCs w:val="24"/>
                    </w:rPr>
                    <w:t>avgTotalVolume</w:t>
                  </w:r>
                </w:p>
              </w:tc>
              <w:tc>
                <w:tcPr>
                  <w:tcW w:w="0" w:type="auto"/>
                  <w:shd w:val="clear" w:color="auto" w:fill="FFFFFF"/>
                  <w:tcMar>
                    <w:top w:w="150" w:type="dxa"/>
                    <w:left w:w="150" w:type="dxa"/>
                    <w:bottom w:w="150" w:type="dxa"/>
                    <w:right w:w="150" w:type="dxa"/>
                  </w:tcMar>
                  <w:hideMark/>
                </w:tcPr>
                <w:p w14:paraId="714A4989"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49F40926" w14:textId="77777777" w:rsidR="000F16CC" w:rsidRPr="000F16CC" w:rsidRDefault="000F16CC" w:rsidP="00CE1564">
                  <w:pPr>
                    <w:pStyle w:val="NoSpacing"/>
                  </w:pPr>
                  <w:r w:rsidRPr="000F16CC">
                    <w:t xml:space="preserve">refers to the </w:t>
                  </w:r>
                  <w:proofErr w:type="gramStart"/>
                  <w:r w:rsidRPr="000F16CC">
                    <w:t>30 day</w:t>
                  </w:r>
                  <w:proofErr w:type="gramEnd"/>
                  <w:r w:rsidRPr="000F16CC">
                    <w:t xml:space="preserve"> average volume on all markets.</w:t>
                  </w:r>
                </w:p>
              </w:tc>
            </w:tr>
            <w:tr w:rsidR="00CE1564" w:rsidRPr="000F16CC" w14:paraId="2BB17F4C" w14:textId="77777777" w:rsidTr="000F16CC">
              <w:tc>
                <w:tcPr>
                  <w:tcW w:w="0" w:type="auto"/>
                  <w:shd w:val="clear" w:color="auto" w:fill="FFFFFF"/>
                  <w:tcMar>
                    <w:top w:w="150" w:type="dxa"/>
                    <w:left w:w="150" w:type="dxa"/>
                    <w:bottom w:w="150" w:type="dxa"/>
                    <w:right w:w="150" w:type="dxa"/>
                  </w:tcMar>
                  <w:hideMark/>
                </w:tcPr>
                <w:p w14:paraId="26C678F5" w14:textId="77777777" w:rsidR="000F16CC" w:rsidRPr="000F16CC" w:rsidRDefault="000F16CC" w:rsidP="00CE1564">
                  <w:pPr>
                    <w:pStyle w:val="NoSpacing"/>
                  </w:pPr>
                  <w:r w:rsidRPr="000F16CC">
                    <w:rPr>
                      <w:sz w:val="24"/>
                      <w:szCs w:val="24"/>
                    </w:rPr>
                    <w:t>iexBidPrice</w:t>
                  </w:r>
                </w:p>
              </w:tc>
              <w:tc>
                <w:tcPr>
                  <w:tcW w:w="0" w:type="auto"/>
                  <w:shd w:val="clear" w:color="auto" w:fill="FFFFFF"/>
                  <w:tcMar>
                    <w:top w:w="150" w:type="dxa"/>
                    <w:left w:w="150" w:type="dxa"/>
                    <w:bottom w:w="150" w:type="dxa"/>
                    <w:right w:w="150" w:type="dxa"/>
                  </w:tcMar>
                  <w:hideMark/>
                </w:tcPr>
                <w:p w14:paraId="271B0A20"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53602D2A" w14:textId="77777777" w:rsidR="000F16CC" w:rsidRPr="000F16CC" w:rsidRDefault="000F16CC" w:rsidP="00CE1564">
                  <w:pPr>
                    <w:pStyle w:val="NoSpacing"/>
                  </w:pPr>
                  <w:r w:rsidRPr="000F16CC">
                    <w:t>refers to the best bid price on IEX.</w:t>
                  </w:r>
                </w:p>
              </w:tc>
            </w:tr>
            <w:tr w:rsidR="00CE1564" w:rsidRPr="000F16CC" w14:paraId="47A5C603" w14:textId="77777777" w:rsidTr="000F16CC">
              <w:tc>
                <w:tcPr>
                  <w:tcW w:w="0" w:type="auto"/>
                  <w:shd w:val="clear" w:color="auto" w:fill="FFFFFF"/>
                  <w:tcMar>
                    <w:top w:w="150" w:type="dxa"/>
                    <w:left w:w="150" w:type="dxa"/>
                    <w:bottom w:w="150" w:type="dxa"/>
                    <w:right w:w="150" w:type="dxa"/>
                  </w:tcMar>
                  <w:hideMark/>
                </w:tcPr>
                <w:p w14:paraId="536D54AF" w14:textId="77777777" w:rsidR="000F16CC" w:rsidRPr="000F16CC" w:rsidRDefault="000F16CC" w:rsidP="00CE1564">
                  <w:pPr>
                    <w:pStyle w:val="NoSpacing"/>
                  </w:pPr>
                  <w:r w:rsidRPr="000F16CC">
                    <w:rPr>
                      <w:sz w:val="24"/>
                      <w:szCs w:val="24"/>
                    </w:rPr>
                    <w:t>iexBidSize</w:t>
                  </w:r>
                </w:p>
              </w:tc>
              <w:tc>
                <w:tcPr>
                  <w:tcW w:w="0" w:type="auto"/>
                  <w:shd w:val="clear" w:color="auto" w:fill="FFFFFF"/>
                  <w:tcMar>
                    <w:top w:w="150" w:type="dxa"/>
                    <w:left w:w="150" w:type="dxa"/>
                    <w:bottom w:w="150" w:type="dxa"/>
                    <w:right w:w="150" w:type="dxa"/>
                  </w:tcMar>
                  <w:hideMark/>
                </w:tcPr>
                <w:p w14:paraId="2456A1C1"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2A883D56" w14:textId="77777777" w:rsidR="000F16CC" w:rsidRPr="000F16CC" w:rsidRDefault="000F16CC" w:rsidP="00CE1564">
                  <w:pPr>
                    <w:pStyle w:val="NoSpacing"/>
                  </w:pPr>
                  <w:r w:rsidRPr="000F16CC">
                    <w:t xml:space="preserve">refers to </w:t>
                  </w:r>
                  <w:proofErr w:type="gramStart"/>
                  <w:r w:rsidRPr="000F16CC">
                    <w:t>amount</w:t>
                  </w:r>
                  <w:proofErr w:type="gramEnd"/>
                  <w:r w:rsidRPr="000F16CC">
                    <w:t xml:space="preserve"> of shares on the bid on IEX.</w:t>
                  </w:r>
                </w:p>
              </w:tc>
            </w:tr>
            <w:tr w:rsidR="00CE1564" w:rsidRPr="000F16CC" w14:paraId="0E8F86EA" w14:textId="77777777" w:rsidTr="000F16CC">
              <w:tc>
                <w:tcPr>
                  <w:tcW w:w="0" w:type="auto"/>
                  <w:shd w:val="clear" w:color="auto" w:fill="FFFFFF"/>
                  <w:tcMar>
                    <w:top w:w="150" w:type="dxa"/>
                    <w:left w:w="150" w:type="dxa"/>
                    <w:bottom w:w="150" w:type="dxa"/>
                    <w:right w:w="150" w:type="dxa"/>
                  </w:tcMar>
                  <w:hideMark/>
                </w:tcPr>
                <w:p w14:paraId="3DAA3CA7" w14:textId="77777777" w:rsidR="000F16CC" w:rsidRPr="000F16CC" w:rsidRDefault="000F16CC" w:rsidP="00CE1564">
                  <w:pPr>
                    <w:pStyle w:val="NoSpacing"/>
                  </w:pPr>
                  <w:r w:rsidRPr="000F16CC">
                    <w:rPr>
                      <w:sz w:val="24"/>
                      <w:szCs w:val="24"/>
                    </w:rPr>
                    <w:t>iexAskPrice</w:t>
                  </w:r>
                </w:p>
              </w:tc>
              <w:tc>
                <w:tcPr>
                  <w:tcW w:w="0" w:type="auto"/>
                  <w:shd w:val="clear" w:color="auto" w:fill="FFFFFF"/>
                  <w:tcMar>
                    <w:top w:w="150" w:type="dxa"/>
                    <w:left w:w="150" w:type="dxa"/>
                    <w:bottom w:w="150" w:type="dxa"/>
                    <w:right w:w="150" w:type="dxa"/>
                  </w:tcMar>
                  <w:hideMark/>
                </w:tcPr>
                <w:p w14:paraId="46E5AB28"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73E40B39" w14:textId="77777777" w:rsidR="000F16CC" w:rsidRPr="000F16CC" w:rsidRDefault="000F16CC" w:rsidP="00CE1564">
                  <w:pPr>
                    <w:pStyle w:val="NoSpacing"/>
                  </w:pPr>
                  <w:r w:rsidRPr="000F16CC">
                    <w:t>refers to the best ask price on IEX.</w:t>
                  </w:r>
                </w:p>
              </w:tc>
            </w:tr>
            <w:tr w:rsidR="00CE1564" w:rsidRPr="000F16CC" w14:paraId="47CB4E70" w14:textId="77777777" w:rsidTr="000F16CC">
              <w:tc>
                <w:tcPr>
                  <w:tcW w:w="0" w:type="auto"/>
                  <w:shd w:val="clear" w:color="auto" w:fill="FFFFFF"/>
                  <w:tcMar>
                    <w:top w:w="150" w:type="dxa"/>
                    <w:left w:w="150" w:type="dxa"/>
                    <w:bottom w:w="150" w:type="dxa"/>
                    <w:right w:w="150" w:type="dxa"/>
                  </w:tcMar>
                  <w:hideMark/>
                </w:tcPr>
                <w:p w14:paraId="33378691" w14:textId="77777777" w:rsidR="000F16CC" w:rsidRPr="000F16CC" w:rsidRDefault="000F16CC" w:rsidP="00CE1564">
                  <w:pPr>
                    <w:pStyle w:val="NoSpacing"/>
                  </w:pPr>
                  <w:r w:rsidRPr="000F16CC">
                    <w:rPr>
                      <w:sz w:val="24"/>
                      <w:szCs w:val="24"/>
                    </w:rPr>
                    <w:t>iexAskSize</w:t>
                  </w:r>
                </w:p>
              </w:tc>
              <w:tc>
                <w:tcPr>
                  <w:tcW w:w="0" w:type="auto"/>
                  <w:shd w:val="clear" w:color="auto" w:fill="FFFFFF"/>
                  <w:tcMar>
                    <w:top w:w="150" w:type="dxa"/>
                    <w:left w:w="150" w:type="dxa"/>
                    <w:bottom w:w="150" w:type="dxa"/>
                    <w:right w:w="150" w:type="dxa"/>
                  </w:tcMar>
                  <w:hideMark/>
                </w:tcPr>
                <w:p w14:paraId="74322E0E"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441DD6EE" w14:textId="77777777" w:rsidR="000F16CC" w:rsidRPr="000F16CC" w:rsidRDefault="000F16CC" w:rsidP="00CE1564">
                  <w:pPr>
                    <w:pStyle w:val="NoSpacing"/>
                  </w:pPr>
                  <w:r w:rsidRPr="000F16CC">
                    <w:t xml:space="preserve">refers to </w:t>
                  </w:r>
                  <w:proofErr w:type="gramStart"/>
                  <w:r w:rsidRPr="000F16CC">
                    <w:t>amount</w:t>
                  </w:r>
                  <w:proofErr w:type="gramEnd"/>
                  <w:r w:rsidRPr="000F16CC">
                    <w:t xml:space="preserve"> of shares on the ask on IEX.</w:t>
                  </w:r>
                </w:p>
              </w:tc>
            </w:tr>
            <w:tr w:rsidR="00CE1564" w:rsidRPr="000F16CC" w14:paraId="5EDAB456" w14:textId="77777777" w:rsidTr="000F16CC">
              <w:tc>
                <w:tcPr>
                  <w:tcW w:w="0" w:type="auto"/>
                  <w:shd w:val="clear" w:color="auto" w:fill="FFFFFF"/>
                  <w:tcMar>
                    <w:top w:w="150" w:type="dxa"/>
                    <w:left w:w="150" w:type="dxa"/>
                    <w:bottom w:w="150" w:type="dxa"/>
                    <w:right w:w="150" w:type="dxa"/>
                  </w:tcMar>
                  <w:hideMark/>
                </w:tcPr>
                <w:p w14:paraId="5D8D00B1" w14:textId="77777777" w:rsidR="000F16CC" w:rsidRPr="000F16CC" w:rsidRDefault="000F16CC" w:rsidP="00CE1564">
                  <w:pPr>
                    <w:pStyle w:val="NoSpacing"/>
                  </w:pPr>
                  <w:r w:rsidRPr="000F16CC">
                    <w:rPr>
                      <w:sz w:val="24"/>
                      <w:szCs w:val="24"/>
                    </w:rPr>
                    <w:t>marketCap</w:t>
                  </w:r>
                </w:p>
              </w:tc>
              <w:tc>
                <w:tcPr>
                  <w:tcW w:w="0" w:type="auto"/>
                  <w:shd w:val="clear" w:color="auto" w:fill="FFFFFF"/>
                  <w:tcMar>
                    <w:top w:w="150" w:type="dxa"/>
                    <w:left w:w="150" w:type="dxa"/>
                    <w:bottom w:w="150" w:type="dxa"/>
                    <w:right w:w="150" w:type="dxa"/>
                  </w:tcMar>
                  <w:hideMark/>
                </w:tcPr>
                <w:p w14:paraId="0560769F"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60B36FF3" w14:textId="77777777" w:rsidR="000F16CC" w:rsidRPr="000F16CC" w:rsidRDefault="000F16CC" w:rsidP="00CE1564">
                  <w:pPr>
                    <w:pStyle w:val="NoSpacing"/>
                  </w:pPr>
                  <w:r w:rsidRPr="000F16CC">
                    <w:t>is calculated in real time using </w:t>
                  </w:r>
                  <w:r w:rsidRPr="000F16CC">
                    <w:rPr>
                      <w:rFonts w:ascii="Consolas" w:hAnsi="Consolas" w:cs="Courier New"/>
                      <w:sz w:val="18"/>
                      <w:szCs w:val="18"/>
                    </w:rPr>
                    <w:t>calculationPrice</w:t>
                  </w:r>
                  <w:r w:rsidRPr="000F16CC">
                    <w:t>.</w:t>
                  </w:r>
                </w:p>
              </w:tc>
            </w:tr>
            <w:tr w:rsidR="00CE1564" w:rsidRPr="000F16CC" w14:paraId="5F5EDA19" w14:textId="77777777" w:rsidTr="000F16CC">
              <w:tc>
                <w:tcPr>
                  <w:tcW w:w="0" w:type="auto"/>
                  <w:shd w:val="clear" w:color="auto" w:fill="FFFFFF"/>
                  <w:tcMar>
                    <w:top w:w="150" w:type="dxa"/>
                    <w:left w:w="150" w:type="dxa"/>
                    <w:bottom w:w="150" w:type="dxa"/>
                    <w:right w:w="150" w:type="dxa"/>
                  </w:tcMar>
                  <w:hideMark/>
                </w:tcPr>
                <w:p w14:paraId="07453923" w14:textId="77777777" w:rsidR="000F16CC" w:rsidRPr="000F16CC" w:rsidRDefault="000F16CC" w:rsidP="00CE1564">
                  <w:pPr>
                    <w:pStyle w:val="NoSpacing"/>
                  </w:pPr>
                  <w:r w:rsidRPr="000F16CC">
                    <w:rPr>
                      <w:sz w:val="24"/>
                      <w:szCs w:val="24"/>
                    </w:rPr>
                    <w:t>peRatio</w:t>
                  </w:r>
                </w:p>
              </w:tc>
              <w:tc>
                <w:tcPr>
                  <w:tcW w:w="0" w:type="auto"/>
                  <w:shd w:val="clear" w:color="auto" w:fill="FFFFFF"/>
                  <w:tcMar>
                    <w:top w:w="150" w:type="dxa"/>
                    <w:left w:w="150" w:type="dxa"/>
                    <w:bottom w:w="150" w:type="dxa"/>
                    <w:right w:w="150" w:type="dxa"/>
                  </w:tcMar>
                  <w:hideMark/>
                </w:tcPr>
                <w:p w14:paraId="05ADAACB"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727DCE43" w14:textId="77777777" w:rsidR="000F16CC" w:rsidRPr="000F16CC" w:rsidRDefault="000F16CC" w:rsidP="00CE1564">
                  <w:pPr>
                    <w:pStyle w:val="NoSpacing"/>
                  </w:pPr>
                  <w:r w:rsidRPr="000F16CC">
                    <w:t>is calculated in real time using </w:t>
                  </w:r>
                  <w:r w:rsidRPr="000F16CC">
                    <w:rPr>
                      <w:rFonts w:ascii="Consolas" w:hAnsi="Consolas" w:cs="Courier New"/>
                      <w:sz w:val="18"/>
                      <w:szCs w:val="18"/>
                    </w:rPr>
                    <w:t>calculationPrice</w:t>
                  </w:r>
                  <w:r w:rsidRPr="000F16CC">
                    <w:t>.</w:t>
                  </w:r>
                </w:p>
              </w:tc>
            </w:tr>
            <w:tr w:rsidR="00CE1564" w:rsidRPr="000F16CC" w14:paraId="514583B9" w14:textId="77777777" w:rsidTr="000F16CC">
              <w:tc>
                <w:tcPr>
                  <w:tcW w:w="0" w:type="auto"/>
                  <w:shd w:val="clear" w:color="auto" w:fill="FFFFFF"/>
                  <w:tcMar>
                    <w:top w:w="150" w:type="dxa"/>
                    <w:left w:w="150" w:type="dxa"/>
                    <w:bottom w:w="150" w:type="dxa"/>
                    <w:right w:w="150" w:type="dxa"/>
                  </w:tcMar>
                  <w:hideMark/>
                </w:tcPr>
                <w:p w14:paraId="54E1D15D" w14:textId="77777777" w:rsidR="000F16CC" w:rsidRPr="000F16CC" w:rsidRDefault="000F16CC" w:rsidP="00CE1564">
                  <w:pPr>
                    <w:pStyle w:val="NoSpacing"/>
                  </w:pPr>
                  <w:r w:rsidRPr="000F16CC">
                    <w:rPr>
                      <w:sz w:val="24"/>
                      <w:szCs w:val="24"/>
                    </w:rPr>
                    <w:t>week52High</w:t>
                  </w:r>
                </w:p>
              </w:tc>
              <w:tc>
                <w:tcPr>
                  <w:tcW w:w="0" w:type="auto"/>
                  <w:shd w:val="clear" w:color="auto" w:fill="FFFFFF"/>
                  <w:tcMar>
                    <w:top w:w="150" w:type="dxa"/>
                    <w:left w:w="150" w:type="dxa"/>
                    <w:bottom w:w="150" w:type="dxa"/>
                    <w:right w:w="150" w:type="dxa"/>
                  </w:tcMar>
                  <w:hideMark/>
                </w:tcPr>
                <w:p w14:paraId="7629C648"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3BA8AEC5" w14:textId="77777777" w:rsidR="000F16CC" w:rsidRPr="000F16CC" w:rsidRDefault="000F16CC" w:rsidP="00CE1564">
                  <w:pPr>
                    <w:pStyle w:val="NoSpacing"/>
                  </w:pPr>
                  <w:r w:rsidRPr="000F16CC">
                    <w:t xml:space="preserve">refers to the adjusted 52 </w:t>
                  </w:r>
                  <w:proofErr w:type="gramStart"/>
                  <w:r w:rsidRPr="000F16CC">
                    <w:t>week</w:t>
                  </w:r>
                  <w:proofErr w:type="gramEnd"/>
                  <w:r w:rsidRPr="000F16CC">
                    <w:t xml:space="preserve"> high.</w:t>
                  </w:r>
                </w:p>
              </w:tc>
            </w:tr>
            <w:tr w:rsidR="00CE1564" w:rsidRPr="000F16CC" w14:paraId="7DFC7563" w14:textId="77777777" w:rsidTr="000F16CC">
              <w:tc>
                <w:tcPr>
                  <w:tcW w:w="0" w:type="auto"/>
                  <w:shd w:val="clear" w:color="auto" w:fill="FFFFFF"/>
                  <w:tcMar>
                    <w:top w:w="150" w:type="dxa"/>
                    <w:left w:w="150" w:type="dxa"/>
                    <w:bottom w:w="150" w:type="dxa"/>
                    <w:right w:w="150" w:type="dxa"/>
                  </w:tcMar>
                  <w:hideMark/>
                </w:tcPr>
                <w:p w14:paraId="72DB26F9" w14:textId="77777777" w:rsidR="000F16CC" w:rsidRPr="000F16CC" w:rsidRDefault="000F16CC" w:rsidP="00CE1564">
                  <w:pPr>
                    <w:pStyle w:val="NoSpacing"/>
                  </w:pPr>
                  <w:r w:rsidRPr="000F16CC">
                    <w:rPr>
                      <w:sz w:val="24"/>
                      <w:szCs w:val="24"/>
                    </w:rPr>
                    <w:t>week52Low</w:t>
                  </w:r>
                </w:p>
              </w:tc>
              <w:tc>
                <w:tcPr>
                  <w:tcW w:w="0" w:type="auto"/>
                  <w:shd w:val="clear" w:color="auto" w:fill="FFFFFF"/>
                  <w:tcMar>
                    <w:top w:w="150" w:type="dxa"/>
                    <w:left w:w="150" w:type="dxa"/>
                    <w:bottom w:w="150" w:type="dxa"/>
                    <w:right w:w="150" w:type="dxa"/>
                  </w:tcMar>
                  <w:hideMark/>
                </w:tcPr>
                <w:p w14:paraId="5C730555"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43A076DB" w14:textId="77777777" w:rsidR="000F16CC" w:rsidRPr="000F16CC" w:rsidRDefault="000F16CC" w:rsidP="00CE1564">
                  <w:pPr>
                    <w:pStyle w:val="NoSpacing"/>
                  </w:pPr>
                  <w:r w:rsidRPr="000F16CC">
                    <w:t xml:space="preserve">refers to the adjusted 52 </w:t>
                  </w:r>
                  <w:proofErr w:type="gramStart"/>
                  <w:r w:rsidRPr="000F16CC">
                    <w:t>week</w:t>
                  </w:r>
                  <w:proofErr w:type="gramEnd"/>
                  <w:r w:rsidRPr="000F16CC">
                    <w:t xml:space="preserve"> low.</w:t>
                  </w:r>
                </w:p>
              </w:tc>
            </w:tr>
            <w:tr w:rsidR="00CE1564" w:rsidRPr="000F16CC" w14:paraId="0B0E4F58" w14:textId="77777777" w:rsidTr="000F16CC">
              <w:tc>
                <w:tcPr>
                  <w:tcW w:w="0" w:type="auto"/>
                  <w:shd w:val="clear" w:color="auto" w:fill="FFFFFF"/>
                  <w:tcMar>
                    <w:top w:w="150" w:type="dxa"/>
                    <w:left w:w="150" w:type="dxa"/>
                    <w:bottom w:w="150" w:type="dxa"/>
                    <w:right w:w="150" w:type="dxa"/>
                  </w:tcMar>
                  <w:hideMark/>
                </w:tcPr>
                <w:p w14:paraId="59306241" w14:textId="77777777" w:rsidR="000F16CC" w:rsidRPr="000F16CC" w:rsidRDefault="000F16CC" w:rsidP="00CE1564">
                  <w:pPr>
                    <w:pStyle w:val="NoSpacing"/>
                  </w:pPr>
                  <w:r w:rsidRPr="000F16CC">
                    <w:rPr>
                      <w:sz w:val="24"/>
                      <w:szCs w:val="24"/>
                    </w:rPr>
                    <w:lastRenderedPageBreak/>
                    <w:t>ytdChange</w:t>
                  </w:r>
                </w:p>
              </w:tc>
              <w:tc>
                <w:tcPr>
                  <w:tcW w:w="0" w:type="auto"/>
                  <w:shd w:val="clear" w:color="auto" w:fill="FFFFFF"/>
                  <w:tcMar>
                    <w:top w:w="150" w:type="dxa"/>
                    <w:left w:w="150" w:type="dxa"/>
                    <w:bottom w:w="150" w:type="dxa"/>
                    <w:right w:w="150" w:type="dxa"/>
                  </w:tcMar>
                  <w:hideMark/>
                </w:tcPr>
                <w:p w14:paraId="30364B3B" w14:textId="77777777" w:rsidR="000F16CC" w:rsidRPr="000F16CC" w:rsidRDefault="000F16CC" w:rsidP="00CE1564">
                  <w:pPr>
                    <w:pStyle w:val="NoSpacing"/>
                  </w:pPr>
                  <w:r w:rsidRPr="000F16CC">
                    <w:t>number</w:t>
                  </w:r>
                </w:p>
              </w:tc>
              <w:tc>
                <w:tcPr>
                  <w:tcW w:w="0" w:type="auto"/>
                  <w:shd w:val="clear" w:color="auto" w:fill="FFFFFF"/>
                  <w:tcMar>
                    <w:top w:w="150" w:type="dxa"/>
                    <w:left w:w="150" w:type="dxa"/>
                    <w:bottom w:w="150" w:type="dxa"/>
                    <w:right w:w="150" w:type="dxa"/>
                  </w:tcMar>
                  <w:hideMark/>
                </w:tcPr>
                <w:p w14:paraId="2DF0D453" w14:textId="77777777" w:rsidR="000F16CC" w:rsidRPr="000F16CC" w:rsidRDefault="000F16CC" w:rsidP="00CE1564">
                  <w:pPr>
                    <w:pStyle w:val="NoSpacing"/>
                  </w:pPr>
                  <w:r w:rsidRPr="000F16CC">
                    <w:t>refers to the price change percentage from start of year to previous close.</w:t>
                  </w:r>
                </w:p>
              </w:tc>
            </w:tr>
          </w:tbl>
          <w:p w14:paraId="2138FAFC" w14:textId="40F5CC9B" w:rsidR="000F16CC" w:rsidRDefault="000F16CC" w:rsidP="00CE1564">
            <w:pPr>
              <w:pStyle w:val="NoSpacing"/>
            </w:pPr>
          </w:p>
        </w:tc>
      </w:tr>
    </w:tbl>
    <w:p w14:paraId="33322BE3" w14:textId="45832A11" w:rsidR="000F16CC" w:rsidRDefault="000F16CC" w:rsidP="000F16CC">
      <w:pPr>
        <w:pStyle w:val="NoSpacing"/>
        <w:rPr>
          <w:color w:val="0070C0"/>
        </w:rPr>
      </w:pPr>
    </w:p>
    <w:p w14:paraId="53F19C06" w14:textId="76FB87D0" w:rsidR="00914CE2" w:rsidRDefault="00914CE2" w:rsidP="000F16CC">
      <w:pPr>
        <w:pStyle w:val="NoSpacing"/>
        <w:rPr>
          <w:color w:val="0070C0"/>
        </w:rPr>
      </w:pPr>
    </w:p>
    <w:p w14:paraId="2A963D83" w14:textId="70D9952C" w:rsidR="00914CE2" w:rsidRDefault="00914CE2" w:rsidP="000F16CC">
      <w:pPr>
        <w:pStyle w:val="NoSpacing"/>
        <w:rPr>
          <w:color w:val="0070C0"/>
        </w:rPr>
      </w:pPr>
      <w:r>
        <w:rPr>
          <w:color w:val="0070C0"/>
        </w:rPr>
        <w:t>Get list of symbols available for the week</w:t>
      </w:r>
      <w:r w:rsidR="00245F01">
        <w:rPr>
          <w:color w:val="0070C0"/>
        </w:rPr>
        <w:t xml:space="preserve"> – table 1 symbols table</w:t>
      </w:r>
    </w:p>
    <w:p w14:paraId="663CAD92" w14:textId="111F0FDE" w:rsidR="00F81E93" w:rsidRDefault="00F81E93" w:rsidP="000F16CC">
      <w:pPr>
        <w:pStyle w:val="NoSpacing"/>
        <w:rPr>
          <w:color w:val="0070C0"/>
        </w:rPr>
      </w:pPr>
      <w:r>
        <w:rPr>
          <w:color w:val="0070C0"/>
        </w:rPr>
        <w:t>Do batch retrieve to get all symbols</w:t>
      </w:r>
    </w:p>
    <w:p w14:paraId="6FB05F22" w14:textId="00DB6796" w:rsidR="00F81E93" w:rsidRDefault="00F81E93" w:rsidP="00F81E93">
      <w:pPr>
        <w:pStyle w:val="NoSpacing"/>
        <w:numPr>
          <w:ilvl w:val="0"/>
          <w:numId w:val="4"/>
        </w:numPr>
        <w:rPr>
          <w:color w:val="0070C0"/>
        </w:rPr>
      </w:pPr>
      <w:r>
        <w:rPr>
          <w:color w:val="0070C0"/>
        </w:rPr>
        <w:t>Can divide insert by sector?</w:t>
      </w:r>
    </w:p>
    <w:p w14:paraId="7C218B67" w14:textId="1671DF77" w:rsidR="00F81E93" w:rsidRDefault="00F81E93" w:rsidP="00F81E93">
      <w:pPr>
        <w:pStyle w:val="NoSpacing"/>
        <w:numPr>
          <w:ilvl w:val="0"/>
          <w:numId w:val="4"/>
        </w:numPr>
        <w:rPr>
          <w:color w:val="0070C0"/>
        </w:rPr>
      </w:pPr>
      <w:r>
        <w:rPr>
          <w:color w:val="0070C0"/>
        </w:rPr>
        <w:t>Or do a loop</w:t>
      </w:r>
    </w:p>
    <w:p w14:paraId="433ED0DD" w14:textId="75B90EB2" w:rsidR="00914CE2" w:rsidRDefault="00245F01" w:rsidP="000F16CC">
      <w:pPr>
        <w:pStyle w:val="NoSpacing"/>
        <w:rPr>
          <w:color w:val="0070C0"/>
        </w:rPr>
      </w:pPr>
      <w:r>
        <w:rPr>
          <w:color w:val="0070C0"/>
        </w:rPr>
        <w:t>Drop into a new table</w:t>
      </w:r>
    </w:p>
    <w:p w14:paraId="5775AB56" w14:textId="7CF263E7" w:rsidR="00245F01" w:rsidRDefault="00245F01" w:rsidP="000F16CC">
      <w:pPr>
        <w:pStyle w:val="NoSpacing"/>
        <w:rPr>
          <w:color w:val="0070C0"/>
        </w:rPr>
      </w:pPr>
      <w:r>
        <w:rPr>
          <w:color w:val="0070C0"/>
        </w:rPr>
        <w:t>Calculate top price earnings ratio</w:t>
      </w:r>
    </w:p>
    <w:p w14:paraId="79EF7F63" w14:textId="7487C1F5" w:rsidR="00F81E93" w:rsidRDefault="00F81E93" w:rsidP="000F16CC">
      <w:pPr>
        <w:pStyle w:val="NoSpacing"/>
        <w:rPr>
          <w:color w:val="0070C0"/>
        </w:rPr>
      </w:pPr>
      <w:r>
        <w:rPr>
          <w:color w:val="0070C0"/>
        </w:rPr>
        <w:t>Also look at where high/low percentage is the greatest and has a price earnings ratio greater than</w:t>
      </w:r>
    </w:p>
    <w:p w14:paraId="270F983D" w14:textId="7C05C146" w:rsidR="00245F01" w:rsidRDefault="00245F01" w:rsidP="000F16CC">
      <w:pPr>
        <w:pStyle w:val="NoSpacing"/>
        <w:rPr>
          <w:color w:val="0070C0"/>
        </w:rPr>
      </w:pPr>
      <w:r>
        <w:rPr>
          <w:color w:val="0070C0"/>
        </w:rPr>
        <w:t>Select top price earnings ratio by sector and equity type</w:t>
      </w:r>
    </w:p>
    <w:p w14:paraId="03D4A4E7" w14:textId="5827764E" w:rsidR="00F81E93" w:rsidRDefault="00F81E93" w:rsidP="000F16CC">
      <w:pPr>
        <w:pStyle w:val="NoSpacing"/>
        <w:rPr>
          <w:color w:val="0070C0"/>
        </w:rPr>
      </w:pPr>
      <w:r>
        <w:rPr>
          <w:color w:val="0070C0"/>
        </w:rPr>
        <w:t>Populate into summary table</w:t>
      </w:r>
    </w:p>
    <w:p w14:paraId="21045F6C" w14:textId="5E8037FC" w:rsidR="00464440" w:rsidRDefault="00464440" w:rsidP="000F16CC">
      <w:pPr>
        <w:pStyle w:val="NoSpacing"/>
        <w:rPr>
          <w:color w:val="0070C0"/>
        </w:rPr>
      </w:pPr>
      <w:r>
        <w:rPr>
          <w:color w:val="0070C0"/>
        </w:rPr>
        <w:t>Retrieve top 5 with highest price earnings ratio</w:t>
      </w:r>
    </w:p>
    <w:p w14:paraId="77F09D8E" w14:textId="75471B2A" w:rsidR="00464440" w:rsidRDefault="00464440" w:rsidP="000F16CC">
      <w:pPr>
        <w:pStyle w:val="NoSpacing"/>
        <w:rPr>
          <w:color w:val="0070C0"/>
        </w:rPr>
      </w:pPr>
      <w:r>
        <w:rPr>
          <w:color w:val="0070C0"/>
        </w:rPr>
        <w:t>Clear table</w:t>
      </w:r>
      <w:r w:rsidR="00F81E93">
        <w:rPr>
          <w:color w:val="0070C0"/>
        </w:rPr>
        <w:t>.</w:t>
      </w:r>
    </w:p>
    <w:p w14:paraId="43EA0C00" w14:textId="23FBE223" w:rsidR="00F81E93" w:rsidRDefault="00F81E93" w:rsidP="000F16CC">
      <w:pPr>
        <w:pStyle w:val="NoSpacing"/>
        <w:rPr>
          <w:color w:val="0070C0"/>
        </w:rPr>
      </w:pPr>
      <w:r>
        <w:rPr>
          <w:color w:val="0070C0"/>
        </w:rPr>
        <w:t>Do filter by sector, equity type or all for stock pick, issue type</w:t>
      </w:r>
    </w:p>
    <w:p w14:paraId="34DAEA09" w14:textId="6D884ADF" w:rsidR="00F81E93" w:rsidRPr="00F81E93" w:rsidRDefault="00F81E93" w:rsidP="000F16CC">
      <w:pPr>
        <w:pStyle w:val="NoSpacing"/>
        <w:rPr>
          <w:color w:val="0070C0"/>
          <w:highlight w:val="green"/>
        </w:rPr>
      </w:pPr>
      <w:r w:rsidRPr="00F81E93">
        <w:rPr>
          <w:color w:val="0070C0"/>
          <w:highlight w:val="green"/>
        </w:rPr>
        <w:t>Allow to save the stocks – yes – substitute this list for what currently gets passed to symbols list</w:t>
      </w:r>
    </w:p>
    <w:p w14:paraId="20AD4B6B" w14:textId="11B53C5E" w:rsidR="00F81E93" w:rsidRDefault="00F81E93" w:rsidP="000F16CC">
      <w:pPr>
        <w:pStyle w:val="NoSpacing"/>
        <w:rPr>
          <w:color w:val="0070C0"/>
        </w:rPr>
      </w:pPr>
      <w:r w:rsidRPr="00F81E93">
        <w:rPr>
          <w:color w:val="0070C0"/>
          <w:highlight w:val="green"/>
        </w:rPr>
        <w:t>OR allow for selection</w:t>
      </w:r>
    </w:p>
    <w:p w14:paraId="642FA539" w14:textId="77777777" w:rsidR="00F81E93" w:rsidRDefault="00F81E93" w:rsidP="000F16CC">
      <w:pPr>
        <w:pStyle w:val="NoSpacing"/>
        <w:rPr>
          <w:color w:val="0070C0"/>
        </w:rPr>
      </w:pPr>
    </w:p>
    <w:p w14:paraId="67265C5D" w14:textId="77777777" w:rsidR="00F81E93" w:rsidRDefault="00F81E93" w:rsidP="000F16CC">
      <w:pPr>
        <w:pStyle w:val="NoSpacing"/>
        <w:rPr>
          <w:color w:val="0070C0"/>
        </w:rPr>
      </w:pPr>
    </w:p>
    <w:p w14:paraId="59E6FE92" w14:textId="0DC0FCE9" w:rsidR="00464440" w:rsidRDefault="00464440" w:rsidP="000F16CC">
      <w:pPr>
        <w:pStyle w:val="NoSpacing"/>
        <w:rPr>
          <w:color w:val="0070C0"/>
        </w:rPr>
      </w:pPr>
    </w:p>
    <w:p w14:paraId="3FB33044" w14:textId="1961340C" w:rsidR="00464440" w:rsidRDefault="00464440" w:rsidP="000F16CC">
      <w:pPr>
        <w:pStyle w:val="NoSpacing"/>
        <w:rPr>
          <w:color w:val="0070C0"/>
        </w:rPr>
      </w:pPr>
      <w:r>
        <w:rPr>
          <w:color w:val="0070C0"/>
        </w:rPr>
        <w:t>This creates a – work table to start from</w:t>
      </w:r>
    </w:p>
    <w:p w14:paraId="411679DD" w14:textId="41B51FA3" w:rsidR="00464440" w:rsidRDefault="00464440" w:rsidP="000F16CC">
      <w:pPr>
        <w:pStyle w:val="NoSpacing"/>
        <w:rPr>
          <w:color w:val="0070C0"/>
        </w:rPr>
      </w:pPr>
      <w:r>
        <w:rPr>
          <w:color w:val="0070C0"/>
        </w:rPr>
        <w:t>I also need a summary table to write results into.</w:t>
      </w:r>
    </w:p>
    <w:p w14:paraId="5C8B7586" w14:textId="7E40E856" w:rsidR="00464440" w:rsidRDefault="00464440" w:rsidP="000F16CC">
      <w:pPr>
        <w:pStyle w:val="NoSpacing"/>
        <w:rPr>
          <w:color w:val="0070C0"/>
        </w:rPr>
      </w:pPr>
      <w:r>
        <w:rPr>
          <w:color w:val="0070C0"/>
        </w:rPr>
        <w:t>Create a new tab or two where you select stock picking strategy</w:t>
      </w:r>
    </w:p>
    <w:p w14:paraId="1B1E39C2" w14:textId="7283CB42" w:rsidR="00464440" w:rsidRDefault="00464440" w:rsidP="000F16CC">
      <w:pPr>
        <w:pStyle w:val="NoSpacing"/>
        <w:rPr>
          <w:color w:val="0070C0"/>
        </w:rPr>
      </w:pPr>
      <w:r>
        <w:rPr>
          <w:color w:val="0070C0"/>
        </w:rPr>
        <w:t>Pass suggested stock to stock list</w:t>
      </w:r>
      <w:r w:rsidR="00F81E93">
        <w:rPr>
          <w:color w:val="0070C0"/>
        </w:rPr>
        <w:t xml:space="preserve"> – user decides which stocks to save?</w:t>
      </w:r>
    </w:p>
    <w:p w14:paraId="4519917F" w14:textId="00EF8BFC" w:rsidR="00E5255C" w:rsidRDefault="00E5255C" w:rsidP="000F16CC">
      <w:pPr>
        <w:pStyle w:val="NoSpacing"/>
        <w:rPr>
          <w:color w:val="0070C0"/>
        </w:rPr>
      </w:pPr>
    </w:p>
    <w:p w14:paraId="00D9E3AB" w14:textId="6E63BE9D" w:rsidR="00E5255C" w:rsidRDefault="00E5255C" w:rsidP="000F16CC">
      <w:pPr>
        <w:pStyle w:val="NoSpacing"/>
        <w:rPr>
          <w:color w:val="0070C0"/>
        </w:rPr>
      </w:pPr>
      <w:r>
        <w:rPr>
          <w:color w:val="0070C0"/>
        </w:rPr>
        <w:t>Step 1.</w:t>
      </w:r>
    </w:p>
    <w:p w14:paraId="0394757D" w14:textId="318C65B6" w:rsidR="00E5255C" w:rsidRDefault="00E5255C" w:rsidP="000F16CC">
      <w:pPr>
        <w:pStyle w:val="NoSpacing"/>
        <w:rPr>
          <w:color w:val="0070C0"/>
        </w:rPr>
      </w:pPr>
      <w:r>
        <w:rPr>
          <w:color w:val="0070C0"/>
        </w:rPr>
        <w:t>Copy symbols page – create new version</w:t>
      </w:r>
    </w:p>
    <w:p w14:paraId="7226D573" w14:textId="465CA6F3" w:rsidR="00E5255C" w:rsidRDefault="00E5255C" w:rsidP="000F16CC">
      <w:pPr>
        <w:pStyle w:val="NoSpacing"/>
        <w:rPr>
          <w:color w:val="0070C0"/>
        </w:rPr>
      </w:pPr>
      <w:r>
        <w:rPr>
          <w:color w:val="0070C0"/>
        </w:rPr>
        <w:t>Modify to retrieve data from collections api vs chart api – this provides more useful parameters for stock picking</w:t>
      </w:r>
    </w:p>
    <w:p w14:paraId="6B7DA4FF" w14:textId="24A68DFA" w:rsidR="00E5255C" w:rsidRDefault="00E5255C" w:rsidP="000F16CC">
      <w:pPr>
        <w:pStyle w:val="NoSpacing"/>
        <w:rPr>
          <w:color w:val="0070C0"/>
        </w:rPr>
      </w:pPr>
      <w:r>
        <w:rPr>
          <w:color w:val="0070C0"/>
        </w:rPr>
        <w:t>Save output to a work table – stock Universe</w:t>
      </w:r>
    </w:p>
    <w:p w14:paraId="3EDCBB05" w14:textId="34FF72C7" w:rsidR="00E5255C" w:rsidRDefault="00E5255C" w:rsidP="000F16CC">
      <w:pPr>
        <w:pStyle w:val="NoSpacing"/>
        <w:rPr>
          <w:color w:val="0070C0"/>
        </w:rPr>
      </w:pPr>
    </w:p>
    <w:p w14:paraId="46E30C77" w14:textId="6E7F591D" w:rsidR="00E5255C" w:rsidRDefault="00E5255C" w:rsidP="000F16CC">
      <w:pPr>
        <w:pStyle w:val="NoSpacing"/>
        <w:rPr>
          <w:color w:val="0070C0"/>
        </w:rPr>
      </w:pPr>
      <w:r>
        <w:rPr>
          <w:color w:val="0070C0"/>
        </w:rPr>
        <w:t>Step 2</w:t>
      </w:r>
    </w:p>
    <w:p w14:paraId="268A93E4" w14:textId="24A16E16" w:rsidR="00E5255C" w:rsidRDefault="00E5255C" w:rsidP="000F16CC">
      <w:pPr>
        <w:pStyle w:val="NoSpacing"/>
        <w:rPr>
          <w:color w:val="0070C0"/>
        </w:rPr>
      </w:pPr>
      <w:r>
        <w:rPr>
          <w:color w:val="0070C0"/>
        </w:rPr>
        <w:t>Create new page with filters – Sector, Issue, Market and determine top 5 stock pick either by those filters or for everything – use example from class with filters as framework for this page</w:t>
      </w:r>
    </w:p>
    <w:p w14:paraId="600919A8" w14:textId="78F246A5" w:rsidR="00E5255C" w:rsidRDefault="00E5255C" w:rsidP="000F16CC">
      <w:pPr>
        <w:pStyle w:val="NoSpacing"/>
        <w:rPr>
          <w:color w:val="0070C0"/>
        </w:rPr>
      </w:pPr>
      <w:r>
        <w:rPr>
          <w:color w:val="0070C0"/>
        </w:rPr>
        <w:t xml:space="preserve">Save the results to Stock Pick list table </w:t>
      </w:r>
    </w:p>
    <w:p w14:paraId="4C736714" w14:textId="02464096" w:rsidR="00E5255C" w:rsidRDefault="00E5255C" w:rsidP="000F16CC">
      <w:pPr>
        <w:pStyle w:val="NoSpacing"/>
        <w:rPr>
          <w:color w:val="0070C0"/>
        </w:rPr>
      </w:pPr>
    </w:p>
    <w:p w14:paraId="19202625" w14:textId="20BCB46F" w:rsidR="00E5255C" w:rsidRDefault="00E5255C" w:rsidP="000F16CC">
      <w:pPr>
        <w:pStyle w:val="NoSpacing"/>
        <w:rPr>
          <w:color w:val="0070C0"/>
        </w:rPr>
      </w:pPr>
      <w:r>
        <w:rPr>
          <w:color w:val="0070C0"/>
        </w:rPr>
        <w:t xml:space="preserve">Step 3 </w:t>
      </w:r>
    </w:p>
    <w:p w14:paraId="782ECF43" w14:textId="1A0489B0" w:rsidR="00E5255C" w:rsidRDefault="00E5255C" w:rsidP="000F16CC">
      <w:pPr>
        <w:pStyle w:val="NoSpacing"/>
        <w:rPr>
          <w:color w:val="0070C0"/>
        </w:rPr>
      </w:pPr>
      <w:r>
        <w:rPr>
          <w:color w:val="0070C0"/>
        </w:rPr>
        <w:t>Refresh – modify this page to refresh our stock pick tables</w:t>
      </w:r>
    </w:p>
    <w:p w14:paraId="2E32EBF1" w14:textId="729251F7" w:rsidR="00245F01" w:rsidRDefault="00245F01" w:rsidP="000F16CC">
      <w:pPr>
        <w:pStyle w:val="NoSpacing"/>
        <w:rPr>
          <w:color w:val="0070C0"/>
        </w:rPr>
      </w:pPr>
    </w:p>
    <w:p w14:paraId="725F73A1" w14:textId="77777777" w:rsidR="00245F01" w:rsidRDefault="00245F01" w:rsidP="000F16CC">
      <w:pPr>
        <w:pStyle w:val="NoSpacing"/>
        <w:rPr>
          <w:color w:val="0070C0"/>
        </w:rPr>
      </w:pPr>
      <w:bookmarkStart w:id="0" w:name="_GoBack"/>
      <w:bookmarkEnd w:id="0"/>
    </w:p>
    <w:sectPr w:rsidR="0024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3300"/>
    <w:multiLevelType w:val="hybridMultilevel"/>
    <w:tmpl w:val="5D70EAE4"/>
    <w:lvl w:ilvl="0" w:tplc="6BF89A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D6658"/>
    <w:multiLevelType w:val="hybridMultilevel"/>
    <w:tmpl w:val="34E6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574BD"/>
    <w:multiLevelType w:val="multilevel"/>
    <w:tmpl w:val="75B2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7686F"/>
    <w:multiLevelType w:val="multilevel"/>
    <w:tmpl w:val="52C2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0F"/>
    <w:rsid w:val="000A3EC7"/>
    <w:rsid w:val="000F16CC"/>
    <w:rsid w:val="00245F01"/>
    <w:rsid w:val="00400E57"/>
    <w:rsid w:val="00464440"/>
    <w:rsid w:val="00627F42"/>
    <w:rsid w:val="00796F88"/>
    <w:rsid w:val="007F1833"/>
    <w:rsid w:val="00812A6F"/>
    <w:rsid w:val="00914CE2"/>
    <w:rsid w:val="00A1050F"/>
    <w:rsid w:val="00A96770"/>
    <w:rsid w:val="00C914B4"/>
    <w:rsid w:val="00CE1564"/>
    <w:rsid w:val="00E5255C"/>
    <w:rsid w:val="00F8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9FBB"/>
  <w15:chartTrackingRefBased/>
  <w15:docId w15:val="{7E06EF69-A5D4-4233-AFBA-CC8FE911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7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6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6F88"/>
    <w:rPr>
      <w:rFonts w:ascii="Times New Roman" w:eastAsia="Times New Roman" w:hAnsi="Times New Roman" w:cs="Times New Roman"/>
      <w:b/>
      <w:bCs/>
      <w:sz w:val="27"/>
      <w:szCs w:val="27"/>
    </w:rPr>
  </w:style>
  <w:style w:type="paragraph" w:styleId="NormalWeb">
    <w:name w:val="Normal (Web)"/>
    <w:basedOn w:val="Normal"/>
    <w:uiPriority w:val="99"/>
    <w:unhideWhenUsed/>
    <w:rsid w:val="00796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6F88"/>
    <w:rPr>
      <w:color w:val="0000FF"/>
      <w:u w:val="single"/>
    </w:rPr>
  </w:style>
  <w:style w:type="character" w:styleId="HTMLCode">
    <w:name w:val="HTML Code"/>
    <w:basedOn w:val="DefaultParagraphFont"/>
    <w:uiPriority w:val="99"/>
    <w:semiHidden/>
    <w:unhideWhenUsed/>
    <w:rsid w:val="00796F88"/>
    <w:rPr>
      <w:rFonts w:ascii="Courier New" w:eastAsia="Times New Roman" w:hAnsi="Courier New" w:cs="Courier New"/>
      <w:sz w:val="20"/>
      <w:szCs w:val="20"/>
    </w:rPr>
  </w:style>
  <w:style w:type="character" w:styleId="Strong">
    <w:name w:val="Strong"/>
    <w:basedOn w:val="DefaultParagraphFont"/>
    <w:uiPriority w:val="22"/>
    <w:qFormat/>
    <w:rsid w:val="00796F88"/>
    <w:rPr>
      <w:b/>
      <w:bCs/>
    </w:rPr>
  </w:style>
  <w:style w:type="character" w:customStyle="1" w:styleId="Heading2Char">
    <w:name w:val="Heading 2 Char"/>
    <w:basedOn w:val="DefaultParagraphFont"/>
    <w:link w:val="Heading2"/>
    <w:uiPriority w:val="9"/>
    <w:semiHidden/>
    <w:rsid w:val="00627F4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96770"/>
    <w:pPr>
      <w:spacing w:after="0" w:line="240" w:lineRule="auto"/>
    </w:pPr>
  </w:style>
  <w:style w:type="character" w:customStyle="1" w:styleId="Heading1Char">
    <w:name w:val="Heading 1 Char"/>
    <w:basedOn w:val="DefaultParagraphFont"/>
    <w:link w:val="Heading1"/>
    <w:uiPriority w:val="9"/>
    <w:rsid w:val="000F16C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A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EC7"/>
    <w:rPr>
      <w:rFonts w:ascii="Courier New" w:eastAsia="Times New Roman" w:hAnsi="Courier New" w:cs="Courier New"/>
      <w:sz w:val="20"/>
      <w:szCs w:val="20"/>
    </w:rPr>
  </w:style>
  <w:style w:type="character" w:customStyle="1" w:styleId="moduletitlelink">
    <w:name w:val="module__title__link"/>
    <w:basedOn w:val="DefaultParagraphFont"/>
    <w:rsid w:val="00CE1564"/>
  </w:style>
  <w:style w:type="character" w:customStyle="1" w:styleId="js-about-item-abstr">
    <w:name w:val="js-about-item-abstr"/>
    <w:basedOn w:val="DefaultParagraphFont"/>
    <w:rsid w:val="00CE1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39453">
      <w:bodyDiv w:val="1"/>
      <w:marLeft w:val="0"/>
      <w:marRight w:val="0"/>
      <w:marTop w:val="0"/>
      <w:marBottom w:val="0"/>
      <w:divBdr>
        <w:top w:val="none" w:sz="0" w:space="0" w:color="auto"/>
        <w:left w:val="none" w:sz="0" w:space="0" w:color="auto"/>
        <w:bottom w:val="none" w:sz="0" w:space="0" w:color="auto"/>
        <w:right w:val="none" w:sz="0" w:space="0" w:color="auto"/>
      </w:divBdr>
    </w:div>
    <w:div w:id="357708351">
      <w:bodyDiv w:val="1"/>
      <w:marLeft w:val="0"/>
      <w:marRight w:val="0"/>
      <w:marTop w:val="0"/>
      <w:marBottom w:val="0"/>
      <w:divBdr>
        <w:top w:val="none" w:sz="0" w:space="0" w:color="auto"/>
        <w:left w:val="none" w:sz="0" w:space="0" w:color="auto"/>
        <w:bottom w:val="none" w:sz="0" w:space="0" w:color="auto"/>
        <w:right w:val="none" w:sz="0" w:space="0" w:color="auto"/>
      </w:divBdr>
    </w:div>
    <w:div w:id="742145499">
      <w:bodyDiv w:val="1"/>
      <w:marLeft w:val="0"/>
      <w:marRight w:val="0"/>
      <w:marTop w:val="0"/>
      <w:marBottom w:val="0"/>
      <w:divBdr>
        <w:top w:val="none" w:sz="0" w:space="0" w:color="auto"/>
        <w:left w:val="none" w:sz="0" w:space="0" w:color="auto"/>
        <w:bottom w:val="none" w:sz="0" w:space="0" w:color="auto"/>
        <w:right w:val="none" w:sz="0" w:space="0" w:color="auto"/>
      </w:divBdr>
    </w:div>
    <w:div w:id="839278402">
      <w:bodyDiv w:val="1"/>
      <w:marLeft w:val="0"/>
      <w:marRight w:val="0"/>
      <w:marTop w:val="0"/>
      <w:marBottom w:val="0"/>
      <w:divBdr>
        <w:top w:val="none" w:sz="0" w:space="0" w:color="auto"/>
        <w:left w:val="none" w:sz="0" w:space="0" w:color="auto"/>
        <w:bottom w:val="none" w:sz="0" w:space="0" w:color="auto"/>
        <w:right w:val="none" w:sz="0" w:space="0" w:color="auto"/>
      </w:divBdr>
    </w:div>
    <w:div w:id="839781113">
      <w:bodyDiv w:val="1"/>
      <w:marLeft w:val="0"/>
      <w:marRight w:val="0"/>
      <w:marTop w:val="0"/>
      <w:marBottom w:val="0"/>
      <w:divBdr>
        <w:top w:val="none" w:sz="0" w:space="0" w:color="auto"/>
        <w:left w:val="none" w:sz="0" w:space="0" w:color="auto"/>
        <w:bottom w:val="none" w:sz="0" w:space="0" w:color="auto"/>
        <w:right w:val="none" w:sz="0" w:space="0" w:color="auto"/>
      </w:divBdr>
    </w:div>
    <w:div w:id="901797689">
      <w:bodyDiv w:val="1"/>
      <w:marLeft w:val="0"/>
      <w:marRight w:val="0"/>
      <w:marTop w:val="0"/>
      <w:marBottom w:val="0"/>
      <w:divBdr>
        <w:top w:val="none" w:sz="0" w:space="0" w:color="auto"/>
        <w:left w:val="none" w:sz="0" w:space="0" w:color="auto"/>
        <w:bottom w:val="none" w:sz="0" w:space="0" w:color="auto"/>
        <w:right w:val="none" w:sz="0" w:space="0" w:color="auto"/>
      </w:divBdr>
    </w:div>
    <w:div w:id="1062216745">
      <w:bodyDiv w:val="1"/>
      <w:marLeft w:val="0"/>
      <w:marRight w:val="0"/>
      <w:marTop w:val="0"/>
      <w:marBottom w:val="0"/>
      <w:divBdr>
        <w:top w:val="none" w:sz="0" w:space="0" w:color="auto"/>
        <w:left w:val="none" w:sz="0" w:space="0" w:color="auto"/>
        <w:bottom w:val="none" w:sz="0" w:space="0" w:color="auto"/>
        <w:right w:val="none" w:sz="0" w:space="0" w:color="auto"/>
      </w:divBdr>
    </w:div>
    <w:div w:id="1066613341">
      <w:bodyDiv w:val="1"/>
      <w:marLeft w:val="0"/>
      <w:marRight w:val="0"/>
      <w:marTop w:val="0"/>
      <w:marBottom w:val="0"/>
      <w:divBdr>
        <w:top w:val="none" w:sz="0" w:space="0" w:color="auto"/>
        <w:left w:val="none" w:sz="0" w:space="0" w:color="auto"/>
        <w:bottom w:val="none" w:sz="0" w:space="0" w:color="auto"/>
        <w:right w:val="none" w:sz="0" w:space="0" w:color="auto"/>
      </w:divBdr>
    </w:div>
    <w:div w:id="1375353493">
      <w:bodyDiv w:val="1"/>
      <w:marLeft w:val="0"/>
      <w:marRight w:val="0"/>
      <w:marTop w:val="0"/>
      <w:marBottom w:val="0"/>
      <w:divBdr>
        <w:top w:val="none" w:sz="0" w:space="0" w:color="auto"/>
        <w:left w:val="none" w:sz="0" w:space="0" w:color="auto"/>
        <w:bottom w:val="none" w:sz="0" w:space="0" w:color="auto"/>
        <w:right w:val="none" w:sz="0" w:space="0" w:color="auto"/>
      </w:divBdr>
    </w:div>
    <w:div w:id="1397699807">
      <w:bodyDiv w:val="1"/>
      <w:marLeft w:val="0"/>
      <w:marRight w:val="0"/>
      <w:marTop w:val="0"/>
      <w:marBottom w:val="0"/>
      <w:divBdr>
        <w:top w:val="none" w:sz="0" w:space="0" w:color="auto"/>
        <w:left w:val="none" w:sz="0" w:space="0" w:color="auto"/>
        <w:bottom w:val="none" w:sz="0" w:space="0" w:color="auto"/>
        <w:right w:val="none" w:sz="0" w:space="0" w:color="auto"/>
      </w:divBdr>
    </w:div>
    <w:div w:id="1425611258">
      <w:bodyDiv w:val="1"/>
      <w:marLeft w:val="0"/>
      <w:marRight w:val="0"/>
      <w:marTop w:val="0"/>
      <w:marBottom w:val="0"/>
      <w:divBdr>
        <w:top w:val="none" w:sz="0" w:space="0" w:color="auto"/>
        <w:left w:val="none" w:sz="0" w:space="0" w:color="auto"/>
        <w:bottom w:val="none" w:sz="0" w:space="0" w:color="auto"/>
        <w:right w:val="none" w:sz="0" w:space="0" w:color="auto"/>
      </w:divBdr>
    </w:div>
    <w:div w:id="1430076173">
      <w:bodyDiv w:val="1"/>
      <w:marLeft w:val="0"/>
      <w:marRight w:val="0"/>
      <w:marTop w:val="0"/>
      <w:marBottom w:val="0"/>
      <w:divBdr>
        <w:top w:val="none" w:sz="0" w:space="0" w:color="auto"/>
        <w:left w:val="none" w:sz="0" w:space="0" w:color="auto"/>
        <w:bottom w:val="none" w:sz="0" w:space="0" w:color="auto"/>
        <w:right w:val="none" w:sz="0" w:space="0" w:color="auto"/>
      </w:divBdr>
    </w:div>
    <w:div w:id="1698585350">
      <w:bodyDiv w:val="1"/>
      <w:marLeft w:val="0"/>
      <w:marRight w:val="0"/>
      <w:marTop w:val="0"/>
      <w:marBottom w:val="0"/>
      <w:divBdr>
        <w:top w:val="none" w:sz="0" w:space="0" w:color="auto"/>
        <w:left w:val="none" w:sz="0" w:space="0" w:color="auto"/>
        <w:bottom w:val="none" w:sz="0" w:space="0" w:color="auto"/>
        <w:right w:val="none" w:sz="0" w:space="0" w:color="auto"/>
      </w:divBdr>
    </w:div>
    <w:div w:id="1923489995">
      <w:bodyDiv w:val="1"/>
      <w:marLeft w:val="0"/>
      <w:marRight w:val="0"/>
      <w:marTop w:val="0"/>
      <w:marBottom w:val="0"/>
      <w:divBdr>
        <w:top w:val="none" w:sz="0" w:space="0" w:color="auto"/>
        <w:left w:val="none" w:sz="0" w:space="0" w:color="auto"/>
        <w:bottom w:val="none" w:sz="0" w:space="0" w:color="auto"/>
        <w:right w:val="none" w:sz="0" w:space="0" w:color="auto"/>
      </w:divBdr>
    </w:div>
    <w:div w:id="1946694665">
      <w:bodyDiv w:val="1"/>
      <w:marLeft w:val="0"/>
      <w:marRight w:val="0"/>
      <w:marTop w:val="0"/>
      <w:marBottom w:val="0"/>
      <w:divBdr>
        <w:top w:val="none" w:sz="0" w:space="0" w:color="auto"/>
        <w:left w:val="none" w:sz="0" w:space="0" w:color="auto"/>
        <w:bottom w:val="none" w:sz="0" w:space="0" w:color="auto"/>
        <w:right w:val="none" w:sz="0" w:space="0" w:color="auto"/>
      </w:divBdr>
    </w:div>
    <w:div w:id="20657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xtrading.com/developer/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xtrading.com/developer/docs" TargetMode="External"/><Relationship Id="rId12" Type="http://schemas.openxmlformats.org/officeDocument/2006/relationships/hyperlink" Target="https://iextrading.com/developer/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m/marketablesecurities.asp" TargetMode="External"/><Relationship Id="rId11" Type="http://schemas.openxmlformats.org/officeDocument/2006/relationships/hyperlink" Target="https://api.iextrading.com/1.0/stock/aapl/quote" TargetMode="External"/><Relationship Id="rId5" Type="http://schemas.openxmlformats.org/officeDocument/2006/relationships/hyperlink" Target="http://www.nasdaqtrader.com/trader.aspx?id=CQSsymbolconvention" TargetMode="External"/><Relationship Id="rId10" Type="http://schemas.openxmlformats.org/officeDocument/2006/relationships/hyperlink" Target="https://iextrading.com/developer/docs" TargetMode="External"/><Relationship Id="rId4" Type="http://schemas.openxmlformats.org/officeDocument/2006/relationships/webSettings" Target="webSettings.xml"/><Relationship Id="rId9" Type="http://schemas.openxmlformats.org/officeDocument/2006/relationships/hyperlink" Target="https://iextrading.com/developer/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dc:creator>
  <cp:keywords/>
  <dc:description/>
  <cp:lastModifiedBy>Carole</cp:lastModifiedBy>
  <cp:revision>5</cp:revision>
  <dcterms:created xsi:type="dcterms:W3CDTF">2018-10-28T19:04:00Z</dcterms:created>
  <dcterms:modified xsi:type="dcterms:W3CDTF">2018-10-28T21:43:00Z</dcterms:modified>
</cp:coreProperties>
</file>