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94B42" w14:textId="77777777" w:rsidR="006C4179" w:rsidRDefault="00000000">
      <w:pPr>
        <w:keepNext/>
        <w:spacing w:after="20"/>
        <w:jc w:val="center"/>
      </w:pPr>
      <w:r>
        <w:rPr>
          <w:b/>
          <w:color w:val="17365D"/>
          <w:sz w:val="40"/>
        </w:rPr>
        <w:t>QI GONG</w:t>
      </w:r>
    </w:p>
    <w:p w14:paraId="1228EAFC" w14:textId="77777777" w:rsidR="006C4179" w:rsidRDefault="00000000">
      <w:pPr>
        <w:keepNext/>
        <w:pBdr>
          <w:bottom w:val="single" w:sz="14" w:space="6" w:color="1F4E79"/>
        </w:pBdr>
        <w:spacing w:after="220"/>
        <w:jc w:val="center"/>
      </w:pPr>
      <w:r>
        <w:rPr>
          <w:b/>
          <w:color w:val="5B6573"/>
          <w:sz w:val="19"/>
        </w:rPr>
        <w:t xml:space="preserve">EXECUTIVE BIOGRAPHY  /  </w:t>
      </w:r>
      <w:r>
        <w:rPr>
          <w:b/>
          <w:color w:val="5B6573"/>
          <w:sz w:val="19"/>
        </w:rPr>
        <w:t>高管简介</w:t>
      </w:r>
    </w:p>
    <w:p w14:paraId="46CB8E61" w14:textId="77777777" w:rsidR="006C4179" w:rsidRDefault="00000000">
      <w:pPr>
        <w:keepNext/>
        <w:spacing w:before="140" w:after="80"/>
      </w:pPr>
      <w:r>
        <w:rPr>
          <w:b/>
          <w:color w:val="1F4E79"/>
        </w:rPr>
        <w:t>PROFESSIONAL PROFILE</w:t>
      </w:r>
      <w:r>
        <w:rPr>
          <w:b/>
          <w:color w:val="8290A3"/>
          <w:sz w:val="19"/>
        </w:rPr>
        <w:t xml:space="preserve">  /  </w:t>
      </w:r>
      <w:r>
        <w:rPr>
          <w:b/>
          <w:color w:val="1F4E79"/>
        </w:rPr>
        <w:t>专业概况</w:t>
      </w:r>
    </w:p>
    <w:p w14:paraId="0A21E7FF" w14:textId="77777777" w:rsidR="006C4179" w:rsidRDefault="00000000">
      <w:pPr>
        <w:keepNext/>
        <w:keepLines/>
        <w:spacing w:after="60" w:line="259" w:lineRule="auto"/>
        <w:jc w:val="both"/>
      </w:pPr>
      <w:r>
        <w:rPr>
          <w:color w:val="222222"/>
        </w:rPr>
        <w:t>Ms. Qi Gong holds a Bachelor of Science degree in Mechanical Engineering from Hefei University of Technology. She has professional experience in both China and the United States and has held publicly disclosed executive or board positions in six publicly listed special purpose acquisition companies (SPACs). Her experience also includes cross-border business development, corporate management, and capital markets activities.</w:t>
      </w:r>
    </w:p>
    <w:p w14:paraId="51CDE36C" w14:textId="77777777" w:rsidR="006C4179" w:rsidRDefault="00000000">
      <w:pPr>
        <w:keepLines/>
        <w:spacing w:after="140" w:line="269" w:lineRule="auto"/>
        <w:jc w:val="both"/>
        <w:rPr>
          <w:lang w:eastAsia="zh-CN"/>
        </w:rPr>
      </w:pPr>
      <w:r>
        <w:rPr>
          <w:color w:val="4B5563"/>
          <w:lang w:eastAsia="zh-CN"/>
        </w:rPr>
        <w:t>龚琪女士毕业于合肥工业大学，获得机械工程理学学士学位。她在中国和美国均拥有专业工作经历，并在</w:t>
      </w:r>
      <w:r>
        <w:rPr>
          <w:color w:val="4B5563"/>
          <w:lang w:eastAsia="zh-CN"/>
        </w:rPr>
        <w:t>6</w:t>
      </w:r>
      <w:r>
        <w:rPr>
          <w:color w:val="4B5563"/>
          <w:lang w:eastAsia="zh-CN"/>
        </w:rPr>
        <w:t>家公开上市的特殊目的收购公司（</w:t>
      </w:r>
      <w:r>
        <w:rPr>
          <w:color w:val="4B5563"/>
          <w:lang w:eastAsia="zh-CN"/>
        </w:rPr>
        <w:t>SPAC</w:t>
      </w:r>
      <w:r>
        <w:rPr>
          <w:color w:val="4B5563"/>
          <w:lang w:eastAsia="zh-CN"/>
        </w:rPr>
        <w:t>）担任过经公开申报文件披露的高级管理人员或董事职务。她在跨境业务发展、企业管理和资本市场业务方面也积累了丰富经验。</w:t>
      </w:r>
    </w:p>
    <w:p w14:paraId="629A9281" w14:textId="77777777" w:rsidR="006C4179" w:rsidRDefault="00000000">
      <w:pPr>
        <w:keepNext/>
        <w:spacing w:before="140" w:after="80"/>
      </w:pPr>
      <w:r>
        <w:rPr>
          <w:b/>
          <w:color w:val="1F4E79"/>
        </w:rPr>
        <w:t xml:space="preserve">PUBLIC COMPANY </w:t>
      </w:r>
      <w:proofErr w:type="gramStart"/>
      <w:r>
        <w:rPr>
          <w:b/>
          <w:color w:val="1F4E79"/>
        </w:rPr>
        <w:t>LEADERSHIP</w:t>
      </w:r>
      <w:r>
        <w:rPr>
          <w:b/>
          <w:color w:val="8290A3"/>
          <w:sz w:val="19"/>
        </w:rPr>
        <w:t xml:space="preserve">  /</w:t>
      </w:r>
      <w:proofErr w:type="gramEnd"/>
      <w:r>
        <w:rPr>
          <w:b/>
          <w:color w:val="8290A3"/>
          <w:sz w:val="19"/>
        </w:rPr>
        <w:t xml:space="preserve">  </w:t>
      </w:r>
      <w:r>
        <w:rPr>
          <w:b/>
          <w:color w:val="1F4E79"/>
        </w:rPr>
        <w:t>公众公司管理经历</w:t>
      </w:r>
    </w:p>
    <w:p w14:paraId="5EF34AC2" w14:textId="77777777" w:rsidR="006C4179" w:rsidRDefault="00000000">
      <w:pPr>
        <w:keepNext/>
        <w:keepLines/>
        <w:spacing w:after="60" w:line="259" w:lineRule="auto"/>
        <w:jc w:val="both"/>
      </w:pPr>
      <w:r>
        <w:rPr>
          <w:color w:val="222222"/>
        </w:rPr>
        <w:t>Ms. Gong currently serves as Chairwoman, Chief Executive Officer, Chief Financial Officer, and a director of Quartzsea Acquisition Corporation. Quartzsea's ordinary shares have traded on Nasdaq under the symbol QSEA. She also serves as Chairwoman, Chief Executive Officer, Chief Financial Officer, and a director of QuasarEdge Acquisition Corporation, whose ordinary shares are listed on the New York Stock Exchange under the symbol QRED.</w:t>
      </w:r>
    </w:p>
    <w:p w14:paraId="3687E3E5" w14:textId="77777777" w:rsidR="006C4179" w:rsidRDefault="00000000">
      <w:pPr>
        <w:keepLines/>
        <w:spacing w:after="140" w:line="269" w:lineRule="auto"/>
        <w:jc w:val="both"/>
      </w:pPr>
      <w:r>
        <w:rPr>
          <w:color w:val="4B5563"/>
        </w:rPr>
        <w:t>龚琪女士现任</w:t>
      </w:r>
      <w:r>
        <w:rPr>
          <w:color w:val="4B5563"/>
        </w:rPr>
        <w:t xml:space="preserve"> Quartzsea Acquisition Corporation </w:t>
      </w:r>
      <w:r>
        <w:rPr>
          <w:color w:val="4B5563"/>
        </w:rPr>
        <w:t>董事长、首席执行官、首席财务官兼董事。该公司的普通股曾以</w:t>
      </w:r>
      <w:r>
        <w:rPr>
          <w:color w:val="4B5563"/>
        </w:rPr>
        <w:t xml:space="preserve"> QSEA </w:t>
      </w:r>
      <w:r>
        <w:rPr>
          <w:color w:val="4B5563"/>
        </w:rPr>
        <w:t>为代码在纳斯达克交易。她同时担任</w:t>
      </w:r>
      <w:r>
        <w:rPr>
          <w:color w:val="4B5563"/>
        </w:rPr>
        <w:t xml:space="preserve"> QuasarEdge Acquisition Corporation </w:t>
      </w:r>
      <w:r>
        <w:rPr>
          <w:color w:val="4B5563"/>
        </w:rPr>
        <w:t>董事长、首席执行官、首席财务官兼董事；该公司的普通股以</w:t>
      </w:r>
      <w:r>
        <w:rPr>
          <w:color w:val="4B5563"/>
        </w:rPr>
        <w:t xml:space="preserve"> QRED </w:t>
      </w:r>
      <w:r>
        <w:rPr>
          <w:color w:val="4B5563"/>
        </w:rPr>
        <w:t>为代码在纽约证券交易所上市。</w:t>
      </w:r>
    </w:p>
    <w:p w14:paraId="163EA5DB" w14:textId="77777777" w:rsidR="006C4179" w:rsidRDefault="00000000">
      <w:pPr>
        <w:keepNext/>
        <w:keepLines/>
        <w:spacing w:after="60" w:line="259" w:lineRule="auto"/>
        <w:jc w:val="both"/>
      </w:pPr>
      <w:r>
        <w:rPr>
          <w:color w:val="222222"/>
        </w:rPr>
        <w:t>In addition, Ms. Gong has served as an independent director of Yotta Acquisition Corporation (Nasdaq: YOTA) since April 2024 and Quetta Acquisition Corporation (Nasdaq: QETA) since April 2024.</w:t>
      </w:r>
    </w:p>
    <w:p w14:paraId="7C6D77FB" w14:textId="77777777" w:rsidR="006C4179" w:rsidRDefault="00000000">
      <w:pPr>
        <w:keepLines/>
        <w:spacing w:after="140" w:line="269" w:lineRule="auto"/>
        <w:jc w:val="both"/>
      </w:pPr>
      <w:r>
        <w:rPr>
          <w:color w:val="4B5563"/>
        </w:rPr>
        <w:t>此外，自</w:t>
      </w:r>
      <w:r>
        <w:rPr>
          <w:color w:val="4B5563"/>
        </w:rPr>
        <w:t>2024</w:t>
      </w:r>
      <w:r>
        <w:rPr>
          <w:color w:val="4B5563"/>
        </w:rPr>
        <w:t>年</w:t>
      </w:r>
      <w:r>
        <w:rPr>
          <w:color w:val="4B5563"/>
        </w:rPr>
        <w:t>4</w:t>
      </w:r>
      <w:r>
        <w:rPr>
          <w:color w:val="4B5563"/>
        </w:rPr>
        <w:t>月起，龚琪女士一直担任</w:t>
      </w:r>
      <w:r>
        <w:rPr>
          <w:color w:val="4B5563"/>
        </w:rPr>
        <w:t xml:space="preserve"> Yotta Acquisition Corporation</w:t>
      </w:r>
      <w:r>
        <w:rPr>
          <w:color w:val="4B5563"/>
        </w:rPr>
        <w:t>（纳斯达克：</w:t>
      </w:r>
      <w:r>
        <w:rPr>
          <w:color w:val="4B5563"/>
        </w:rPr>
        <w:t>YOTA</w:t>
      </w:r>
      <w:r>
        <w:rPr>
          <w:color w:val="4B5563"/>
        </w:rPr>
        <w:t>）和</w:t>
      </w:r>
      <w:r>
        <w:rPr>
          <w:color w:val="4B5563"/>
        </w:rPr>
        <w:t xml:space="preserve"> Quetta Acquisition Corporation</w:t>
      </w:r>
      <w:r>
        <w:rPr>
          <w:color w:val="4B5563"/>
        </w:rPr>
        <w:t>（纳斯达克：</w:t>
      </w:r>
      <w:r>
        <w:rPr>
          <w:color w:val="4B5563"/>
        </w:rPr>
        <w:t>QETA</w:t>
      </w:r>
      <w:r>
        <w:rPr>
          <w:color w:val="4B5563"/>
        </w:rPr>
        <w:t>）的独立董事。</w:t>
      </w:r>
    </w:p>
    <w:p w14:paraId="0EA0C595" w14:textId="77777777" w:rsidR="006C4179" w:rsidRDefault="00000000">
      <w:pPr>
        <w:keepNext/>
        <w:keepLines/>
        <w:spacing w:after="60" w:line="259" w:lineRule="auto"/>
        <w:jc w:val="both"/>
      </w:pPr>
      <w:r>
        <w:rPr>
          <w:color w:val="222222"/>
        </w:rPr>
        <w:t>Ms. Gong has also served as an independent director of Quantumsphere Acquisition Corporation (Nasdaq: QUMS) since August 2025 and serves on its Audit Committee and as Chairperson of its Compensation Committee. She previously served as an independent director of Pelican Acquisition Corporation (formerly Nasdaq: PELI) through the completion of its business combination. Pelican completed its $75 million IPO on May 27, 2025, signed a definitive merger agreement approximately three and a half months later on September 9, 2025, and completed the business combination on March 25, 2026—less than ten months after its IPO. The combined company began trading on Nasdaq under the symbol GLND on March 26, 2026. As an independent director, Ms. Gong participated in the company's governance and oversight throughout this accelerated transaction process.</w:t>
      </w:r>
    </w:p>
    <w:p w14:paraId="0E97FDFC" w14:textId="77777777" w:rsidR="002448B7" w:rsidRDefault="00000000">
      <w:pPr>
        <w:keepLines/>
        <w:spacing w:after="140" w:line="269" w:lineRule="auto"/>
        <w:jc w:val="both"/>
        <w:rPr>
          <w:color w:val="4B5563"/>
          <w:lang w:eastAsia="zh-CN"/>
        </w:rPr>
      </w:pPr>
      <w:r>
        <w:rPr>
          <w:color w:val="4B5563"/>
        </w:rPr>
        <w:t>自</w:t>
      </w:r>
      <w:r>
        <w:rPr>
          <w:color w:val="4B5563"/>
        </w:rPr>
        <w:t>2025</w:t>
      </w:r>
      <w:r>
        <w:rPr>
          <w:color w:val="4B5563"/>
        </w:rPr>
        <w:t>年</w:t>
      </w:r>
      <w:r>
        <w:rPr>
          <w:color w:val="4B5563"/>
        </w:rPr>
        <w:t>8</w:t>
      </w:r>
      <w:r>
        <w:rPr>
          <w:color w:val="4B5563"/>
        </w:rPr>
        <w:t>月起，龚琪女士还担任</w:t>
      </w:r>
      <w:r>
        <w:rPr>
          <w:color w:val="4B5563"/>
        </w:rPr>
        <w:t xml:space="preserve"> Quantumsphere Acquisition </w:t>
      </w:r>
      <w:proofErr w:type="spellStart"/>
      <w:r>
        <w:rPr>
          <w:color w:val="4B5563"/>
        </w:rPr>
        <w:t>Corporation</w:t>
      </w:r>
      <w:r>
        <w:rPr>
          <w:color w:val="4B5563"/>
        </w:rPr>
        <w:t>（纳斯达克：</w:t>
      </w:r>
      <w:r>
        <w:rPr>
          <w:color w:val="4B5563"/>
        </w:rPr>
        <w:t>QUMS</w:t>
      </w:r>
      <w:r>
        <w:rPr>
          <w:color w:val="4B5563"/>
        </w:rPr>
        <w:t>）的独立董事、审计委员会委员及薪酬委员会主席</w:t>
      </w:r>
      <w:proofErr w:type="spellEnd"/>
      <w:r>
        <w:rPr>
          <w:color w:val="4B5563"/>
        </w:rPr>
        <w:t>。</w:t>
      </w:r>
    </w:p>
    <w:p w14:paraId="48C8A019" w14:textId="333FD6A9" w:rsidR="006C4179" w:rsidRDefault="002448B7">
      <w:pPr>
        <w:keepLines/>
        <w:spacing w:after="140" w:line="269" w:lineRule="auto"/>
        <w:jc w:val="both"/>
        <w:rPr>
          <w:lang w:eastAsia="zh-CN"/>
        </w:rPr>
      </w:pPr>
      <w:r>
        <w:rPr>
          <w:rFonts w:hint="eastAsia"/>
          <w:color w:val="4B5563"/>
          <w:lang w:eastAsia="zh-CN"/>
        </w:rPr>
        <w:t xml:space="preserve">          </w:t>
      </w:r>
      <w:proofErr w:type="spellStart"/>
      <w:r w:rsidR="00000000">
        <w:rPr>
          <w:color w:val="4B5563"/>
        </w:rPr>
        <w:t>她曾担任</w:t>
      </w:r>
      <w:proofErr w:type="spellEnd"/>
      <w:r w:rsidR="00000000">
        <w:rPr>
          <w:color w:val="4B5563"/>
        </w:rPr>
        <w:t xml:space="preserve"> Pelican Acquisition </w:t>
      </w:r>
      <w:proofErr w:type="spellStart"/>
      <w:r w:rsidR="00000000">
        <w:rPr>
          <w:color w:val="4B5563"/>
        </w:rPr>
        <w:t>Corporation</w:t>
      </w:r>
      <w:r w:rsidR="00000000">
        <w:rPr>
          <w:color w:val="4B5563"/>
        </w:rPr>
        <w:t>（原纳斯达克：</w:t>
      </w:r>
      <w:r w:rsidR="00000000">
        <w:rPr>
          <w:color w:val="4B5563"/>
        </w:rPr>
        <w:t>PELI</w:t>
      </w:r>
      <w:r w:rsidR="00000000">
        <w:rPr>
          <w:color w:val="4B5563"/>
        </w:rPr>
        <w:t>）的独立董事，并任职至其业务合并完成。</w:t>
      </w:r>
      <w:r w:rsidR="00000000">
        <w:rPr>
          <w:color w:val="4B5563"/>
          <w:lang w:eastAsia="zh-CN"/>
        </w:rPr>
        <w:t>Pelican</w:t>
      </w:r>
      <w:proofErr w:type="spellEnd"/>
      <w:r w:rsidR="00000000">
        <w:rPr>
          <w:color w:val="4B5563"/>
          <w:lang w:eastAsia="zh-CN"/>
        </w:rPr>
        <w:t xml:space="preserve"> </w:t>
      </w:r>
      <w:r w:rsidR="00000000">
        <w:rPr>
          <w:color w:val="4B5563"/>
          <w:lang w:eastAsia="zh-CN"/>
        </w:rPr>
        <w:t>于</w:t>
      </w:r>
      <w:r w:rsidR="00000000">
        <w:rPr>
          <w:color w:val="4B5563"/>
          <w:lang w:eastAsia="zh-CN"/>
        </w:rPr>
        <w:t>2025</w:t>
      </w:r>
      <w:r w:rsidR="00000000">
        <w:rPr>
          <w:color w:val="4B5563"/>
          <w:lang w:eastAsia="zh-CN"/>
        </w:rPr>
        <w:t>年</w:t>
      </w:r>
      <w:r w:rsidR="00000000">
        <w:rPr>
          <w:color w:val="4B5563"/>
          <w:lang w:eastAsia="zh-CN"/>
        </w:rPr>
        <w:t>5</w:t>
      </w:r>
      <w:r w:rsidR="00000000">
        <w:rPr>
          <w:color w:val="4B5563"/>
          <w:lang w:eastAsia="zh-CN"/>
        </w:rPr>
        <w:t>月</w:t>
      </w:r>
      <w:r w:rsidR="00000000">
        <w:rPr>
          <w:color w:val="4B5563"/>
          <w:lang w:eastAsia="zh-CN"/>
        </w:rPr>
        <w:t>27</w:t>
      </w:r>
      <w:r w:rsidR="00000000">
        <w:rPr>
          <w:color w:val="4B5563"/>
          <w:lang w:eastAsia="zh-CN"/>
        </w:rPr>
        <w:t>日完成</w:t>
      </w:r>
      <w:r w:rsidR="00000000">
        <w:rPr>
          <w:color w:val="4B5563"/>
          <w:lang w:eastAsia="zh-CN"/>
        </w:rPr>
        <w:t>7,500</w:t>
      </w:r>
      <w:r w:rsidR="00000000">
        <w:rPr>
          <w:color w:val="4B5563"/>
          <w:lang w:eastAsia="zh-CN"/>
        </w:rPr>
        <w:t>万美元</w:t>
      </w:r>
      <w:r w:rsidR="00000000">
        <w:rPr>
          <w:color w:val="4B5563"/>
          <w:lang w:eastAsia="zh-CN"/>
        </w:rPr>
        <w:t>IPO</w:t>
      </w:r>
      <w:r w:rsidR="00000000">
        <w:rPr>
          <w:color w:val="4B5563"/>
          <w:lang w:eastAsia="zh-CN"/>
        </w:rPr>
        <w:t>，约</w:t>
      </w:r>
      <w:r w:rsidR="00000000">
        <w:rPr>
          <w:color w:val="4B5563"/>
          <w:lang w:eastAsia="zh-CN"/>
        </w:rPr>
        <w:t>3</w:t>
      </w:r>
      <w:r w:rsidR="00000000">
        <w:rPr>
          <w:color w:val="4B5563"/>
          <w:lang w:eastAsia="zh-CN"/>
        </w:rPr>
        <w:t>个半月后于</w:t>
      </w:r>
      <w:r w:rsidR="00000000">
        <w:rPr>
          <w:color w:val="4B5563"/>
          <w:lang w:eastAsia="zh-CN"/>
        </w:rPr>
        <w:t>2025</w:t>
      </w:r>
      <w:r w:rsidR="00000000">
        <w:rPr>
          <w:color w:val="4B5563"/>
          <w:lang w:eastAsia="zh-CN"/>
        </w:rPr>
        <w:t>年</w:t>
      </w:r>
      <w:r w:rsidR="00000000">
        <w:rPr>
          <w:color w:val="4B5563"/>
          <w:lang w:eastAsia="zh-CN"/>
        </w:rPr>
        <w:t>9</w:t>
      </w:r>
      <w:r w:rsidR="00000000">
        <w:rPr>
          <w:color w:val="4B5563"/>
          <w:lang w:eastAsia="zh-CN"/>
        </w:rPr>
        <w:t>月</w:t>
      </w:r>
      <w:r w:rsidR="00000000">
        <w:rPr>
          <w:color w:val="4B5563"/>
          <w:lang w:eastAsia="zh-CN"/>
        </w:rPr>
        <w:t>9</w:t>
      </w:r>
      <w:r w:rsidR="00000000">
        <w:rPr>
          <w:color w:val="4B5563"/>
          <w:lang w:eastAsia="zh-CN"/>
        </w:rPr>
        <w:t>日签署正式并购协议，并于</w:t>
      </w:r>
      <w:r w:rsidR="00000000">
        <w:rPr>
          <w:color w:val="4B5563"/>
          <w:lang w:eastAsia="zh-CN"/>
        </w:rPr>
        <w:t>2026</w:t>
      </w:r>
      <w:r w:rsidR="00000000">
        <w:rPr>
          <w:color w:val="4B5563"/>
          <w:lang w:eastAsia="zh-CN"/>
        </w:rPr>
        <w:t>年</w:t>
      </w:r>
      <w:r w:rsidR="00000000">
        <w:rPr>
          <w:color w:val="4B5563"/>
          <w:lang w:eastAsia="zh-CN"/>
        </w:rPr>
        <w:t>3</w:t>
      </w:r>
      <w:r w:rsidR="00000000">
        <w:rPr>
          <w:color w:val="4B5563"/>
          <w:lang w:eastAsia="zh-CN"/>
        </w:rPr>
        <w:t>月</w:t>
      </w:r>
      <w:r w:rsidR="00000000">
        <w:rPr>
          <w:color w:val="4B5563"/>
          <w:lang w:eastAsia="zh-CN"/>
        </w:rPr>
        <w:t>25</w:t>
      </w:r>
      <w:r w:rsidR="00000000">
        <w:rPr>
          <w:color w:val="4B5563"/>
          <w:lang w:eastAsia="zh-CN"/>
        </w:rPr>
        <w:t>日完成业务合并</w:t>
      </w:r>
      <w:r w:rsidR="00000000">
        <w:rPr>
          <w:color w:val="4B5563"/>
          <w:lang w:eastAsia="zh-CN"/>
        </w:rPr>
        <w:t>——</w:t>
      </w:r>
      <w:r w:rsidR="00000000">
        <w:rPr>
          <w:color w:val="4B5563"/>
          <w:lang w:eastAsia="zh-CN"/>
        </w:rPr>
        <w:t>从</w:t>
      </w:r>
      <w:r w:rsidR="00000000">
        <w:rPr>
          <w:color w:val="4B5563"/>
          <w:lang w:eastAsia="zh-CN"/>
        </w:rPr>
        <w:t>IPO</w:t>
      </w:r>
      <w:r w:rsidR="00000000">
        <w:rPr>
          <w:color w:val="4B5563"/>
          <w:lang w:eastAsia="zh-CN"/>
        </w:rPr>
        <w:t>到交割不足</w:t>
      </w:r>
      <w:r w:rsidR="00000000">
        <w:rPr>
          <w:color w:val="4B5563"/>
          <w:lang w:eastAsia="zh-CN"/>
        </w:rPr>
        <w:t>10</w:t>
      </w:r>
      <w:r w:rsidR="00000000">
        <w:rPr>
          <w:color w:val="4B5563"/>
          <w:lang w:eastAsia="zh-CN"/>
        </w:rPr>
        <w:t>个月。合并后的公司于</w:t>
      </w:r>
      <w:r w:rsidR="00000000">
        <w:rPr>
          <w:color w:val="4B5563"/>
          <w:lang w:eastAsia="zh-CN"/>
        </w:rPr>
        <w:t>2026</w:t>
      </w:r>
      <w:r w:rsidR="00000000">
        <w:rPr>
          <w:color w:val="4B5563"/>
          <w:lang w:eastAsia="zh-CN"/>
        </w:rPr>
        <w:t>年</w:t>
      </w:r>
      <w:r w:rsidR="00000000">
        <w:rPr>
          <w:color w:val="4B5563"/>
          <w:lang w:eastAsia="zh-CN"/>
        </w:rPr>
        <w:t>3</w:t>
      </w:r>
      <w:r w:rsidR="00000000">
        <w:rPr>
          <w:color w:val="4B5563"/>
          <w:lang w:eastAsia="zh-CN"/>
        </w:rPr>
        <w:t>月</w:t>
      </w:r>
      <w:r w:rsidR="00000000">
        <w:rPr>
          <w:color w:val="4B5563"/>
          <w:lang w:eastAsia="zh-CN"/>
        </w:rPr>
        <w:t>26</w:t>
      </w:r>
      <w:r w:rsidR="00000000">
        <w:rPr>
          <w:color w:val="4B5563"/>
          <w:lang w:eastAsia="zh-CN"/>
        </w:rPr>
        <w:t>日开始以</w:t>
      </w:r>
      <w:r w:rsidR="00000000">
        <w:rPr>
          <w:color w:val="4B5563"/>
          <w:lang w:eastAsia="zh-CN"/>
        </w:rPr>
        <w:t xml:space="preserve"> GLND </w:t>
      </w:r>
      <w:r w:rsidR="00000000">
        <w:rPr>
          <w:color w:val="4B5563"/>
          <w:lang w:eastAsia="zh-CN"/>
        </w:rPr>
        <w:t>为代码在纳斯达克交易。作为独立董事，龚琪女士在这一高效推进的交易过程中参与了公司治理与监督工作。</w:t>
      </w:r>
    </w:p>
    <w:p w14:paraId="53B2B70C" w14:textId="77777777" w:rsidR="006C4179" w:rsidRDefault="00000000">
      <w:pPr>
        <w:keepNext/>
        <w:spacing w:before="140" w:after="80"/>
      </w:pPr>
      <w:r>
        <w:rPr>
          <w:b/>
          <w:color w:val="1F4E79"/>
        </w:rPr>
        <w:lastRenderedPageBreak/>
        <w:t xml:space="preserve">ENTREPRENEURIAL </w:t>
      </w:r>
      <w:proofErr w:type="gramStart"/>
      <w:r>
        <w:rPr>
          <w:b/>
          <w:color w:val="1F4E79"/>
        </w:rPr>
        <w:t>EXPERIENCE</w:t>
      </w:r>
      <w:r>
        <w:rPr>
          <w:b/>
          <w:color w:val="8290A3"/>
          <w:sz w:val="19"/>
        </w:rPr>
        <w:t xml:space="preserve">  /</w:t>
      </w:r>
      <w:proofErr w:type="gramEnd"/>
      <w:r>
        <w:rPr>
          <w:b/>
          <w:color w:val="8290A3"/>
          <w:sz w:val="19"/>
        </w:rPr>
        <w:t xml:space="preserve">  </w:t>
      </w:r>
      <w:proofErr w:type="spellStart"/>
      <w:r>
        <w:rPr>
          <w:b/>
          <w:color w:val="1F4E79"/>
        </w:rPr>
        <w:t>创业经历</w:t>
      </w:r>
      <w:proofErr w:type="spellEnd"/>
    </w:p>
    <w:p w14:paraId="0A252AA5" w14:textId="77777777" w:rsidR="006C4179" w:rsidRDefault="00000000">
      <w:pPr>
        <w:keepNext/>
        <w:keepLines/>
        <w:spacing w:after="60" w:line="259" w:lineRule="auto"/>
        <w:jc w:val="both"/>
      </w:pPr>
      <w:r>
        <w:rPr>
          <w:color w:val="222222"/>
        </w:rPr>
        <w:t>Ms. Gong founded American Wall Street Listed Group Inc. in March 2024, American Information Technology Inc. in September 2022, U.S. China Health Products Inc. in December 2021, and U.S.-China Service Inc. in July 2018. She has served as Chief Executive Officer of each of these companies, with activities spanning capital markets consulting, information technology consulting, marketing consulting, and wealth management consulting.</w:t>
      </w:r>
    </w:p>
    <w:p w14:paraId="4EE1A2E7" w14:textId="77777777" w:rsidR="006C4179" w:rsidRDefault="00000000">
      <w:pPr>
        <w:keepLines/>
        <w:spacing w:after="140" w:line="269" w:lineRule="auto"/>
        <w:jc w:val="both"/>
        <w:rPr>
          <w:lang w:eastAsia="zh-CN"/>
        </w:rPr>
      </w:pPr>
      <w:r>
        <w:rPr>
          <w:color w:val="4B5563"/>
        </w:rPr>
        <w:t>龚琪女士于</w:t>
      </w:r>
      <w:r>
        <w:rPr>
          <w:color w:val="4B5563"/>
        </w:rPr>
        <w:t>2024</w:t>
      </w:r>
      <w:r>
        <w:rPr>
          <w:color w:val="4B5563"/>
        </w:rPr>
        <w:t>年</w:t>
      </w:r>
      <w:r>
        <w:rPr>
          <w:color w:val="4B5563"/>
        </w:rPr>
        <w:t>3</w:t>
      </w:r>
      <w:r>
        <w:rPr>
          <w:color w:val="4B5563"/>
        </w:rPr>
        <w:t>月创立</w:t>
      </w:r>
      <w:r>
        <w:rPr>
          <w:color w:val="4B5563"/>
        </w:rPr>
        <w:t xml:space="preserve"> American Wall Street Listed Group Inc.</w:t>
      </w:r>
      <w:r>
        <w:rPr>
          <w:color w:val="4B5563"/>
        </w:rPr>
        <w:t>，于</w:t>
      </w:r>
      <w:r>
        <w:rPr>
          <w:color w:val="4B5563"/>
        </w:rPr>
        <w:t>2022</w:t>
      </w:r>
      <w:r>
        <w:rPr>
          <w:color w:val="4B5563"/>
        </w:rPr>
        <w:t>年</w:t>
      </w:r>
      <w:r>
        <w:rPr>
          <w:color w:val="4B5563"/>
        </w:rPr>
        <w:t>9</w:t>
      </w:r>
      <w:r>
        <w:rPr>
          <w:color w:val="4B5563"/>
        </w:rPr>
        <w:t>月创立</w:t>
      </w:r>
      <w:r>
        <w:rPr>
          <w:color w:val="4B5563"/>
        </w:rPr>
        <w:t xml:space="preserve"> American Information Technology Inc.</w:t>
      </w:r>
      <w:r>
        <w:rPr>
          <w:color w:val="4B5563"/>
        </w:rPr>
        <w:t>，于</w:t>
      </w:r>
      <w:r>
        <w:rPr>
          <w:color w:val="4B5563"/>
        </w:rPr>
        <w:t>2021</w:t>
      </w:r>
      <w:r>
        <w:rPr>
          <w:color w:val="4B5563"/>
        </w:rPr>
        <w:t>年</w:t>
      </w:r>
      <w:r>
        <w:rPr>
          <w:color w:val="4B5563"/>
        </w:rPr>
        <w:t>12</w:t>
      </w:r>
      <w:r>
        <w:rPr>
          <w:color w:val="4B5563"/>
        </w:rPr>
        <w:t>月创立</w:t>
      </w:r>
      <w:r>
        <w:rPr>
          <w:color w:val="4B5563"/>
        </w:rPr>
        <w:t xml:space="preserve"> U.S. China Health Products Inc.</w:t>
      </w:r>
      <w:r>
        <w:rPr>
          <w:color w:val="4B5563"/>
        </w:rPr>
        <w:t>，并于</w:t>
      </w:r>
      <w:r>
        <w:rPr>
          <w:color w:val="4B5563"/>
        </w:rPr>
        <w:t>2018</w:t>
      </w:r>
      <w:r>
        <w:rPr>
          <w:color w:val="4B5563"/>
        </w:rPr>
        <w:t>年</w:t>
      </w:r>
      <w:r>
        <w:rPr>
          <w:color w:val="4B5563"/>
        </w:rPr>
        <w:t>7</w:t>
      </w:r>
      <w:r>
        <w:rPr>
          <w:color w:val="4B5563"/>
        </w:rPr>
        <w:t>月创立</w:t>
      </w:r>
      <w:r>
        <w:rPr>
          <w:color w:val="4B5563"/>
        </w:rPr>
        <w:t xml:space="preserve"> U.S.-China Service Inc.</w:t>
      </w:r>
      <w:r>
        <w:rPr>
          <w:color w:val="4B5563"/>
        </w:rPr>
        <w:t>。</w:t>
      </w:r>
      <w:r>
        <w:rPr>
          <w:color w:val="4B5563"/>
          <w:lang w:eastAsia="zh-CN"/>
        </w:rPr>
        <w:t>她一直担任上述各公司的首席执行官，业务涵盖资本市场咨询、信息技术咨询、市场营销咨询及财富管理咨询。</w:t>
      </w:r>
    </w:p>
    <w:p w14:paraId="41336324" w14:textId="77777777" w:rsidR="006C4179" w:rsidRDefault="00000000">
      <w:pPr>
        <w:keepNext/>
        <w:spacing w:before="140" w:after="80"/>
      </w:pPr>
      <w:r>
        <w:rPr>
          <w:b/>
          <w:color w:val="1F4E79"/>
        </w:rPr>
        <w:t xml:space="preserve">PUBLIC SERVICE AND COMMUNITY </w:t>
      </w:r>
      <w:proofErr w:type="gramStart"/>
      <w:r>
        <w:rPr>
          <w:b/>
          <w:color w:val="1F4E79"/>
        </w:rPr>
        <w:t>LEADERSHIP</w:t>
      </w:r>
      <w:r>
        <w:rPr>
          <w:b/>
          <w:color w:val="8290A3"/>
          <w:sz w:val="19"/>
        </w:rPr>
        <w:t xml:space="preserve">  /</w:t>
      </w:r>
      <w:proofErr w:type="gramEnd"/>
      <w:r>
        <w:rPr>
          <w:b/>
          <w:color w:val="8290A3"/>
          <w:sz w:val="19"/>
        </w:rPr>
        <w:t xml:space="preserve">  </w:t>
      </w:r>
      <w:proofErr w:type="spellStart"/>
      <w:r>
        <w:rPr>
          <w:b/>
          <w:color w:val="1F4E79"/>
        </w:rPr>
        <w:t>公共服务与社团领导经历</w:t>
      </w:r>
      <w:proofErr w:type="spellEnd"/>
    </w:p>
    <w:p w14:paraId="6B6F3324" w14:textId="77777777" w:rsidR="006C4179" w:rsidRDefault="00000000">
      <w:pPr>
        <w:keepNext/>
        <w:keepLines/>
        <w:spacing w:after="60" w:line="259" w:lineRule="auto"/>
        <w:jc w:val="both"/>
      </w:pPr>
      <w:r>
        <w:rPr>
          <w:color w:val="222222"/>
        </w:rPr>
        <w:t>Ms. Gong is a recipient of the President's Volunteer Service Award in recognition of her contributions to public service. She also holds leadership positions, including president and secretary-general roles, in multiple associations, chambers of commerce, alliances, and hometown associations.</w:t>
      </w:r>
    </w:p>
    <w:p w14:paraId="2409EED4" w14:textId="77777777" w:rsidR="006C4179" w:rsidRDefault="00000000">
      <w:pPr>
        <w:keepLines/>
        <w:spacing w:after="140" w:line="269" w:lineRule="auto"/>
        <w:jc w:val="both"/>
        <w:rPr>
          <w:lang w:eastAsia="zh-CN"/>
        </w:rPr>
      </w:pPr>
      <w:r>
        <w:rPr>
          <w:color w:val="4B5563"/>
          <w:lang w:eastAsia="zh-CN"/>
        </w:rPr>
        <w:t>龚琪女士因其在公共服务领域的贡献获得美国总统志愿服务奖。她还在多个协会、商会、联盟及同乡会中担任会长、秘书长等领导职务。</w:t>
      </w:r>
    </w:p>
    <w:p w14:paraId="2C1C1382" w14:textId="77777777" w:rsidR="006C4179" w:rsidRDefault="00000000">
      <w:pPr>
        <w:spacing w:before="160" w:after="0"/>
        <w:jc w:val="center"/>
      </w:pPr>
      <w:r>
        <w:rPr>
          <w:i/>
          <w:color w:val="6B7280"/>
          <w:sz w:val="16"/>
        </w:rPr>
        <w:t xml:space="preserve">Information current as of August 2026.  /  </w:t>
      </w:r>
      <w:r>
        <w:rPr>
          <w:i/>
          <w:color w:val="6B7280"/>
          <w:sz w:val="16"/>
        </w:rPr>
        <w:t>信息更新至</w:t>
      </w:r>
      <w:r>
        <w:rPr>
          <w:i/>
          <w:color w:val="6B7280"/>
          <w:sz w:val="16"/>
        </w:rPr>
        <w:t>2026</w:t>
      </w:r>
      <w:r>
        <w:rPr>
          <w:i/>
          <w:color w:val="6B7280"/>
          <w:sz w:val="16"/>
        </w:rPr>
        <w:t>年</w:t>
      </w:r>
      <w:r>
        <w:rPr>
          <w:i/>
          <w:color w:val="6B7280"/>
          <w:sz w:val="16"/>
        </w:rPr>
        <w:t>8</w:t>
      </w:r>
      <w:r>
        <w:rPr>
          <w:i/>
          <w:color w:val="6B7280"/>
          <w:sz w:val="16"/>
        </w:rPr>
        <w:t>月。</w:t>
      </w:r>
    </w:p>
    <w:sectPr w:rsidR="006C4179" w:rsidSect="00034616">
      <w:pgSz w:w="12240" w:h="15840"/>
      <w:pgMar w:top="893" w:right="1181" w:bottom="893" w:left="118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A1E07" w14:textId="77777777" w:rsidR="00E710DB" w:rsidRDefault="00E710DB" w:rsidP="002448B7">
      <w:pPr>
        <w:spacing w:after="0" w:line="240" w:lineRule="auto"/>
      </w:pPr>
      <w:r>
        <w:separator/>
      </w:r>
    </w:p>
  </w:endnote>
  <w:endnote w:type="continuationSeparator" w:id="0">
    <w:p w14:paraId="77603078" w14:textId="77777777" w:rsidR="00E710DB" w:rsidRDefault="00E710DB" w:rsidP="002448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icrosoft YaHei">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21A1D" w14:textId="77777777" w:rsidR="00E710DB" w:rsidRDefault="00E710DB" w:rsidP="002448B7">
      <w:pPr>
        <w:spacing w:after="0" w:line="240" w:lineRule="auto"/>
      </w:pPr>
      <w:r>
        <w:separator/>
      </w:r>
    </w:p>
  </w:footnote>
  <w:footnote w:type="continuationSeparator" w:id="0">
    <w:p w14:paraId="75BDEABE" w14:textId="77777777" w:rsidR="00E710DB" w:rsidRDefault="00E710DB" w:rsidP="002448B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58885204">
    <w:abstractNumId w:val="8"/>
  </w:num>
  <w:num w:numId="2" w16cid:durableId="70589899">
    <w:abstractNumId w:val="6"/>
  </w:num>
  <w:num w:numId="3" w16cid:durableId="207303895">
    <w:abstractNumId w:val="5"/>
  </w:num>
  <w:num w:numId="4" w16cid:durableId="895746154">
    <w:abstractNumId w:val="4"/>
  </w:num>
  <w:num w:numId="5" w16cid:durableId="787819849">
    <w:abstractNumId w:val="7"/>
  </w:num>
  <w:num w:numId="6" w16cid:durableId="894967799">
    <w:abstractNumId w:val="3"/>
  </w:num>
  <w:num w:numId="7" w16cid:durableId="374043178">
    <w:abstractNumId w:val="2"/>
  </w:num>
  <w:num w:numId="8" w16cid:durableId="1773208278">
    <w:abstractNumId w:val="1"/>
  </w:num>
  <w:num w:numId="9" w16cid:durableId="20184605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48B7"/>
    <w:rsid w:val="0029639D"/>
    <w:rsid w:val="00326F90"/>
    <w:rsid w:val="006C4179"/>
    <w:rsid w:val="00AA1D8D"/>
    <w:rsid w:val="00B47730"/>
    <w:rsid w:val="00CB0664"/>
    <w:rsid w:val="00E710DB"/>
    <w:rsid w:val="00F1705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4062061"/>
  <w14:defaultImageDpi w14:val="300"/>
  <w15:docId w15:val="{94D532E0-DED8-4AD6-B551-B666F835CE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ptos" w:eastAsia="Microsoft YaHei" w:hAnsi="Aptos"/>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941</Words>
  <Characters>2984</Characters>
  <Application>Microsoft Office Word</Application>
  <DocSecurity>0</DocSecurity>
  <Lines>46</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Qi Gong Executive Biography - Bilingual</dc:title>
  <dc:subject>English-Chinese executive biography</dc:subject>
  <dc:creator>Qi Gong</dc:creator>
  <cp:keywords/>
  <dc:description>generated by python-docx</dc:description>
  <cp:lastModifiedBy>奇 龚</cp:lastModifiedBy>
  <cp:revision>2</cp:revision>
  <dcterms:created xsi:type="dcterms:W3CDTF">2013-12-23T23:15:00Z</dcterms:created>
  <dcterms:modified xsi:type="dcterms:W3CDTF">2026-08-30T21:46:00Z</dcterms:modified>
  <cp:category/>
</cp:coreProperties>
</file>