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Hiragino Sans GB" w:hAnsi="Hiragino Sans GB" w:eastAsia="Hiragino Sans GB"/>
          <w:b/>
          <w:sz w:val="32"/>
        </w:rPr>
        <w:t>二、理论模型与研究假说</w:t>
      </w:r>
    </w:p>
    <w:p>
      <w:pPr>
        <w:pStyle w:val="Heading1"/>
      </w:pPr>
      <w:r>
        <w:rPr>
          <w:rFonts w:ascii="Hiragino Sans GB" w:hAnsi="Hiragino Sans GB" w:eastAsia="Hiragino Sans GB"/>
          <w:b/>
          <w:sz w:val="28"/>
        </w:rPr>
        <w:t>（一）模型环境、理论边界与时序</w:t>
      </w:r>
    </w:p>
    <w:p>
      <w:pPr/>
      <w:r>
        <w:rPr>
          <w:rFonts w:ascii="STSong" w:hAnsi="STSong" w:eastAsia="STSong"/>
          <w:b w:val="0"/>
          <w:sz w:val="22"/>
        </w:rPr>
        <w:t xml:space="preserve">本文考察行业标准国际化如何影响中国上市公司跨国供应关系的抵抗力与恢复力。研究对象为行业 </w:t>
      </w:r>
      <m:oMath>
        <m:r>
          <w:rPr>
            <w:rFonts w:ascii="Cambria Math" w:hAnsi="Cambria Math" w:eastAsia="Arial Unicode MS" w:cs="Cambria Math"/>
            <w:sz w:val="22"/>
          </w:rPr>
          <m:t>h</m:t>
        </m:r>
      </m:oMath>
      <w:r>
        <w:rPr>
          <w:rFonts w:ascii="STSong" w:hAnsi="STSong" w:eastAsia="STSong"/>
          <w:b w:val="0"/>
          <w:sz w:val="22"/>
        </w:rPr>
        <w:t xml:space="preserve"> 中中国供应商 </w:t>
      </w:r>
      <m:oMath>
        <m:r>
          <w:rPr>
            <w:rFonts w:ascii="Cambria Math" w:hAnsi="Cambria Math" w:eastAsia="Arial Unicode MS" w:cs="Cambria Math"/>
            <w:sz w:val="22"/>
          </w:rPr>
          <m:t>i</m:t>
        </m:r>
      </m:oMath>
      <w:r>
        <w:rPr>
          <w:rFonts w:ascii="STSong" w:hAnsi="STSong" w:eastAsia="STSong"/>
          <w:b w:val="0"/>
          <w:sz w:val="22"/>
        </w:rPr>
        <w:t xml:space="preserve"> 与 </w:t>
      </w:r>
      <m:oMath>
        <m:r>
          <w:rPr>
            <w:rFonts w:ascii="Cambria Math" w:hAnsi="Cambria Math" w:eastAsia="Arial Unicode MS" w:cs="Cambria Math"/>
            <w:sz w:val="22"/>
          </w:rPr>
          <m:t>c</m:t>
        </m:r>
      </m:oMath>
      <w:r>
        <w:rPr>
          <w:rFonts w:ascii="STSong" w:hAnsi="STSong" w:eastAsia="STSong"/>
          <w:b w:val="0"/>
          <w:sz w:val="22"/>
        </w:rPr>
        <w:t xml:space="preserve"> 国海外客户 </w:t>
      </w:r>
      <m:oMath>
        <m:r>
          <w:rPr>
            <w:rFonts w:ascii="Cambria Math" w:hAnsi="Cambria Math" w:eastAsia="Arial Unicode MS" w:cs="Cambria Math"/>
            <w:sz w:val="22"/>
          </w:rPr>
          <m:t>j</m:t>
        </m:r>
      </m:oMath>
      <w:r>
        <w:rPr>
          <w:rFonts w:ascii="STSong" w:hAnsi="STSong" w:eastAsia="STSong"/>
          <w:b w:val="0"/>
          <w:sz w:val="22"/>
        </w:rPr>
        <w:t xml:space="preserve"> 之间的双边供应关系。令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表示行业 </w:t>
      </w:r>
      <m:oMath>
        <m:r>
          <w:rPr>
            <w:rFonts w:ascii="Cambria Math" w:hAnsi="Cambria Math" w:eastAsia="Arial Unicode MS" w:cs="Cambria Math"/>
            <w:sz w:val="22"/>
          </w:rPr>
          <m:t>h</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年的标准国际化水平；</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越大，表示该行业采用ISO、IEC等国际标准、实现标准互认并参与国际标准制定的程度越高。由于该变量在行业—年份层面变化，模型将其视为企业共同面对的国际技术规则环境，而非关系断裂后由单个企业临时选择的韧性投入。</w:t>
      </w:r>
    </w:p>
    <w:p>
      <w:pPr/>
      <w:r>
        <w:rPr>
          <w:rFonts w:ascii="STSong" w:hAnsi="STSong" w:eastAsia="STSong"/>
          <w:b w:val="0"/>
          <w:sz w:val="22"/>
        </w:rPr>
        <w:t>本文借鉴Ferrari和Pesaresi（2026）的兼容性框架，将其“专业化收益—兼容对象范围—中断后替代速度”的核心权衡改写为企业—客户关系模型。需要说明的是，Ferrari和Pesaresi（2026）并未直接研究本文意义上的行业标准国际化，也未直接证明标准国际化降低中国企业供应关系断裂风险；本文只借鉴其兼容性机制，并把国际标准引入为影响兼容性的制度变量。与此同时，本文吸收Grossman、Helpman和Sabal（2024）关于事前韧性投入影响事后风险暴露的时序思想，以及Elliott、Golub和Leduc（2022）关于关系投资与连接失效的分析。与这些文献的多层网络或一般均衡设定不同，本文不引入家庭、消费者、劳动力市场和社会规划者，仅分析中国供应商与海外客户之间的动态交易关系。</w:t>
      </w:r>
    </w:p>
    <w:p>
      <w:pPr/>
      <w:r>
        <w:rPr>
          <w:rFonts w:ascii="STSong" w:hAnsi="STSong" w:eastAsia="STSong"/>
          <w:b w:val="0"/>
          <w:sz w:val="22"/>
        </w:rPr>
        <w:t xml:space="preserve">模型包含三个依次发生的环节。第一，标准国际化水平给定后，供应商确定产品的非兼容性专业化程度，并对既有客户关系进行合作投入。第二，供应关系遭受外部冲击；若冲击后的调整成本超过继续交易价值，关系发生断裂。第三，仅对已经断裂的关系，供应商选择海外客户搜寻努力，并在长度为 </w:t>
      </w:r>
      <m:oMath>
        <m:r>
          <w:rPr>
            <w:rFonts w:ascii="Cambria Math" w:hAnsi="Cambria Math" w:eastAsia="Arial Unicode MS" w:cs="Cambria Math"/>
            <w:sz w:val="22"/>
          </w:rPr>
          <m:t>H</m:t>
        </m:r>
      </m:oMath>
      <w:r>
        <w:rPr>
          <w:rFonts w:ascii="STSong" w:hAnsi="STSong" w:eastAsia="STSong"/>
          <w:b w:val="0"/>
          <w:sz w:val="22"/>
        </w:rPr>
        <w:t xml:space="preserve"> 的观察期内恢复原客户或建立新的海外客户关系。因此，抵抗力体现为既有关系不发生断裂的概率，恢复力体现为关系断裂后实现重构的条件概率。该处理在术语上参照Miroudot（2020）对事中维持能力与事后恢复能力的区分，但本文采用广义“供应链韧性”，并将其明确分解为抵抗力和恢复力。</w:t>
      </w:r>
    </w:p>
    <w:p>
      <w:pPr/>
      <w:r>
        <w:rPr>
          <w:rFonts w:ascii="STSong" w:hAnsi="STSong" w:eastAsia="STSong"/>
          <w:b w:val="0"/>
          <w:sz w:val="22"/>
        </w:rPr>
        <w:t xml:space="preserve">为压缩符号，下文在不引起歧义时省略行业、年份、客户国家和关系下标，所有比较静态均指企业能力、客户特征及外部冲击分布不变时 </w:t>
      </w:r>
      <m:oMath>
        <m:r>
          <m:rPr>
            <m:sty m:val="p"/>
          </m:rPr>
          <w:rPr>
            <w:rFonts w:ascii="Cambria Math" w:hAnsi="Cambria Math" w:eastAsia="Arial Unicode MS" w:cs="Cambria Math"/>
            <w:sz w:val="22"/>
          </w:rPr>
          <m:t>τ</m:t>
        </m:r>
      </m:oMath>
      <w:r>
        <w:rPr>
          <w:rFonts w:ascii="STSong" w:hAnsi="STSong" w:eastAsia="STSong"/>
          <w:b w:val="0"/>
          <w:sz w:val="22"/>
        </w:rPr>
        <w:t xml:space="preserve"> 的边际变化。</w:t>
      </w:r>
    </w:p>
    <w:p>
      <w:pPr>
        <w:pStyle w:val="Heading1"/>
      </w:pPr>
      <w:r>
        <w:rPr>
          <w:rFonts w:ascii="Hiragino Sans GB" w:hAnsi="Hiragino Sans GB" w:eastAsia="Hiragino Sans GB"/>
          <w:b/>
          <w:sz w:val="28"/>
        </w:rPr>
        <w:t>（二）专业化、标准国际化与技术兼容性</w:t>
      </w:r>
    </w:p>
    <w:p>
      <w:pPr>
        <w:pStyle w:val="Heading2"/>
      </w:pPr>
      <w:r>
        <w:rPr>
          <w:rFonts w:ascii="Hiragino Sans GB" w:hAnsi="Hiragino Sans GB" w:eastAsia="Hiragino Sans GB"/>
          <w:b/>
          <w:sz w:val="24"/>
        </w:rPr>
        <w:t>1. 专业化—兼容性权衡</w:t>
      </w:r>
    </w:p>
    <w:p>
      <w:pPr/>
      <w:r>
        <w:rPr>
          <w:rFonts w:ascii="STSong" w:hAnsi="STSong" w:eastAsia="STSong"/>
          <w:b w:val="0"/>
          <w:sz w:val="22"/>
        </w:rPr>
        <w:t xml:space="preserve">令 </w:t>
      </w:r>
      <m:oMath>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中国供应商在技术接口、产品规格和检测体系上的“非兼容性专业化”程度。该概念不等同于一般产品差异化，而是专指能够提高既有客户定制收益、却会缩小其他客户适配范围的设计选择。供应商从专业化中获得匹配收益 </w:t>
      </w:r>
      <m:oMath>
        <m:r>
          <w:rPr>
            <w:rFonts w:ascii="Cambria Math" w:hAnsi="Cambria Math" w:eastAsia="Arial Unicode MS" w:cs="Cambria Math"/>
            <w:sz w:val="22"/>
          </w:rPr>
          <m:t>A</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，并承担设计成本 </w:t>
      </w:r>
      <m:oMath>
        <m:r>
          <w:rPr>
            <w:rFonts w:ascii="Cambria Math" w:hAnsi="Cambria Math" w:eastAsia="Arial Unicode MS" w:cs="Cambria Math"/>
            <w:sz w:val="22"/>
          </w:rPr>
          <m:t>D</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。不存在国际标准约束时，供应商选择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D</m:t>
        </m:r>
        <m:r>
          <w:rPr>
            <w:rFonts w:ascii="Cambria Math" w:hAnsi="Cambria Math" w:eastAsia="Arial Unicode MS" w:cs="Cambria Math"/>
            <w:sz w:val="21"/>
          </w:rPr>
          <m:t>(</m:t>
        </m:r>
        <m:sSub>
          <m:sSubPr/>
          <m:e>
            <m:r>
              <w:rPr>
                <w:rFonts w:ascii="Cambria Math" w:hAnsi="Cambria Math" w:eastAsia="Arial Unicode MS" w:cs="Cambria Math"/>
                <w:sz w:val="21"/>
              </w:rPr>
              <m:t>s</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A</m:t>
            </m:r>
          </m:e>
          <m:sub>
            <m:r>
              <w:rPr>
                <w:rFonts w:ascii="Cambria Math" w:hAnsi="Cambria Math" w:eastAsia="Arial Unicode MS" w:cs="Cambria Math"/>
                <w:sz w:val="21"/>
              </w:rPr>
              <m:t>ss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D</m:t>
            </m:r>
          </m:e>
          <m:sub>
            <m:r>
              <w:rPr>
                <w:rFonts w:ascii="Cambria Math" w:hAnsi="Cambria Math" w:eastAsia="Arial Unicode MS" w:cs="Cambria Math"/>
                <w:sz w:val="21"/>
              </w:rPr>
              <m:t>ss</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(1)</w:t>
      </w:r>
    </w:p>
    <w:p>
      <w:pPr/>
      <w:r>
        <w:rPr>
          <w:rFonts w:ascii="STSong" w:hAnsi="STSong" w:eastAsia="STSong"/>
          <w:b w:val="0"/>
          <w:sz w:val="22"/>
        </w:rPr>
        <w:t xml:space="preserve">令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 xml:space="preserve"> 表示式（1）的唯一内点解。Ferrari和Pesaresi（2026）的关键启示是，专业化能够提高既有匹配收益，却会减少可兼容交易对象；若企业不能充分内生化兼容对象缩小造成的关系替代损失，私人选择可能表现为过度的非兼容性专业化。</w:t>
      </w:r>
    </w:p>
    <w:p>
      <w:pPr/>
      <w:r>
        <w:rPr>
          <w:rFonts w:ascii="STSong" w:hAnsi="STSong" w:eastAsia="STSong"/>
          <w:b w:val="0"/>
          <w:sz w:val="22"/>
        </w:rPr>
        <w:t xml:space="preserve">国际标准通过统一接口、性能要求、检测程序和信息编码，对妨碍互操作的设计形成约束。令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表示标准规则允许的非兼容性专业化上限，且 </w:t>
      </w:r>
      <m:oMath>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，则企业实际选择为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m:rPr>
            <m:sty m:val="p"/>
          </m:rPr>
          <w:rPr>
            <w:rFonts w:ascii="Cambria Math" w:hAnsi="Cambria Math" w:eastAsia="Arial Unicode MS" w:cs="Cambria Math"/>
            <w:sz w:val="21"/>
          </w:rPr>
          <m:t>min</m:t>
        </m:r>
        <m:r>
          <m:rPr>
            <m:sty m:val="p"/>
          </m:rP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0</m:t>
            </m:r>
          </m:sup>
        </m:sSubSup>
        <m:r>
          <w:rPr>
            <w:rFonts w:ascii="Cambria Math" w:hAnsi="Cambria Math" w:eastAsia="Arial Unicode MS" w:cs="Cambria Math"/>
            <w:sz w:val="21"/>
          </w:rPr>
          <m:t>,</m:t>
        </m:r>
        <m:bar>
          <m:barPr>
            <m:pos m:val="top"/>
          </m:barPr>
          <m:e>
            <m:r>
              <w:rPr>
                <w:rFonts w:ascii="Cambria Math" w:hAnsi="Cambria Math" w:eastAsia="Arial Unicode MS" w:cs="Cambria Math"/>
                <w:sz w:val="21"/>
              </w:rPr>
              <m:t>s</m:t>
            </m:r>
          </m:e>
        </m:bar>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(2)</w:t>
      </w:r>
    </w:p>
    <w:p>
      <w:pPr/>
      <w:r>
        <w:rPr>
          <w:rFonts w:ascii="STSong" w:hAnsi="STSong" w:eastAsia="STSong"/>
          <w:b w:val="0"/>
          <w:sz w:val="22"/>
        </w:rPr>
        <w:t xml:space="preserve">式（2）并不意味着标准消除差异化，而是促使企业将差异化更多地置于标准化接口之外的功能模块。若标准约束不具有约束力，则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oMath>
      <w:r>
        <w:rPr>
          <w:rFonts w:ascii="STSong" w:hAnsi="STSong" w:eastAsia="STSong"/>
          <w:b w:val="0"/>
          <w:sz w:val="22"/>
        </w:rPr>
        <w:t>；若标准约束具有约束力，则标准国际化限制降低互操作性的过度专业化。</w:t>
      </w:r>
    </w:p>
    <w:p>
      <w:pPr/>
      <w:r>
        <w:rPr>
          <w:rFonts w:ascii="STSong" w:hAnsi="STSong" w:eastAsia="STSong"/>
          <w:b w:val="0"/>
          <w:sz w:val="22"/>
        </w:rPr>
        <w:t xml:space="preserve">令 </w:t>
      </w:r>
      <m:oMath>
        <m:r>
          <m:rPr>
            <m:sty m:val="p"/>
          </m:rPr>
          <w:rPr>
            <w:rFonts w:ascii="Cambria Math" w:hAnsi="Cambria Math" w:eastAsia="Arial Unicode MS" w:cs="Cambria Math"/>
            <w:sz w:val="22"/>
          </w:rPr>
          <m:t>φ</m:t>
        </m:r>
        <m:r>
          <w:rPr>
            <w:rFonts w:ascii="Cambria Math" w:hAnsi="Cambria Math" w:eastAsia="Arial Unicode MS" w:cs="Cambria Math"/>
            <w:sz w:val="22"/>
          </w:rPr>
          <m:t>(</m:t>
        </m:r>
        <m:sSub>
          <m:sSubPr/>
          <m:e>
            <m:r>
              <w:rPr>
                <w:rFonts w:ascii="Cambria Math" w:hAnsi="Cambria Math" w:eastAsia="Arial Unicode MS" w:cs="Cambria Math"/>
                <w:sz w:val="22"/>
              </w:rPr>
              <m:t>s</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r>
          <w:rPr>
            <w:rFonts w:ascii="Cambria Math" w:hAnsi="Cambria Math" w:eastAsia="Arial Unicode MS" w:cs="Cambria Math"/>
            <w:sz w:val="22"/>
          </w:rPr>
          <m:t>(</m:t>
        </m:r>
        <m:r>
          <m:rPr>
            <m:sty m:val="p"/>
          </m:rPr>
          <w:rPr>
            <w:rFonts w:ascii="Cambria Math" w:hAnsi="Cambria Math" w:eastAsia="Arial Unicode MS" w:cs="Cambria Math"/>
            <w:sz w:val="22"/>
          </w:rPr>
          <m:t>0</m:t>
        </m:r>
        <m:r>
          <w:rPr>
            <w:rFonts w:ascii="Cambria Math" w:hAnsi="Cambria Math" w:eastAsia="Arial Unicode MS" w:cs="Cambria Math"/>
            <w:sz w:val="22"/>
          </w:rPr>
          <m:t>,</m:t>
        </m:r>
        <m:r>
          <m:rPr>
            <m:sty m:val="p"/>
          </m:rPr>
          <w:rPr>
            <w:rFonts w:ascii="Cambria Math" w:hAnsi="Cambria Math" w:eastAsia="Arial Unicode MS" w:cs="Cambria Math"/>
            <w:sz w:val="22"/>
          </w:rPr>
          <m:t>1</m:t>
        </m:r>
        <m:r>
          <w:rPr>
            <w:rFonts w:ascii="Cambria Math" w:hAnsi="Cambria Math" w:eastAsia="Arial Unicode MS" w:cs="Cambria Math"/>
            <w:sz w:val="22"/>
          </w:rPr>
          <m:t>]</m:t>
        </m:r>
      </m:oMath>
      <w:r>
        <w:rPr>
          <w:rFonts w:ascii="STSong" w:hAnsi="STSong" w:eastAsia="STSong"/>
          <w:b w:val="0"/>
          <w:sz w:val="22"/>
        </w:rPr>
        <w:t xml:space="preserve"> 表示供应商产品与海外客户技术体系兼容的概率，并假定</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(3)</w:t>
      </w:r>
    </w:p>
    <w:p>
      <w:pPr/>
      <w:r>
        <w:rPr>
          <w:rFonts w:ascii="STSong" w:hAnsi="STSong" w:eastAsia="STSong"/>
          <w:b w:val="0"/>
          <w:sz w:val="22"/>
        </w:rPr>
        <w:t xml:space="preserve">将式（2）代入兼容概率，记 </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m:rPr>
            <m:sty m:val="p"/>
          </m:rPr>
          <w:rPr>
            <w:rFonts w:ascii="Cambria Math" w:hAnsi="Cambria Math" w:eastAsia="Arial Unicode MS" w:cs="Cambria Math"/>
            <w:sz w:val="22"/>
          </w:rPr>
          <m:t>≡</m:t>
        </m:r>
        <m:r>
          <m:rPr>
            <m:sty m:val="p"/>
          </m:rPr>
          <w:rPr>
            <w:rFonts w:ascii="Cambria Math" w:hAnsi="Cambria Math" w:eastAsia="Arial Unicode MS" w:cs="Cambria Math"/>
            <w:sz w:val="22"/>
          </w:rPr>
          <m:t>φ</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，则</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m:t>
        </m:r>
        <m:sSub>
          <m:sSubPr/>
          <m:e>
            <m:r>
              <m:rPr>
                <m:sty m:val="p"/>
              </m:rPr>
              <w:rPr>
                <w:rFonts w:ascii="Cambria Math" w:hAnsi="Cambria Math" w:eastAsia="Arial Unicode MS" w:cs="Cambria Math"/>
                <w:sz w:val="21"/>
              </w:rPr>
              <m:t>φ</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(4)</w:t>
      </w:r>
    </w:p>
    <w:p>
      <w:pPr/>
      <w:r>
        <w:rPr>
          <w:rFonts w:ascii="STSong" w:hAnsi="STSong" w:eastAsia="STSong"/>
          <w:b w:val="0"/>
          <w:sz w:val="22"/>
        </w:rPr>
        <w:t xml:space="preserve">式（4）包含两个渠道：给定产品设计，标准互认和接口统一直接提高跨国适配性；当标准约束具有约束力时，标准还通过减少非兼容性专业化扩大潜在客户集合。为避免重复解释，下文严格区分 </w:t>
      </w:r>
      <m:oMath>
        <m:r>
          <w:rPr>
            <w:rFonts w:ascii="Cambria Math" w:hAnsi="Cambria Math" w:eastAsia="Arial Unicode MS" w:cs="Cambria Math"/>
            <w:sz w:val="22"/>
          </w:rPr>
          <m:t>A</m:t>
        </m:r>
        <m: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oMath>
      <w:r>
        <w:rPr>
          <w:rFonts w:ascii="STSong" w:hAnsi="STSong" w:eastAsia="STSong"/>
          <w:b w:val="0"/>
          <w:sz w:val="22"/>
        </w:rPr>
        <w:t xml:space="preserve"> 与 </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的经济含义：前者只表示既有客户定制所形成的匹配收益，后者只影响冲击调整能力和断裂后的搜寻匹配效率，不再作为独立收益项进入关系价值。</w:t>
      </w:r>
    </w:p>
    <w:p>
      <w:pPr>
        <w:pStyle w:val="Heading2"/>
      </w:pPr>
      <w:r>
        <w:rPr>
          <w:rFonts w:ascii="Hiragino Sans GB" w:hAnsi="Hiragino Sans GB" w:eastAsia="Hiragino Sans GB"/>
          <w:b/>
          <w:sz w:val="24"/>
        </w:rPr>
        <w:t>2. 既有关系中的合作投入</w:t>
      </w:r>
    </w:p>
    <w:p>
      <w:pPr/>
      <w:r>
        <w:rPr>
          <w:rFonts w:ascii="STSong" w:hAnsi="STSong" w:eastAsia="STSong"/>
          <w:b w:val="0"/>
          <w:sz w:val="22"/>
        </w:rPr>
        <w:t xml:space="preserve">供应关系建立后，中国供应商可以选择合作深化程度 </w:t>
      </w:r>
      <m:oMath>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，包括联合研发、技术合作、产品协同、合资、股权合作和长期合同安排。令 </w:t>
      </w:r>
      <m:oMath>
        <m:r>
          <w:rPr>
            <w:rFonts w:ascii="Cambria Math" w:hAnsi="Cambria Math" w:eastAsia="Arial Unicode MS" w:cs="Cambria Math"/>
            <w:sz w:val="22"/>
          </w:rPr>
          <m:t>B</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oMath>
      <w:r>
        <w:rPr>
          <w:rFonts w:ascii="STSong" w:hAnsi="STSong" w:eastAsia="STSong"/>
          <w:b w:val="0"/>
          <w:sz w:val="22"/>
        </w:rPr>
        <w:t xml:space="preserve"> 表示合作深化带来的关系收益，</w:t>
      </w:r>
      <m:oMath>
        <m:r>
          <w:rPr>
            <w:rFonts w:ascii="Cambria Math" w:hAnsi="Cambria Math" w:eastAsia="Arial Unicode MS" w:cs="Cambria Math"/>
            <w:sz w:val="22"/>
          </w:rPr>
          <m:t>C</m:t>
        </m:r>
        <m:r>
          <w:rPr>
            <w:rFonts w:ascii="Cambria Math" w:hAnsi="Cambria Math" w:eastAsia="Arial Unicode MS" w:cs="Cambria Math"/>
            <w:sz w:val="22"/>
          </w:rPr>
          <m:t>(</m:t>
        </m:r>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表示合作投入成本，并假定</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τ</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(5)</w:t>
      </w:r>
    </w:p>
    <w:p>
      <w:pPr/>
      <w:r>
        <w:rPr>
          <w:rFonts w:ascii="STSong" w:hAnsi="STSong" w:eastAsia="STSong"/>
          <w:b w:val="0"/>
          <w:sz w:val="22"/>
        </w:rPr>
        <w:t>其中，</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τ</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 xml:space="preserve"> 表示标准国际化通过形成共同技术语言、统一质量验证程序并减少重复测试，降低合作投入的边际成本。供应商在冲击发生前选择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C</m:t>
        </m:r>
        <m:r>
          <w:rPr>
            <w:rFonts w:ascii="Cambria Math" w:hAnsi="Cambria Math" w:eastAsia="Arial Unicode MS" w:cs="Cambria Math"/>
            <w:sz w:val="21"/>
          </w:rPr>
          <m:t>(</m:t>
        </m:r>
        <m:sSub>
          <m:sSubPr/>
          <m:e>
            <m:r>
              <w:rPr>
                <w:rFonts w:ascii="Cambria Math" w:hAnsi="Cambria Math" w:eastAsia="Arial Unicode MS" w:cs="Cambria Math"/>
                <w:sz w:val="21"/>
              </w:rPr>
              <m:t>k</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(6)</w:t>
      </w:r>
    </w:p>
    <w:p>
      <w:pPr/>
      <w:r>
        <w:rPr>
          <w:rFonts w:ascii="STSong" w:hAnsi="STSong" w:eastAsia="STSong"/>
          <w:b w:val="0"/>
          <w:sz w:val="22"/>
        </w:rPr>
        <w:t xml:space="preserve">内点解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满足</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m:t>
            </m:r>
          </m:sub>
        </m:sSub>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(7)</w:t>
      </w:r>
    </w:p>
    <w:p>
      <w:pPr/>
      <w:r>
        <w:rPr>
          <w:rFonts w:ascii="STSong" w:hAnsi="STSong" w:eastAsia="STSong"/>
          <w:b w:val="0"/>
          <w:sz w:val="22"/>
        </w:rPr>
        <w:t>对一阶条件使用隐函数定理，可得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k</m:t>
                </m:r>
                <m:r>
                  <m:rPr>
                    <m:sty m:val="p"/>
                  </m:rPr>
                  <w:rPr>
                    <w:rFonts w:ascii="Cambria Math" w:hAnsi="Cambria Math" w:eastAsia="Arial Unicode MS" w:cs="Cambria Math"/>
                    <w:sz w:val="21"/>
                  </w:rPr>
                  <m:t>τ</m:t>
                </m:r>
              </m:sub>
            </m:sSub>
          </m:num>
          <m:den>
            <m:sSub>
              <m:sSubPr/>
              <m:e>
                <m:r>
                  <w:rPr>
                    <w:rFonts w:ascii="Cambria Math" w:hAnsi="Cambria Math" w:eastAsia="Arial Unicode MS" w:cs="Cambria Math"/>
                    <w:sz w:val="21"/>
                  </w:rPr>
                  <m:t>B</m:t>
                </m:r>
              </m:e>
              <m:sub>
                <m:r>
                  <w:rPr>
                    <w:rFonts w:ascii="Cambria Math" w:hAnsi="Cambria Math" w:eastAsia="Arial Unicode MS" w:cs="Cambria Math"/>
                    <w:sz w:val="21"/>
                  </w:rPr>
                  <m:t>kk</m:t>
                </m:r>
              </m:sub>
            </m:sSub>
            <m:r>
              <w:rPr>
                <w:rFonts w:ascii="Cambria Math" w:hAnsi="Cambria Math" w:eastAsia="Arial Unicode MS" w:cs="Cambria Math"/>
                <w:sz w:val="21"/>
              </w:rPr>
              <m:t>-</m:t>
            </m:r>
            <m:sSub>
              <m:sSubPr/>
              <m:e>
                <m:r>
                  <w:rPr>
                    <w:rFonts w:ascii="Cambria Math" w:hAnsi="Cambria Math" w:eastAsia="Arial Unicode MS" w:cs="Cambria Math"/>
                    <w:sz w:val="21"/>
                  </w:rPr>
                  <m:t>C</m:t>
                </m:r>
              </m:e>
              <m:sub>
                <m:r>
                  <w:rPr>
                    <w:rFonts w:ascii="Cambria Math" w:hAnsi="Cambria Math" w:eastAsia="Arial Unicode MS" w:cs="Cambria Math"/>
                    <w:sz w:val="21"/>
                  </w:rPr>
                  <m:t>kk</m:t>
                </m:r>
              </m:sub>
            </m:sSub>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(8)</w:t>
      </w:r>
    </w:p>
    <w:p>
      <w:pPr/>
      <w:r>
        <w:rPr>
          <w:rFonts w:ascii="STSong" w:hAnsi="STSong" w:eastAsia="STSong"/>
          <w:b w:val="0"/>
          <w:sz w:val="22"/>
        </w:rPr>
        <w:t>式（8）表明，标准国际化并非机械增加企业合作，而是通过降低合作的边际实施成本，提高供应商事前选择的最优合作深度。这一时序安排与Grossman、Helpman和Sabal（2024）的事前韧性投资思想一致，关系投资对连接稳定性的作用则与Elliott、Golub和Leduc（2022）的分析相呼应。</w:t>
      </w:r>
    </w:p>
    <w:p>
      <w:pPr>
        <w:pStyle w:val="Heading1"/>
      </w:pPr>
      <w:r>
        <w:rPr>
          <w:rFonts w:ascii="Hiragino Sans GB" w:hAnsi="Hiragino Sans GB" w:eastAsia="Hiragino Sans GB"/>
          <w:b/>
          <w:sz w:val="28"/>
        </w:rPr>
        <w:t>（三）标准国际化与供应关系抵抗力</w:t>
      </w:r>
    </w:p>
    <w:p>
      <w:pPr>
        <w:pStyle w:val="Heading2"/>
      </w:pPr>
      <w:r>
        <w:rPr>
          <w:rFonts w:ascii="Hiragino Sans GB" w:hAnsi="Hiragino Sans GB" w:eastAsia="Hiragino Sans GB"/>
          <w:b/>
          <w:sz w:val="24"/>
        </w:rPr>
        <w:t>1. 关系价值与断裂条件</w:t>
      </w:r>
    </w:p>
    <w:p>
      <w:pPr/>
      <w:r>
        <w:rPr>
          <w:rFonts w:ascii="STSong" w:hAnsi="STSong" w:eastAsia="STSong"/>
          <w:b w:val="0"/>
          <w:sz w:val="22"/>
        </w:rPr>
        <w:t xml:space="preserve">令 </w:t>
      </w:r>
      <m:oMath>
        <m:sSub>
          <m:sSubPr/>
          <m:e>
            <m:r>
              <w:rPr>
                <w:rFonts w:ascii="Cambria Math" w:hAnsi="Cambria Math" w:eastAsia="Arial Unicode MS" w:cs="Cambria Math"/>
                <w:sz w:val="22"/>
              </w:rPr>
              <m:t>V</m:t>
            </m:r>
          </m:e>
          <m:sub>
            <m:r>
              <w:rPr>
                <w:rFonts w:ascii="Cambria Math" w:hAnsi="Cambria Math" w:eastAsia="Arial Unicode MS" w:cs="Cambria Math"/>
                <w:sz w:val="22"/>
              </w:rPr>
              <m:t>ij</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表示外部冲击发生前，中国供应商 </w:t>
      </w:r>
      <m:oMath>
        <m:r>
          <w:rPr>
            <w:rFonts w:ascii="Cambria Math" w:hAnsi="Cambria Math" w:eastAsia="Arial Unicode MS" w:cs="Cambria Math"/>
            <w:sz w:val="22"/>
          </w:rPr>
          <m:t>i</m:t>
        </m:r>
      </m:oMath>
      <w:r>
        <w:rPr>
          <w:rFonts w:ascii="STSong" w:hAnsi="STSong" w:eastAsia="STSong"/>
          <w:b w:val="0"/>
          <w:sz w:val="22"/>
        </w:rPr>
        <w:t xml:space="preserve"> 与海外客户 </w:t>
      </w:r>
      <m:oMath>
        <m:r>
          <w:rPr>
            <w:rFonts w:ascii="Cambria Math" w:hAnsi="Cambria Math" w:eastAsia="Arial Unicode MS" w:cs="Cambria Math"/>
            <w:sz w:val="22"/>
          </w:rPr>
          <m:t>j</m:t>
        </m:r>
      </m:oMath>
      <w:r>
        <w:rPr>
          <w:rFonts w:ascii="STSong" w:hAnsi="STSong" w:eastAsia="STSong"/>
          <w:b w:val="0"/>
          <w:sz w:val="22"/>
        </w:rPr>
        <w:t xml:space="preserve"> 继续交易的关系价值。为保持机制互斥并压缩函数数量，设</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A</m:t>
        </m:r>
        <m:r>
          <w:rPr>
            <w:rFonts w:ascii="Cambria Math" w:hAnsi="Cambria Math" w:eastAsia="Arial Unicode MS" w:cs="Cambria Math"/>
            <w:sz w:val="21"/>
          </w:rPr>
          <m:t>(</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B</m:t>
        </m:r>
        <m:r>
          <w:rPr>
            <w:rFonts w:ascii="Cambria Math" w:hAnsi="Cambria Math" w:eastAsia="Arial Unicode MS" w:cs="Cambria Math"/>
            <w:sz w:val="21"/>
          </w:rPr>
          <m:t>(</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oMath>
      <w:r>
        <w:tab/>
      </w:r>
      <w:r>
        <w:rPr>
          <w:rFonts w:ascii="STSong" w:hAnsi="STSong" w:eastAsia="STSong"/>
          <w:sz w:val="21"/>
        </w:rPr>
        <w:t>(9)</w:t>
      </w:r>
    </w:p>
    <w:p>
      <w:pPr/>
      <w:r>
        <w:rPr>
          <w:rFonts w:ascii="STSong" w:hAnsi="STSong" w:eastAsia="STSong"/>
          <w:b w:val="0"/>
          <w:sz w:val="22"/>
        </w:rPr>
        <w:t>其中，</w:t>
      </w:r>
      <m:oMath>
        <m:sSub>
          <m:sSubPr/>
          <m:e>
            <m:r>
              <w:rPr>
                <w:rFonts w:ascii="Cambria Math" w:hAnsi="Cambria Math" w:eastAsia="Arial Unicode MS" w:cs="Cambria Math"/>
                <w:sz w:val="22"/>
              </w:rPr>
              <m:t>g</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τ</m:t>
        </m:r>
      </m:oMath>
      <w:r>
        <w:rPr>
          <w:rFonts w:ascii="STSong" w:hAnsi="STSong" w:eastAsia="STSong"/>
          <w:b w:val="0"/>
          <w:sz w:val="22"/>
        </w:rPr>
        <w:t xml:space="preserve"> 表示设备改造、认证维护和持续合规等标准适配成本。专业化设计成本 </w:t>
      </w:r>
      <m:oMath>
        <m:r>
          <w:rPr>
            <w:rFonts w:ascii="Cambria Math" w:hAnsi="Cambria Math" w:eastAsia="Arial Unicode MS" w:cs="Cambria Math"/>
            <w:sz w:val="22"/>
          </w:rPr>
          <m:t>D</m:t>
        </m:r>
      </m:oMath>
      <w:r>
        <w:rPr>
          <w:rFonts w:ascii="STSong" w:hAnsi="STSong" w:eastAsia="STSong"/>
          <w:b w:val="0"/>
          <w:sz w:val="22"/>
        </w:rPr>
        <w:t xml:space="preserve"> 与合作投入成本 </w:t>
      </w:r>
      <m:oMath>
        <m:r>
          <w:rPr>
            <w:rFonts w:ascii="Cambria Math" w:hAnsi="Cambria Math" w:eastAsia="Arial Unicode MS" w:cs="Cambria Math"/>
            <w:sz w:val="22"/>
          </w:rPr>
          <m:t>C</m:t>
        </m:r>
      </m:oMath>
      <w:r>
        <w:rPr>
          <w:rFonts w:ascii="STSong" w:hAnsi="STSong" w:eastAsia="STSong"/>
          <w:b w:val="0"/>
          <w:sz w:val="22"/>
        </w:rPr>
        <w:t xml:space="preserve"> 在冲击发生前已经支付，属于维持或终止关系时不再改变的沉没投入，故不重复计入继续交易价值。更重要的是，式（9）不再加入兼容性收益函数；兼容性只在下文影响企业吸收冲击所需的调整成本，从而避免同一渠道被重复计量。</w:t>
      </w:r>
    </w:p>
    <w:p>
      <w:pPr/>
      <w:r>
        <w:rPr>
          <w:rFonts w:ascii="STSong" w:hAnsi="STSong" w:eastAsia="STSong"/>
          <w:b w:val="0"/>
          <w:sz w:val="22"/>
        </w:rPr>
        <w:t xml:space="preserve">令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 表示关系在下一期遭遇的外部冲击，冲击可以来自技术要求变化、海外需求收缩、地缘政治风险或贸易摩擦，其累积分布函数和密度函数分别为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oMath>
      <w:r>
        <w:rPr>
          <w:rFonts w:ascii="STSong" w:hAnsi="STSong" w:eastAsia="STSong"/>
          <w:b w:val="0"/>
          <w:sz w:val="22"/>
        </w:rPr>
        <w:t xml:space="preserve"> 与 </w:t>
      </w:r>
      <m:oMath>
        <m:r>
          <w:rPr>
            <w:rFonts w:ascii="Cambria Math" w:hAnsi="Cambria Math" w:eastAsia="Arial Unicode MS" w:cs="Cambria Math"/>
            <w:sz w:val="22"/>
          </w:rPr>
          <m:t>f</m:t>
        </m:r>
        <m:r>
          <w:rPr>
            <w:rFonts w:ascii="Cambria Math" w:hAnsi="Cambria Math" w:eastAsia="Arial Unicode MS" w:cs="Cambria Math"/>
            <w:sz w:val="22"/>
          </w:rPr>
          <m:t>(</m:t>
        </m:r>
        <m:r>
          <w:rPr>
            <w:rFonts w:ascii="Cambria Math" w:hAnsi="Cambria Math" w:eastAsia="Arial Unicode MS" w:cs="Cambria Math"/>
            <w:sz w:val="22"/>
          </w:rPr>
          <m:t>u</m:t>
        </m:r>
        <m:r>
          <w:rPr>
            <w:rFonts w:ascii="Cambria Math" w:hAnsi="Cambria Math" w:eastAsia="Arial Unicode MS" w:cs="Cambria Math"/>
            <w:sz w:val="22"/>
          </w:rPr>
          <m:t>)</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。兼容性越高，企业在不完全重新设计产品的情况下吸收同等冲击所需的调整成本越低。将有效调整成本写为 </w:t>
      </w:r>
      <m:oMath>
        <m:sSub>
          <m:sSubPr/>
          <m:e>
            <m:r>
              <w:rPr>
                <w:rFonts w:ascii="Cambria Math" w:hAnsi="Cambria Math" w:eastAsia="Arial Unicode MS" w:cs="Cambria Math"/>
                <w:sz w:val="22"/>
              </w:rPr>
              <m:t>u</m:t>
            </m:r>
          </m:e>
          <m:sub>
            <m:r>
              <w:rPr>
                <w:rFonts w:ascii="Cambria Math" w:hAnsi="Cambria Math" w:eastAsia="Arial Unicode MS" w:cs="Cambria Math"/>
                <w:sz w:val="22"/>
              </w:rPr>
              <m:t>ij</m:t>
            </m:r>
            <m:r>
              <w:rPr>
                <w:rFonts w:ascii="Cambria Math" w:hAnsi="Cambria Math" w:eastAsia="Arial Unicode MS" w:cs="Cambria Math"/>
                <w:sz w:val="22"/>
              </w:rPr>
              <m:t>,</m:t>
            </m:r>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sub>
        </m:sSub>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，则关系断裂条件为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f>
          <m:fPr/>
          <m:num>
            <m:sSub>
              <m:sSubPr/>
              <m:e>
                <m:r>
                  <w:rPr>
                    <w:rFonts w:ascii="Cambria Math" w:hAnsi="Cambria Math" w:eastAsia="Arial Unicode MS" w:cs="Cambria Math"/>
                    <w:sz w:val="21"/>
                  </w:rPr>
                  <m:t>u</m:t>
                </m:r>
              </m:e>
              <m:sub>
                <m:r>
                  <w:rPr>
                    <w:rFonts w:ascii="Cambria Math" w:hAnsi="Cambria Math" w:eastAsia="Arial Unicode MS" w:cs="Cambria Math"/>
                    <w:sz w:val="21"/>
                  </w:rPr>
                  <m:t>ij</m:t>
                </m:r>
                <m:r>
                  <w:rPr>
                    <w:rFonts w:ascii="Cambria Math" w:hAnsi="Cambria Math" w:eastAsia="Arial Unicode MS" w:cs="Cambria Math"/>
                    <w:sz w:val="21"/>
                  </w:rPr>
                  <m:t>,</m:t>
                </m:r>
                <m:r>
                  <w:rPr>
                    <w:rFonts w:ascii="Cambria Math" w:hAnsi="Cambria Math" w:eastAsia="Arial Unicode MS" w:cs="Cambria Math"/>
                    <w:sz w:val="21"/>
                  </w:rPr>
                  <m:t>t</m:t>
                </m:r>
                <m:r>
                  <w:rPr>
                    <w:rFonts w:ascii="Cambria Math" w:hAnsi="Cambria Math" w:eastAsia="Arial Unicode MS" w:cs="Cambria Math"/>
                    <w:sz w:val="21"/>
                  </w:rPr>
                  <m:t>+</m:t>
                </m:r>
                <m:r>
                  <m:rPr>
                    <m:sty m:val="p"/>
                  </m:rPr>
                  <w:rPr>
                    <w:rFonts w:ascii="Cambria Math" w:hAnsi="Cambria Math" w:eastAsia="Arial Unicode MS" w:cs="Cambria Math"/>
                    <w:sz w:val="21"/>
                  </w:rPr>
                  <m:t>1</m:t>
                </m:r>
              </m:sub>
            </m:sSub>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r>
          <w:rPr>
            <w:rFonts w:ascii="Cambria Math" w:hAnsi="Cambria Math" w:eastAsia="Arial Unicode MS" w:cs="Cambria Math"/>
            <w:sz w:val="21"/>
          </w:rPr>
          <m:t>&gt;</m:t>
        </m:r>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oMath>
      <w:r>
        <w:tab/>
      </w:r>
      <w:r>
        <w:rPr>
          <w:rFonts w:ascii="STSong" w:hAnsi="STSong" w:eastAsia="STSong"/>
          <w:sz w:val="21"/>
        </w:rPr>
        <w:t>(10)</w:t>
      </w:r>
    </w:p>
    <w:p>
      <w:pPr/>
      <w:r>
        <w:rPr>
          <w:rFonts w:ascii="STSong" w:hAnsi="STSong" w:eastAsia="STSong"/>
          <w:b w:val="0"/>
          <w:sz w:val="22"/>
        </w:rPr>
        <w:t xml:space="preserve">式（10）直接对应经验定义：若关系 </w:t>
      </w:r>
      <m:oMath>
        <m:r>
          <w:rPr>
            <w:rFonts w:ascii="Cambria Math" w:hAnsi="Cambria Math" w:eastAsia="Arial Unicode MS" w:cs="Cambria Math"/>
            <w:sz w:val="22"/>
          </w:rPr>
          <m:t>s</m:t>
        </m:r>
      </m:oMath>
      <w:r>
        <w:rPr>
          <w:rFonts w:ascii="STSong" w:hAnsi="STSong" w:eastAsia="STSong"/>
          <w:b w:val="0"/>
          <w:sz w:val="22"/>
        </w:rPr>
        <w:t xml:space="preserve"> 在 </w:t>
      </w:r>
      <m:oMath>
        <m:r>
          <w:rPr>
            <w:rFonts w:ascii="Cambria Math" w:hAnsi="Cambria Math" w:eastAsia="Arial Unicode MS" w:cs="Cambria Math"/>
            <w:sz w:val="22"/>
          </w:rPr>
          <m:t>t</m:t>
        </m:r>
      </m:oMath>
      <w:r>
        <w:rPr>
          <w:rFonts w:ascii="STSong" w:hAnsi="STSong" w:eastAsia="STSong"/>
          <w:b w:val="0"/>
          <w:sz w:val="22"/>
        </w:rPr>
        <w:t xml:space="preserve"> 期存在而在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，否则取0。由式（10），关系能够承受的最大原始冲击为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oMath>
      <w:r>
        <w:tab/>
      </w:r>
      <w:r>
        <w:rPr>
          <w:rFonts w:ascii="STSong" w:hAnsi="STSong" w:eastAsia="STSong"/>
          <w:sz w:val="21"/>
        </w:rPr>
        <w:t>(11)</w:t>
      </w:r>
    </w:p>
    <w:p>
      <w:pPr/>
      <w:r>
        <w:rPr>
          <w:rFonts w:ascii="STSong" w:hAnsi="STSong" w:eastAsia="STSong"/>
          <w:b w:val="0"/>
          <w:sz w:val="22"/>
        </w:rPr>
        <w:t>因此，既有关系的断裂概率为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(12)</w:t>
      </w:r>
    </w:p>
    <w:p>
      <w:pPr>
        <w:pStyle w:val="Heading2"/>
      </w:pPr>
      <w:r>
        <w:rPr>
          <w:rFonts w:ascii="Hiragino Sans GB" w:hAnsi="Hiragino Sans GB" w:eastAsia="Hiragino Sans GB"/>
          <w:b/>
          <w:sz w:val="24"/>
        </w:rPr>
        <w:t>2. 比较静态与命题1</w:t>
      </w:r>
    </w:p>
    <w:p>
      <w:pPr/>
      <w:r>
        <w:rPr>
          <w:rFonts w:ascii="STSong" w:hAnsi="STSong" w:eastAsia="STSong"/>
          <w:b w:val="0"/>
          <w:sz w:val="22"/>
        </w:rPr>
        <w:t>由式（9）可得</w:t>
      </w:r>
    </w:p>
    <w:p>
      <w:pPr>
        <w:keepLines/>
        <w:tabs>
          <w:tab w:pos="4677" w:val="center"/>
          <w:tab w:pos="9354" w:val="right"/>
        </w:tabs>
        <w:spacing w:before="60" w:after="60" w:line="252" w:lineRule="auto"/>
        <w:ind w:firstLine="0"/>
        <w:jc w:val="left"/>
      </w:pPr>
      <w:r>
        <w:tab/>
      </w:r>
      <m:oMath>
        <m:f>
          <m:fPr/>
          <m:num>
            <m:sSub>
              <m:sSubPr/>
              <m:e>
                <m:r>
                  <w:rPr>
                    <w:rFonts w:ascii="Cambria Math" w:hAnsi="Cambria Math" w:eastAsia="Arial Unicode MS" w:cs="Cambria Math"/>
                    <w:sz w:val="21"/>
                  </w:rPr>
                  <m:t>dV</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oMath>
      <w:r>
        <w:tab/>
      </w:r>
      <w:r>
        <w:rPr>
          <w:rFonts w:ascii="STSong" w:hAnsi="STSong" w:eastAsia="STSong"/>
          <w:sz w:val="21"/>
        </w:rPr>
        <w:t>(13)</w:t>
      </w:r>
    </w:p>
    <w:p>
      <w:pPr/>
      <w:r>
        <w:rPr>
          <w:rFonts w:ascii="STSong" w:hAnsi="STSong" w:eastAsia="STSong"/>
          <w:b w:val="0"/>
          <w:sz w:val="22"/>
        </w:rPr>
        <w:t>进一步对式（11）取对数并求导，定义关系耐受阈值对标准国际化的半弹性为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τ</m:t>
            </m:r>
          </m:sub>
        </m:sSub>
        <m:r>
          <m:rPr>
            <m:sty m:val="p"/>
          </m:rPr>
          <w:rPr>
            <w:rFonts w:ascii="Cambria Math" w:hAnsi="Cambria Math" w:eastAsia="Arial Unicode MS" w:cs="Cambria Math"/>
            <w:sz w:val="21"/>
          </w:rPr>
          <m:t>≡</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oMath>
      <w:r>
        <w:tab/>
      </w:r>
      <w:r>
        <w:rPr>
          <w:rFonts w:ascii="STSong" w:hAnsi="STSong" w:eastAsia="STSong"/>
          <w:sz w:val="21"/>
        </w:rPr>
        <w:t>(14)</w:t>
      </w:r>
    </w:p>
    <w:p>
      <w:pPr/>
      <w:r>
        <w:rPr>
          <w:rFonts w:ascii="STSong" w:hAnsi="STSong" w:eastAsia="STSong"/>
          <w:b w:val="0"/>
          <w:sz w:val="22"/>
        </w:rPr>
        <w:t>式（14）完整呈现标准国际化的收益与成本。一方面，兼容性提高直接增强冲击吸收能力，合作深化提高继续交易价值；另一方面，非兼容性专业化受到约束可能减少既有客户的定制收益，企业还需承担标准适配成本。因此，标准国际化提高关系耐受阈值的充分条件为</w:t>
      </w:r>
    </w:p>
    <w:p>
      <w:pPr>
        <w:keepLines/>
        <w:tabs>
          <w:tab w:pos="4677" w:val="center"/>
          <w:tab w:pos="9354" w:val="right"/>
        </w:tabs>
        <w:spacing w:before="60" w:after="60" w:line="252" w:lineRule="auto"/>
        <w:ind w:firstLine="0"/>
        <w:jc w:val="left"/>
      </w:pPr>
      <w:r>
        <w:tab/>
      </w:r>
      <m:oMath>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f>
          <m:fPr/>
          <m:num>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f>
          <m:fPr/>
          <m:num>
            <m:sSub>
              <m:sSubPr/>
              <m:e>
                <m:r>
                  <w:rPr>
                    <w:rFonts w:ascii="Cambria Math" w:hAnsi="Cambria Math" w:eastAsia="Arial Unicode MS" w:cs="Cambria Math"/>
                    <w:sz w:val="21"/>
                  </w:rPr>
                  <m:t>g</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A</m:t>
                </m:r>
              </m:e>
              <m:sub>
                <m:r>
                  <w:rPr>
                    <w:rFonts w:ascii="Cambria Math" w:hAnsi="Cambria Math" w:eastAsia="Arial Unicode MS" w:cs="Cambria Math"/>
                    <w:sz w:val="21"/>
                  </w:rPr>
                  <m:t>s</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s</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num>
          <m:den>
            <m:sSub>
              <m:sSubPr/>
              <m:e>
                <m:r>
                  <w:rPr>
                    <w:rFonts w:ascii="Cambria Math" w:hAnsi="Cambria Math" w:eastAsia="Arial Unicode MS" w:cs="Cambria Math"/>
                    <w:sz w:val="21"/>
                  </w:rPr>
                  <m:t>V</m:t>
                </m:r>
              </m:e>
              <m:sub>
                <m:r>
                  <w:rPr>
                    <w:rFonts w:ascii="Cambria Math" w:hAnsi="Cambria Math" w:eastAsia="Arial Unicode MS" w:cs="Cambria Math"/>
                    <w:sz w:val="21"/>
                  </w:rPr>
                  <m:t>ij</m:t>
                </m:r>
              </m:sub>
            </m:sSub>
          </m:den>
        </m:f>
      </m:oMath>
      <w:r>
        <w:tab/>
      </w:r>
      <w:r>
        <w:rPr>
          <w:rFonts w:ascii="STSong" w:hAnsi="STSong" w:eastAsia="STSong"/>
          <w:sz w:val="21"/>
        </w:rPr>
        <w:t>(15)</w:t>
      </w:r>
    </w:p>
    <w:p>
      <w:pPr/>
      <w:r>
        <w:rPr>
          <w:rFonts w:ascii="STSong" w:hAnsi="STSong" w:eastAsia="STSong"/>
          <w:b w:val="0"/>
          <w:sz w:val="22"/>
        </w:rPr>
        <w:t>式（15）是本文的净韧性条件：标准国际化带来的兼容性收益与合作深化收益超过标准适配成本和定制收益损失。该条件没有预设标准国际化必然提高韧性，而是为经验检验保留了可证伪性。</w:t>
      </w:r>
    </w:p>
    <w:p>
      <w:pPr/>
      <w:r>
        <w:rPr>
          <w:rFonts w:ascii="STSong" w:hAnsi="STSong" w:eastAsia="STSong"/>
          <w:b/>
          <w:sz w:val="22"/>
        </w:rPr>
        <w:t>命题1（标准国际化与供应关系抵抗力）。</w:t>
      </w:r>
      <w:r>
        <w:rPr>
          <w:rFonts w:ascii="STSong" w:hAnsi="STSong" w:eastAsia="STSong"/>
          <w:b w:val="0"/>
          <w:sz w:val="22"/>
        </w:rPr>
        <w:t xml:space="preserve"> 在式（1）—式（8）的正则条件及式（15）的净韧性条件成立时，标准国际化提高既有跨国供应关系能够承受的最大冲击，并降低关系断裂概率。</w:t>
      </w:r>
    </w:p>
    <w:p>
      <w:pPr/>
      <w:r>
        <w:rPr>
          <w:rFonts w:ascii="STSong" w:hAnsi="STSong" w:eastAsia="STSong"/>
          <w:b/>
          <w:sz w:val="22"/>
        </w:rPr>
        <w:t>证明。</w:t>
      </w:r>
      <w:r>
        <w:rPr>
          <w:rFonts w:ascii="STSong" w:hAnsi="STSong" w:eastAsia="STSong"/>
          <w:b w:val="0"/>
          <w:sz w:val="22"/>
        </w:rPr>
        <w:t xml:space="preserve"> 当式（15）成立时，</w:t>
      </w:r>
      <m:oMath>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，因而 </w:t>
      </w:r>
      <m:oMath>
        <m:sSubSup>
          <m:sSubSupPr/>
          <m:e>
            <m:r>
              <w:rPr>
                <w:rFonts w:ascii="Cambria Math" w:hAnsi="Cambria Math" w:eastAsia="Arial Unicode MS" w:cs="Cambria Math"/>
                <w:sz w:val="22"/>
              </w:rPr>
              <m:t>du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m:t>
        </m:r>
        <m:sSubSup>
          <m:sSubSupPr/>
          <m:e>
            <m:r>
              <w:rPr>
                <w:rFonts w:ascii="Cambria Math" w:hAnsi="Cambria Math" w:eastAsia="Arial Unicode MS" w:cs="Cambria Math"/>
                <w:sz w:val="22"/>
              </w:rPr>
              <m:t>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sSub>
          <m:sSubPr/>
          <m:e>
            <m:r>
              <w:rPr>
                <w:rFonts w:ascii="Cambria Math" w:hAnsi="Cambria Math" w:eastAsia="Arial Unicode MS" w:cs="Cambria Math"/>
                <w:sz w:val="22"/>
              </w:rPr>
              <m:t>Q</m:t>
            </m:r>
          </m:e>
          <m:sub>
            <m:r>
              <m:rPr>
                <m:sty m:val="p"/>
              </m:rPr>
              <w:rPr>
                <w:rFonts w:ascii="Cambria Math" w:hAnsi="Cambria Math" w:eastAsia="Arial Unicode MS" w:cs="Cambria Math"/>
                <w:sz w:val="22"/>
              </w:rPr>
              <m:t>τ</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。由式（12）可得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f>
          <m:fPr/>
          <m:num>
            <m:sSubSup>
              <m:sSubSupPr/>
              <m:e>
                <m:r>
                  <w:rPr>
                    <w:rFonts w:ascii="Cambria Math" w:hAnsi="Cambria Math" w:eastAsia="Arial Unicode MS" w:cs="Cambria Math"/>
                    <w:sz w:val="21"/>
                  </w:rPr>
                  <m:t>du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sSub>
          <m:sSubPr/>
          <m:e>
            <m:r>
              <w:rPr>
                <w:rFonts w:ascii="Cambria Math" w:hAnsi="Cambria Math" w:eastAsia="Arial Unicode MS" w:cs="Cambria Math"/>
                <w:sz w:val="21"/>
              </w:rPr>
              <m:t>Q</m:t>
            </m:r>
          </m:e>
          <m:sub>
            <m:r>
              <m:rPr>
                <m:sty m:val="p"/>
              </m:rPr>
              <w:rPr>
                <w:rFonts w:ascii="Cambria Math" w:hAnsi="Cambria Math" w:eastAsia="Arial Unicode MS" w:cs="Cambria Math"/>
                <w:sz w:val="21"/>
              </w:rPr>
              <m:t>τ</m:t>
            </m:r>
          </m:sub>
        </m:sSub>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(16)</w:t>
      </w:r>
    </w:p>
    <w:p>
      <w:pPr/>
      <w:r>
        <w:rPr>
          <w:rFonts w:ascii="STSong" w:hAnsi="STSong" w:eastAsia="STSong"/>
          <w:b w:val="0"/>
          <w:sz w:val="22"/>
        </w:rPr>
        <w:t>命题得证。</w:t>
      </w:r>
    </w:p>
    <w:p>
      <w:pPr/>
      <w:r>
        <w:rPr>
          <w:rFonts w:ascii="STSong" w:hAnsi="STSong" w:eastAsia="STSong"/>
          <w:b w:val="0"/>
          <w:sz w:val="22"/>
        </w:rPr>
        <w:t xml:space="preserve">命题1的经济含义是，国际标准并不减少外部冲击本身，而是提高企业在冲击发生后的技术调整能力和继续交易价值，使同等强度的冲击更不容易越过关系终止阈值。经验检验应以 </w:t>
      </w:r>
      <m:oMath>
        <m:r>
          <w:rPr>
            <w:rFonts w:ascii="Cambria Math" w:hAnsi="Cambria Math" w:eastAsia="Arial Unicode MS" w:cs="Cambria Math"/>
            <w:sz w:val="22"/>
          </w:rPr>
          <m:t>t</m:t>
        </m:r>
      </m:oMath>
      <w:r>
        <w:rPr>
          <w:rFonts w:ascii="STSong" w:hAnsi="STSong" w:eastAsia="STSong"/>
          <w:b w:val="0"/>
          <w:sz w:val="22"/>
        </w:rPr>
        <w:t xml:space="preserve"> 期全部存续的中国供应商—海外客户关系为风险集，考察行业标准国际化是否降低该关系在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期消失的概率。</w:t>
      </w:r>
    </w:p>
    <w:p>
      <w:pPr>
        <w:pStyle w:val="Hypothesis"/>
        <w:shd w:fill="F3F5F7"/>
        <w:pBdr>
          <w:left w:val="single" w:sz="14" w:space="8" w:color="243B53"/>
        </w:pBdr>
      </w:pPr>
      <w:r>
        <w:rPr>
          <w:rFonts w:ascii="STSong" w:hAnsi="STSong" w:eastAsia="STSong"/>
          <w:b/>
          <w:sz w:val="21"/>
        </w:rPr>
        <w:t>研究假说H1：在其他条件不变的情况下，行业标准国际化能够显著降低中国企业跨国供应关系的断裂概率，即提高跨国供应链抵抗力。</w:t>
      </w:r>
    </w:p>
    <w:p>
      <w:pPr>
        <w:pStyle w:val="Heading2"/>
      </w:pPr>
      <w:r>
        <w:rPr>
          <w:rFonts w:ascii="Hiragino Sans GB" w:hAnsi="Hiragino Sans GB" w:eastAsia="Hiragino Sans GB"/>
          <w:b/>
          <w:sz w:val="24"/>
        </w:rPr>
        <w:t>3. 合作深化机制与命题2</w:t>
      </w:r>
    </w:p>
    <w:p>
      <w:pPr/>
      <w:r>
        <w:rPr>
          <w:rFonts w:ascii="STSong" w:hAnsi="STSong" w:eastAsia="STSong"/>
          <w:b w:val="0"/>
          <w:sz w:val="22"/>
        </w:rPr>
        <w:t xml:space="preserve">式（8）表明，标准国际化提高最优合作投入。将标准国际化经由 </w:t>
      </w:r>
      <m:oMath>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oMath>
      <w:r>
        <w:rPr>
          <w:rFonts w:ascii="STSong" w:hAnsi="STSong" w:eastAsia="STSong"/>
          <w:b w:val="0"/>
          <w:sz w:val="22"/>
        </w:rPr>
        <w:t xml:space="preserve"> 影响断裂概率的边际分量单独写为</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sSub>
          <m:sSubPr/>
          <m:e>
            <m:r>
              <m:rPr>
                <m:sty m:val="p"/>
              </m:rPr>
              <w:rPr>
                <w:rFonts w:ascii="Cambria Math" w:hAnsi="Cambria Math" w:eastAsia="Arial Unicode MS" w:cs="Cambria Math"/>
                <w:sz w:val="21"/>
              </w:rPr>
              <m:t>|</m:t>
            </m:r>
          </m:e>
          <m:sub>
            <m:r>
              <w:rPr>
                <w:rFonts w:ascii="Cambria Math" w:hAnsi="Cambria Math" w:eastAsia="Arial Unicode MS" w:cs="Cambria Math"/>
                <w:sz w:val="21"/>
              </w:rPr>
              <m:t>k</m:t>
            </m:r>
          </m:sub>
        </m:sSub>
        <m:r>
          <w:rPr>
            <w:rFonts w:ascii="Cambria Math" w:hAnsi="Cambria Math" w:eastAsia="Arial Unicode MS" w:cs="Cambria Math"/>
            <w:sz w:val="21"/>
          </w:rPr>
          <m:t>=</m:t>
        </m:r>
        <m:r>
          <w:rPr>
            <w:rFonts w:ascii="Cambria Math" w:hAnsi="Cambria Math" w:eastAsia="Arial Unicode MS" w:cs="Cambria Math"/>
            <w:sz w:val="21"/>
          </w:rPr>
          <m:t>-</m:t>
        </m:r>
        <m:r>
          <w:rPr>
            <w:rFonts w:ascii="Cambria Math" w:hAnsi="Cambria Math" w:eastAsia="Arial Unicode MS" w:cs="Cambria Math"/>
            <w:sz w:val="21"/>
          </w:rPr>
          <m:t>f</m:t>
        </m:r>
        <m:r>
          <w:rPr>
            <w:rFonts w:ascii="Cambria Math" w:hAnsi="Cambria Math" w:eastAsia="Arial Unicode MS" w:cs="Cambria Math"/>
            <w:sz w:val="21"/>
          </w:rPr>
          <m:t>(</m:t>
        </m:r>
        <m:sSubSup>
          <m:sSubSupPr/>
          <m:e>
            <m:r>
              <w:rPr>
                <w:rFonts w:ascii="Cambria Math" w:hAnsi="Cambria Math" w:eastAsia="Arial Unicode MS" w:cs="Cambria Math"/>
                <w:sz w:val="21"/>
              </w:rPr>
              <m:t>u</m:t>
            </m:r>
          </m:e>
          <m:sub>
            <m:r>
              <w:rPr>
                <w:rFonts w:ascii="Cambria Math" w:hAnsi="Cambria Math" w:eastAsia="Arial Unicode MS" w:cs="Cambria Math"/>
                <w:sz w:val="21"/>
              </w:rPr>
              <m:t>ij</m:t>
            </m:r>
          </m:sub>
          <m:sup>
            <m:r>
              <w:rPr>
                <w:rFonts w:ascii="Cambria Math" w:hAnsi="Cambria Math" w:eastAsia="Arial Unicode MS" w:cs="Cambria Math"/>
                <w:sz w:val="21"/>
              </w:rPr>
              <m:t>*</m:t>
            </m:r>
          </m:sup>
        </m:sSubSup>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b>
          <m:sSubPr/>
          <m:e>
            <m:r>
              <w:rPr>
                <w:rFonts w:ascii="Cambria Math" w:hAnsi="Cambria Math" w:eastAsia="Arial Unicode MS" w:cs="Cambria Math"/>
                <w:sz w:val="21"/>
              </w:rPr>
              <m:t>B</m:t>
            </m:r>
          </m:e>
          <m:sub>
            <m:r>
              <w:rPr>
                <w:rFonts w:ascii="Cambria Math" w:hAnsi="Cambria Math" w:eastAsia="Arial Unicode MS" w:cs="Cambria Math"/>
                <w:sz w:val="21"/>
              </w:rPr>
              <m:t>k</m:t>
            </m:r>
          </m:sub>
        </m:sSub>
        <m:f>
          <m:fPr/>
          <m:num>
            <m:r>
              <w:rPr>
                <w:rFonts w:ascii="Cambria Math" w:hAnsi="Cambria Math" w:eastAsia="Arial Unicode MS" w:cs="Cambria Math"/>
                <w:sz w:val="21"/>
              </w:rPr>
              <m:t>d</m:t>
            </m:r>
            <m:sSubSup>
              <m:sSubSupPr/>
              <m:e>
                <m:r>
                  <w:rPr>
                    <w:rFonts w:ascii="Cambria Math" w:hAnsi="Cambria Math" w:eastAsia="Arial Unicode MS" w:cs="Cambria Math"/>
                    <w:sz w:val="21"/>
                  </w:rPr>
                  <m:t>k</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(17)</w:t>
      </w:r>
    </w:p>
    <w:p>
      <w:pPr/>
      <w:r>
        <w:rPr>
          <w:rFonts w:ascii="STSong" w:hAnsi="STSong" w:eastAsia="STSong"/>
          <w:b/>
          <w:sz w:val="22"/>
        </w:rPr>
        <w:t>命题2（合作深化机制）。</w:t>
      </w:r>
      <w:r>
        <w:rPr>
          <w:rFonts w:ascii="STSong" w:hAnsi="STSong" w:eastAsia="STSong"/>
          <w:b w:val="0"/>
          <w:sz w:val="22"/>
        </w:rPr>
        <w:t xml:space="preserve"> 在 </w:t>
      </w:r>
      <m:oMath>
        <m:sSub>
          <m:sSubPr/>
          <m:e>
            <m:r>
              <w:rPr>
                <w:rFonts w:ascii="Cambria Math" w:hAnsi="Cambria Math" w:eastAsia="Arial Unicode MS" w:cs="Cambria Math"/>
                <w:sz w:val="22"/>
              </w:rPr>
              <m:t>C</m:t>
            </m:r>
          </m:e>
          <m:sub>
            <m:r>
              <w:rPr>
                <w:rFonts w:ascii="Cambria Math" w:hAnsi="Cambria Math" w:eastAsia="Arial Unicode MS" w:cs="Cambria Math"/>
                <w:sz w:val="22"/>
              </w:rPr>
              <m:t>k</m:t>
            </m:r>
            <m:r>
              <m:rPr>
                <m:sty m:val="p"/>
              </m:rPr>
              <w:rPr>
                <w:rFonts w:ascii="Cambria Math" w:hAnsi="Cambria Math" w:eastAsia="Arial Unicode MS" w:cs="Cambria Math"/>
                <w:sz w:val="22"/>
              </w:rPr>
              <m:t>τ</m:t>
            </m:r>
          </m:sub>
        </m:sSub>
        <m:r>
          <w:rPr>
            <w:rFonts w:ascii="Cambria Math" w:hAnsi="Cambria Math" w:eastAsia="Arial Unicode MS" w:cs="Cambria Math"/>
            <w:sz w:val="22"/>
          </w:rPr>
          <m:t>&lt;</m:t>
        </m:r>
        <m:r>
          <m:rPr>
            <m:sty m:val="p"/>
          </m:rPr>
          <w:rPr>
            <w:rFonts w:ascii="Cambria Math" w:hAnsi="Cambria Math" w:eastAsia="Arial Unicode MS" w:cs="Cambria Math"/>
            <w:sz w:val="22"/>
          </w:rPr>
          <m:t>0</m:t>
        </m:r>
      </m:oMath>
      <w:r>
        <w:rPr>
          <w:rFonts w:ascii="STSong" w:hAnsi="STSong" w:eastAsia="STSong"/>
          <w:b w:val="0"/>
          <w:sz w:val="22"/>
        </w:rPr>
        <w:t>、</w:t>
      </w:r>
      <m:oMath>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且二阶条件成立时，标准国际化通过降低跨国合作的边际成本提高合作深化程度；更高的合作深化程度增加关系专用知识、协同收益和重复交易价值，进而提高关系耐受阈值并降低断裂概率。</w:t>
      </w:r>
    </w:p>
    <w:p>
      <w:pPr/>
      <w:r>
        <w:rPr>
          <w:rFonts w:ascii="STSong" w:hAnsi="STSong" w:eastAsia="STSong"/>
          <w:b/>
          <w:sz w:val="22"/>
        </w:rPr>
        <w:t>证明。</w:t>
      </w:r>
      <w:r>
        <w:rPr>
          <w:rFonts w:ascii="STSong" w:hAnsi="STSong" w:eastAsia="STSong"/>
          <w:b w:val="0"/>
          <w:sz w:val="22"/>
        </w:rPr>
        <w:t xml:space="preserve"> 由式（8）有 </w:t>
      </w:r>
      <m:oMath>
        <m:sSubSup>
          <m:sSubSupPr/>
          <m:e>
            <m:r>
              <w:rPr>
                <w:rFonts w:ascii="Cambria Math" w:hAnsi="Cambria Math" w:eastAsia="Arial Unicode MS" w:cs="Cambria Math"/>
                <w:sz w:val="22"/>
              </w:rPr>
              <m:t>dk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；由式（11）有 </w:t>
      </w:r>
      <m:oMath>
        <m:r>
          <m:rPr>
            <m:sty m:val="p"/>
          </m:rPr>
          <w:rPr>
            <w:rFonts w:ascii="Cambria Math" w:hAnsi="Cambria Math" w:eastAsia="Arial Unicode MS" w:cs="Cambria Math"/>
            <w:sz w:val="22"/>
          </w:rPr>
          <m:t>∂</m:t>
        </m:r>
        <m:sSubSup>
          <m:sSubSupPr/>
          <m:e>
            <m:r>
              <w:rPr>
                <w:rFonts w:ascii="Cambria Math" w:hAnsi="Cambria Math" w:eastAsia="Arial Unicode MS" w:cs="Cambria Math"/>
                <w:sz w:val="22"/>
              </w:rPr>
              <m:t>u</m:t>
            </m:r>
          </m:e>
          <m:sub>
            <m:r>
              <w:rPr>
                <w:rFonts w:ascii="Cambria Math" w:hAnsi="Cambria Math" w:eastAsia="Arial Unicode MS" w:cs="Cambria Math"/>
                <w:sz w:val="22"/>
              </w:rPr>
              <m:t>ij</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m:t>
        </m:r>
        <m:sSubSup>
          <m:sSubSupPr/>
          <m:e>
            <m:r>
              <w:rPr>
                <w:rFonts w:ascii="Cambria Math" w:hAnsi="Cambria Math" w:eastAsia="Arial Unicode MS" w:cs="Cambria Math"/>
                <w:sz w:val="22"/>
              </w:rPr>
              <m:t>k</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sSub>
          <m:sSubPr/>
          <m:e>
            <m:r>
              <w:rPr>
                <w:rFonts w:ascii="Cambria Math" w:hAnsi="Cambria Math" w:eastAsia="Arial Unicode MS" w:cs="Cambria Math"/>
                <w:sz w:val="22"/>
              </w:rPr>
              <m:t>B</m:t>
            </m:r>
          </m:e>
          <m:sub>
            <m:r>
              <w:rPr>
                <w:rFonts w:ascii="Cambria Math" w:hAnsi="Cambria Math" w:eastAsia="Arial Unicode MS" w:cs="Cambria Math"/>
                <w:sz w:val="22"/>
              </w:rPr>
              <m:t>k</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。二者代入式（12）即得式（17），命题得证。</w:t>
      </w:r>
    </w:p>
    <w:p>
      <w:pPr/>
      <w:r>
        <w:rPr>
          <w:rFonts w:ascii="STSong" w:hAnsi="STSong" w:eastAsia="STSong"/>
          <w:b w:val="0"/>
          <w:sz w:val="22"/>
        </w:rPr>
        <w:t xml:space="preserve">命题2是研究假说H1的机制推论。经验上，合作深化应使用关系断裂前已经形成的合作状态，以保证变量时序先于断裂结果。可基于FactSet识别联合研发、技术合作、产品合作、合资、股权投资或其他投资关系，并构造断裂前一期的合作关系虚拟变量、合作类型数量或合作持续期。若标准国际化先提高上述合作指标，而控制合作指标后其对 </w:t>
      </w:r>
      <m:oMath>
        <m:r>
          <m:rPr>
            <m:sty m:val="p"/>
          </m:rPr>
          <w:rPr>
            <w:rFonts w:ascii="Cambria Math" w:hAnsi="Cambria Math" w:eastAsia="Arial Unicode MS" w:cs="Cambria Math"/>
            <w:sz w:val="22"/>
          </w:rPr>
          <m:t>Break</m:t>
        </m:r>
      </m:oMath>
      <w:r>
        <w:rPr>
          <w:rFonts w:ascii="STSong" w:hAnsi="STSong" w:eastAsia="STSong"/>
          <w:b w:val="0"/>
          <w:sz w:val="22"/>
        </w:rPr>
        <w:t xml:space="preserve"> 的边际影响减弱，则与“标准国际化—合作深化—关系价值提高—断裂风险下降”的机制一致。该检验只能作为机制证据，不能仅凭系数变化解释为严格的因果中介效应。</w:t>
      </w:r>
    </w:p>
    <w:p>
      <w:pPr>
        <w:pStyle w:val="Heading1"/>
      </w:pPr>
      <w:r>
        <w:rPr>
          <w:rFonts w:ascii="Hiragino Sans GB" w:hAnsi="Hiragino Sans GB" w:eastAsia="Hiragino Sans GB"/>
          <w:b/>
          <w:sz w:val="28"/>
        </w:rPr>
        <w:t>（四）标准国际化与断裂后的供应关系重构</w:t>
      </w:r>
    </w:p>
    <w:p>
      <w:pPr>
        <w:pStyle w:val="Heading2"/>
      </w:pPr>
      <w:r>
        <w:rPr>
          <w:rFonts w:ascii="Hiragino Sans GB" w:hAnsi="Hiragino Sans GB" w:eastAsia="Hiragino Sans GB"/>
          <w:b/>
          <w:sz w:val="24"/>
        </w:rPr>
        <w:t>1. 搜寻技术与有效搜寻成本</w:t>
      </w:r>
    </w:p>
    <w:p>
      <w:pPr/>
      <w:r>
        <w:rPr>
          <w:rFonts w:ascii="STSong" w:hAnsi="STSong" w:eastAsia="STSong"/>
          <w:b w:val="0"/>
          <w:sz w:val="22"/>
        </w:rPr>
        <w:t xml:space="preserve">关系重构只在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的条件下定义。令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表示原关系断裂后，中国供应商在长度为 </w:t>
      </w:r>
      <m:oMath>
        <m:r>
          <w:rPr>
            <w:rFonts w:ascii="Cambria Math" w:hAnsi="Cambria Math" w:eastAsia="Arial Unicode MS" w:cs="Cambria Math"/>
            <w:sz w:val="22"/>
          </w:rPr>
          <m:t>H</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的观察期内恢复原海外客户，或与其他海外客户建立新的供应关系；否则取0。若经验部分沿用 </w:t>
      </w:r>
      <m:oMath>
        <m:r>
          <m:rPr>
            <m:sty m:val="p"/>
          </m:rPr>
          <w:rPr>
            <w:rFonts w:ascii="Cambria Math" w:hAnsi="Cambria Math" w:eastAsia="Arial Unicode MS" w:cs="Cambria Math"/>
            <w:sz w:val="22"/>
          </w:rPr>
          <m:t>Refill</m:t>
        </m:r>
      </m:oMath>
      <w:r>
        <w:rPr>
          <w:rFonts w:ascii="STSong" w:hAnsi="STSong" w:eastAsia="STSong"/>
          <w:b w:val="0"/>
          <w:sz w:val="22"/>
        </w:rPr>
        <w:t xml:space="preserve"> 命名，则有 </w:t>
      </w:r>
      <m:oMath>
        <m:sSubSup>
          <m:sSubSupPr/>
          <m:e>
            <m:r>
              <m:rPr>
                <m:sty m:val="p"/>
              </m:rPr>
              <w:rPr>
                <w:rFonts w:ascii="Cambria Math" w:hAnsi="Cambria Math" w:eastAsia="Arial Unicode MS" w:cs="Cambria Math"/>
                <w:sz w:val="22"/>
              </w:rPr>
              <m:t>Refill</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r>
          <m:rPr>
            <m:sty m:val="p"/>
          </m:rPr>
          <w:rPr>
            <w:rFonts w:ascii="Cambria Math" w:hAnsi="Cambria Math" w:eastAsia="Arial Unicode MS" w:cs="Cambria Math"/>
            <w:sz w:val="22"/>
          </w:rPr>
          <m:t>≡</m:t>
        </m:r>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。这一设定将恢复原关系与形成替代关系统一为“断裂后至少获得一条有效海外客户关系”，从而与企业恢复供给能力的研究目的对应。</w:t>
      </w:r>
    </w:p>
    <w:p>
      <w:pPr/>
      <w:r>
        <w:rPr>
          <w:rFonts w:ascii="STSong" w:hAnsi="STSong" w:eastAsia="STSong"/>
          <w:b w:val="0"/>
          <w:sz w:val="22"/>
        </w:rPr>
        <w:t xml:space="preserve">关系断裂后，供应商选择搜寻努力 </w:t>
      </w:r>
      <m:oMath>
        <m:sSub>
          <m:sSubPr/>
          <m:e>
            <m:r>
              <w:rPr>
                <w:rFonts w:ascii="Cambria Math" w:hAnsi="Cambria Math" w:eastAsia="Arial Unicode MS" w:cs="Cambria Math"/>
                <w:sz w:val="22"/>
              </w:rPr>
              <m:t>e</m:t>
            </m:r>
          </m:e>
          <m:sub>
            <m:r>
              <w:rPr>
                <w:rFonts w:ascii="Cambria Math" w:hAnsi="Cambria Math" w:eastAsia="Arial Unicode MS" w:cs="Cambria Math"/>
                <w:sz w:val="22"/>
              </w:rPr>
              <m:t>i</m:t>
            </m:r>
          </m:sub>
        </m:sSub>
        <m:r>
          <m:rPr>
            <m:sty m:val="p"/>
          </m:rPr>
          <w:rPr>
            <w:rFonts w:ascii="Cambria Math" w:hAnsi="Cambria Math" w:eastAsia="Arial Unicode MS" w:cs="Cambria Math"/>
            <w:sz w:val="22"/>
          </w:rPr>
          <m:t>≥</m:t>
        </m:r>
        <m:r>
          <m:rPr>
            <m:sty m:val="p"/>
          </m:rPr>
          <w:rPr>
            <w:rFonts w:ascii="Cambria Math" w:hAnsi="Cambria Math" w:eastAsia="Arial Unicode MS" w:cs="Cambria Math"/>
            <w:sz w:val="22"/>
          </w:rPr>
          <m:t>0</m:t>
        </m:r>
      </m:oMath>
      <w:r>
        <w:rPr>
          <w:rFonts w:ascii="STSong" w:hAnsi="STSong" w:eastAsia="STSong"/>
          <w:b w:val="0"/>
          <w:sz w:val="22"/>
        </w:rPr>
        <w:t xml:space="preserve">。令 </w:t>
      </w:r>
      <m:oMath>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表示接触潜在海外客户的基础效率，</w:t>
      </w:r>
      <m:oMath>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 表示一次接触在技术上可转化为有效匹配的概率，则成功供应关系的到达强度为</w:t>
      </w:r>
    </w:p>
    <w:p>
      <w:pPr>
        <w:keepLines/>
        <w:tabs>
          <w:tab w:pos="4677" w:val="center"/>
          <w:tab w:pos="9354" w:val="right"/>
        </w:tabs>
        <w:spacing w:before="60" w:after="60" w:line="252" w:lineRule="auto"/>
        <w:ind w:firstLine="0"/>
        <w:jc w:val="left"/>
      </w:pPr>
      <w:r>
        <w:tab/>
      </w:r>
      <m:oMath>
        <m:sSub>
          <m:sSubPr/>
          <m:e>
            <m:r>
              <w:rPr>
                <w:rFonts w:ascii="Cambria Math" w:hAnsi="Cambria Math" w:eastAsia="Arial Unicode MS" w:cs="Cambria Math"/>
                <w:sz w:val="21"/>
              </w:rPr>
              <m:t>h</m:t>
            </m:r>
          </m:e>
          <m:sub>
            <m:r>
              <w:rPr>
                <w:rFonts w:ascii="Cambria Math" w:hAnsi="Cambria Math" w:eastAsia="Arial Unicode MS" w:cs="Cambria Math"/>
                <w:sz w:val="21"/>
              </w:rPr>
              <m:t>i</m:t>
            </m:r>
          </m:sub>
        </m:sSub>
        <m:r>
          <w:rPr>
            <w:rFonts w:ascii="Cambria Math" w:hAnsi="Cambria Math" w:eastAsia="Arial Unicode MS" w:cs="Cambria Math"/>
            <w:sz w:val="21"/>
          </w:rPr>
          <m:t>(</m:t>
        </m:r>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oMath>
      <w:r>
        <w:tab/>
      </w:r>
      <w:r>
        <w:rPr>
          <w:rFonts w:ascii="STSong" w:hAnsi="STSong" w:eastAsia="STSong"/>
          <w:sz w:val="21"/>
        </w:rPr>
        <w:t>(18)</w:t>
      </w:r>
    </w:p>
    <w:p>
      <w:pPr/>
      <w:r>
        <w:rPr>
          <w:rFonts w:ascii="STSong" w:hAnsi="STSong" w:eastAsia="STSong"/>
          <w:b w:val="0"/>
          <w:sz w:val="22"/>
        </w:rPr>
        <w:t>式（18）借鉴Ferrari和Pesaresi（2026）关于兼容对象范围决定替代速度的思想：搜寻努力决定接触数量，兼容概率决定接触转化为可行关系的比例。为了避免直接假设某一外生搜寻成本参数随标准变化，令达到既定搜寻努力所需的有效成本系数为</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num>
          <m:den>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2</m:t>
                </m:r>
              </m:sup>
            </m:sSup>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r>
          <w:rPr>
            <w:rFonts w:ascii="Cambria Math" w:hAnsi="Cambria Math" w:eastAsia="Arial Unicode MS" w:cs="Cambria Math"/>
            <w:sz w:val="21"/>
          </w:rPr>
          <m:t>&gt;</m:t>
        </m:r>
        <m:r>
          <m:rPr>
            <m:sty m:val="p"/>
          </m:rPr>
          <w:rPr>
            <w:rFonts w:ascii="Cambria Math" w:hAnsi="Cambria Math" w:eastAsia="Arial Unicode MS" w:cs="Cambria Math"/>
            <w:sz w:val="21"/>
          </w:rPr>
          <m:t>0</m:t>
        </m:r>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2</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&lt;</m:t>
        </m:r>
        <m:r>
          <m:rPr>
            <m:sty m:val="p"/>
          </m:rPr>
          <w:rPr>
            <w:rFonts w:ascii="Cambria Math" w:hAnsi="Cambria Math" w:eastAsia="Arial Unicode MS" w:cs="Cambria Math"/>
            <w:sz w:val="21"/>
          </w:rPr>
          <m:t>0</m:t>
        </m:r>
      </m:oMath>
      <w:r>
        <w:tab/>
      </w:r>
      <w:r>
        <w:rPr>
          <w:rFonts w:ascii="STSong" w:hAnsi="STSong" w:eastAsia="STSong"/>
          <w:sz w:val="21"/>
        </w:rPr>
        <w:t>(19)</w:t>
      </w:r>
    </w:p>
    <w:p>
      <w:pPr/>
      <w:r>
        <w:rPr>
          <w:rFonts w:ascii="STSong" w:hAnsi="STSong" w:eastAsia="STSong"/>
          <w:b w:val="0"/>
          <w:sz w:val="22"/>
        </w:rPr>
        <w:t xml:space="preserve">式（19）的含义是，技术规格和认证结果越能跨客户迁移，企业为筛选、验证并适配同等数量候选客户所需的资源越少。这里并未设定基础资源价格 </w:t>
      </w:r>
      <m:oMath>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oMath>
      <w:r>
        <w:rPr>
          <w:rFonts w:ascii="STSong" w:hAnsi="STSong" w:eastAsia="STSong"/>
          <w:b w:val="0"/>
          <w:sz w:val="22"/>
        </w:rPr>
        <w:t xml:space="preserve"> 随标准外生下降；有效搜寻成本下降完全由兼容性提高内生导出。式（18）与式（19）也不存在重复计量：前者刻画一次接触成为技术可行关系的成功率，后者刻画形成并验证一单位搜寻努力所需的资源成本，分别对应“接触转化”和“搜寻投入”两个边际。</w:t>
      </w:r>
    </w:p>
    <w:p>
      <w:pPr/>
      <w:r>
        <w:rPr>
          <w:rFonts w:ascii="STSong" w:hAnsi="STSong" w:eastAsia="STSong"/>
          <w:b w:val="0"/>
          <w:sz w:val="22"/>
        </w:rPr>
        <w:t xml:space="preserve">令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表示成功形成后续供应关系的资本化净收益，并假定在本机制比较静态中 </w:t>
      </w:r>
      <m:oMath>
        <m:sSub>
          <m:sSubPr/>
          <m:e>
            <m:r>
              <m:rPr>
                <m:sty m:val="p"/>
              </m:rPr>
              <w:rPr>
                <w:rFonts w:ascii="Cambria Math" w:hAnsi="Cambria Math" w:eastAsia="Arial Unicode MS" w:cs="Cambria Math"/>
                <w:sz w:val="22"/>
              </w:rPr>
              <m:t>λ</m:t>
            </m:r>
          </m:e>
          <m:sub>
            <m:r>
              <w:rPr>
                <w:rFonts w:ascii="Cambria Math" w:hAnsi="Cambria Math" w:eastAsia="Arial Unicode MS" w:cs="Cambria Math"/>
                <w:sz w:val="22"/>
              </w:rPr>
              <m:t>i</m:t>
            </m:r>
          </m:sub>
        </m:sSub>
      </m:oMath>
      <w:r>
        <w:rPr>
          <w:rFonts w:ascii="STSong" w:hAnsi="STSong" w:eastAsia="STSong"/>
          <w:b w:val="0"/>
          <w:sz w:val="22"/>
        </w:rPr>
        <w:t>、</w:t>
      </w:r>
      <m:oMath>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oMath>
      <w:r>
        <w:rPr>
          <w:rFonts w:ascii="STSong" w:hAnsi="STSong" w:eastAsia="STSong"/>
          <w:b w:val="0"/>
          <w:sz w:val="22"/>
        </w:rPr>
        <w:t xml:space="preserve"> 与 </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oMath>
      <w:r>
        <w:rPr>
          <w:rFonts w:ascii="STSong" w:hAnsi="STSong" w:eastAsia="STSong"/>
          <w:b w:val="0"/>
          <w:sz w:val="22"/>
        </w:rPr>
        <w:t xml:space="preserve"> 不随 </w:t>
      </w:r>
      <m:oMath>
        <m:r>
          <m:rPr>
            <m:sty m:val="p"/>
          </m:rPr>
          <w:rPr>
            <w:rFonts w:ascii="Cambria Math" w:hAnsi="Cambria Math" w:eastAsia="Arial Unicode MS" w:cs="Cambria Math"/>
            <w:sz w:val="22"/>
          </w:rPr>
          <m:t>τ</m:t>
        </m:r>
      </m:oMath>
      <w:r>
        <w:rPr>
          <w:rFonts w:ascii="STSong" w:hAnsi="STSong" w:eastAsia="STSong"/>
          <w:b w:val="0"/>
          <w:sz w:val="22"/>
        </w:rPr>
        <w:t xml:space="preserve"> 变化。供应商的搜寻成本为 </w:t>
      </w:r>
      <m:oMath>
        <m:sSub>
          <m:sSubPr/>
          <m:e>
            <m:r>
              <m:rPr>
                <m:sty m:val="p"/>
              </m:rPr>
              <w:rPr>
                <w:rFonts w:ascii="Cambria Math" w:hAnsi="Cambria Math" w:eastAsia="Arial Unicode MS" w:cs="Cambria Math"/>
                <w:sz w:val="22"/>
              </w:rPr>
              <m:t>κ</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sSubSup>
          <m:sSubSupPr/>
          <m:e>
            <m:r>
              <w:rPr>
                <w:rFonts w:ascii="Cambria Math" w:hAnsi="Cambria Math" w:eastAsia="Arial Unicode MS" w:cs="Cambria Math"/>
                <w:sz w:val="22"/>
              </w:rPr>
              <m:t>e</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2</m:t>
            </m:r>
          </m:sup>
        </m:sSubSup>
        <m:r>
          <w:rPr>
            <w:rFonts w:ascii="Cambria Math" w:hAnsi="Cambria Math" w:eastAsia="Arial Unicode MS" w:cs="Cambria Math"/>
            <w:sz w:val="22"/>
          </w:rPr>
          <m:t>/</m:t>
        </m:r>
        <m:r>
          <m:rPr>
            <m:sty m:val="p"/>
          </m:rPr>
          <w:rPr>
            <w:rFonts w:ascii="Cambria Math" w:hAnsi="Cambria Math" w:eastAsia="Arial Unicode MS" w:cs="Cambria Math"/>
            <w:sz w:val="22"/>
          </w:rPr>
          <m:t>2</m:t>
        </m:r>
      </m:oMath>
      <w:r>
        <w:rPr>
          <w:rFonts w:ascii="STSong" w:hAnsi="STSong" w:eastAsia="STSong"/>
          <w:b w:val="0"/>
          <w:sz w:val="22"/>
        </w:rPr>
        <w:t>，因而选择</w:t>
      </w:r>
    </w:p>
    <w:p>
      <w:pPr>
        <w:keepLines/>
        <w:tabs>
          <w:tab w:pos="4677" w:val="center"/>
          <w:tab w:pos="9354" w:val="right"/>
        </w:tabs>
        <w:spacing w:before="60" w:after="60" w:line="252" w:lineRule="auto"/>
        <w:ind w:firstLine="0"/>
        <w:jc w:val="left"/>
      </w:pPr>
      <w:r>
        <w:tab/>
      </w:r>
      <m:oMath>
        <m:sSub>
          <m:sSubPr/>
          <m:e>
            <m:r>
              <m:rPr>
                <m:sty m:val="p"/>
              </m:rPr>
              <w:rPr>
                <w:rFonts w:ascii="Cambria Math" w:hAnsi="Cambria Math" w:eastAsia="Arial Unicode MS" w:cs="Cambria Math"/>
                <w:sz w:val="21"/>
              </w:rPr>
              <m:t>max</m:t>
            </m:r>
          </m:e>
          <m: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m:t>
            </m:r>
            <m:r>
              <m:rPr>
                <m:sty m:val="p"/>
              </m:rPr>
              <w:rPr>
                <w:rFonts w:ascii="Cambria Math" w:hAnsi="Cambria Math" w:eastAsia="Arial Unicode MS" w:cs="Cambria Math"/>
                <w:sz w:val="21"/>
              </w:rPr>
              <m:t>0</m:t>
            </m:r>
          </m:sub>
        </m:sSub>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
          <m:sSubPr/>
          <m:e>
            <m:r>
              <w:rPr>
                <w:rFonts w:ascii="Cambria Math" w:hAnsi="Cambria Math" w:eastAsia="Arial Unicode MS" w:cs="Cambria Math"/>
                <w:sz w:val="21"/>
              </w:rPr>
              <m:t>e</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f>
          <m:fPr/>
          <m:num>
            <m:r>
              <m:rPr>
                <m:sty m:val="p"/>
              </m:rPr>
              <w:rPr>
                <w:rFonts w:ascii="Cambria Math" w:hAnsi="Cambria Math" w:eastAsia="Arial Unicode MS" w:cs="Cambria Math"/>
                <w:sz w:val="21"/>
              </w:rPr>
              <m:t>1</m:t>
            </m:r>
          </m:num>
          <m:den>
            <m:r>
              <m:rPr>
                <m:sty m:val="p"/>
              </m:rPr>
              <w:rPr>
                <w:rFonts w:ascii="Cambria Math" w:hAnsi="Cambria Math" w:eastAsia="Arial Unicode MS" w:cs="Cambria Math"/>
                <w:sz w:val="21"/>
              </w:rPr>
              <m:t>2</m:t>
            </m:r>
          </m:den>
        </m:f>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m:rPr>
            <m:sty m:val="p"/>
          </m:rPr>
          <w:rPr>
            <w:rFonts w:ascii="Cambria Math" w:hAnsi="Cambria Math" w:eastAsia="Arial Unicode MS" w:cs="Cambria Math"/>
            <w:sz w:val="21"/>
          </w:rPr>
          <m:t>}</m:t>
        </m:r>
      </m:oMath>
      <w:r>
        <w:tab/>
      </w:r>
      <w:r>
        <w:rPr>
          <w:rFonts w:ascii="STSong" w:hAnsi="STSong" w:eastAsia="STSong"/>
          <w:sz w:val="21"/>
        </w:rPr>
        <w:t>(20)</w:t>
      </w:r>
    </w:p>
    <w:p>
      <w:pPr/>
      <w:r>
        <w:rPr>
          <w:rFonts w:ascii="STSong" w:hAnsi="STSong" w:eastAsia="STSong"/>
          <w:b w:val="0"/>
          <w:sz w:val="22"/>
        </w:rPr>
        <w:t>目标函数严格凹，一阶条件给出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num>
          <m:den>
            <m:sSub>
              <m:sSubPr/>
              <m:e>
                <m:r>
                  <m:rPr>
                    <m:sty m:val="p"/>
                  </m:rPr>
                  <w:rPr>
                    <w:rFonts w:ascii="Cambria Math" w:hAnsi="Cambria Math" w:eastAsia="Arial Unicode MS" w:cs="Cambria Math"/>
                    <w:sz w:val="21"/>
                  </w:rPr>
                  <m:t>κ</m:t>
                </m:r>
              </m:e>
              <m:sub>
                <m:r>
                  <w:rPr>
                    <w:rFonts w:ascii="Cambria Math" w:hAnsi="Cambria Math" w:eastAsia="Arial Unicode MS" w:cs="Cambria Math"/>
                    <w:sz w:val="21"/>
                  </w:rPr>
                  <m:t>i</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den>
        </m:f>
        <m:r>
          <w:rPr>
            <w:rFonts w:ascii="Cambria Math" w:hAnsi="Cambria Math" w:eastAsia="Arial Unicode MS" w:cs="Cambria Math"/>
            <w:sz w:val="21"/>
          </w:rPr>
          <m:t>=</m:t>
        </m:r>
        <m:f>
          <m:fPr/>
          <m:num>
            <m:sSub>
              <m:sSub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Sub>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3</m:t>
                </m:r>
              </m:sup>
            </m:sSup>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e</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3</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(21)</w:t>
      </w:r>
    </w:p>
    <w:p>
      <w:pPr/>
      <w:r>
        <w:rPr>
          <w:rFonts w:ascii="STSong" w:hAnsi="STSong" w:eastAsia="STSong"/>
          <w:b w:val="0"/>
          <w:sz w:val="22"/>
        </w:rPr>
        <w:t>将式（21）代入式（18），最优成功关系到达强度为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m:rPr>
                    <m:sty m:val="p"/>
                  </m:rPr>
                  <w:rPr>
                    <w:rFonts w:ascii="Cambria Math" w:hAnsi="Cambria Math" w:eastAsia="Arial Unicode MS" w:cs="Cambria Math"/>
                    <w:sz w:val="21"/>
                  </w:rPr>
                  <m:t>λ</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2</m:t>
                </m:r>
              </m:sup>
            </m:sSubSup>
            <m:r>
              <m:rPr>
                <m:sty m:val="p"/>
              </m:rPr>
              <w:rPr>
                <w:rFonts w:ascii="Cambria Math" w:hAnsi="Cambria Math" w:eastAsia="Arial Unicode MS" w:cs="Cambria Math"/>
                <w:sz w:val="21"/>
              </w:rPr>
              <m:t>Δ</m:t>
            </m:r>
            <m:sSub>
              <m:sSubPr/>
              <m:e>
                <m:r>
                  <w:rPr>
                    <w:rFonts w:ascii="Cambria Math" w:hAnsi="Cambria Math" w:eastAsia="Arial Unicode MS" w:cs="Cambria Math"/>
                    <w:sz w:val="21"/>
                  </w:rPr>
                  <m:t>V</m:t>
                </m:r>
              </m:e>
              <m:sub>
                <m:r>
                  <w:rPr>
                    <w:rFonts w:ascii="Cambria Math" w:hAnsi="Cambria Math" w:eastAsia="Arial Unicode MS" w:cs="Cambria Math"/>
                    <w:sz w:val="21"/>
                  </w:rPr>
                  <m:t>i</m:t>
                </m:r>
              </m:sub>
            </m:sSub>
            <m:r>
              <w:rPr>
                <w:rFonts w:ascii="Cambria Math" w:hAnsi="Cambria Math" w:eastAsia="Arial Unicode MS" w:cs="Cambria Math"/>
                <w:sz w:val="21"/>
              </w:rPr>
              <m:t>(</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sSup>
              <m:sSupPr/>
              <m:e>
                <m:r>
                  <w:rPr>
                    <w:rFonts w:ascii="Cambria Math" w:hAnsi="Cambria Math" w:eastAsia="Arial Unicode MS" w:cs="Cambria Math"/>
                    <w:sz w:val="21"/>
                  </w:rPr>
                  <m:t>)</m:t>
                </m:r>
              </m:e>
              <m:sup>
                <m:r>
                  <m:rPr>
                    <m:sty m:val="p"/>
                  </m:rPr>
                  <w:rPr>
                    <w:rFonts w:ascii="Cambria Math" w:hAnsi="Cambria Math" w:eastAsia="Arial Unicode MS" w:cs="Cambria Math"/>
                    <w:sz w:val="21"/>
                  </w:rPr>
                  <m:t>4</m:t>
                </m:r>
              </m:sup>
            </m:sSup>
          </m:num>
          <m:den>
            <m:sSub>
              <m:sSubPr/>
              <m:e>
                <m:r>
                  <w:rPr>
                    <w:rFonts w:ascii="Cambria Math" w:hAnsi="Cambria Math" w:eastAsia="Arial Unicode MS" w:cs="Cambria Math"/>
                    <w:sz w:val="21"/>
                  </w:rPr>
                  <m:t>c</m:t>
                </m:r>
              </m:e>
              <m:sub>
                <m:r>
                  <w:rPr>
                    <w:rFonts w:ascii="Cambria Math" w:hAnsi="Cambria Math" w:eastAsia="Arial Unicode MS" w:cs="Cambria Math"/>
                    <w:sz w:val="21"/>
                  </w:rPr>
                  <m:t>i</m:t>
                </m:r>
              </m:sub>
            </m:sSub>
          </m:den>
        </m:f>
        <m:r>
          <w:rPr>
            <w:rFonts w:ascii="Cambria Math" w:hAnsi="Cambria Math" w:eastAsia="Arial Unicode MS" w:cs="Cambria Math"/>
            <w:sz w:val="21"/>
          </w:rPr>
          <m:t>,</m:t>
        </m:r>
        <m:r>
          <m:rPr>
            <m:sty m:val="p"/>
          </m:rPr>
          <w:rPr>
            <w:rFonts w:ascii="Cambria Math" w:hAnsi="Cambria Math" w:eastAsia="Arial Unicode MS" w:cs="Cambria Math"/>
            <w:sz w:val="21"/>
          </w:rPr>
          <m:t xml:space="preserve">  </m:t>
        </m:r>
        <m:f>
          <m:fPr/>
          <m:num>
            <m:r>
              <w:rPr>
                <w:rFonts w:ascii="Cambria Math" w:hAnsi="Cambria Math" w:eastAsia="Arial Unicode MS" w:cs="Cambria Math"/>
                <w:sz w:val="21"/>
              </w:rPr>
              <m:t>d</m:t>
            </m:r>
            <m:r>
              <m:rPr>
                <m:sty m:val="p"/>
              </m:rPr>
              <w:rPr>
                <w:rFonts w:ascii="Cambria Math" w:hAnsi="Cambria Math" w:eastAsia="Arial Unicode MS" w:cs="Cambria Math"/>
                <w:sz w:val="21"/>
              </w:rPr>
              <m:t>ln</m:t>
            </m:r>
            <m:sSubSup>
              <m:sSubSupPr/>
              <m:e>
                <m:r>
                  <w:rPr>
                    <w:rFonts w:ascii="Cambria Math" w:hAnsi="Cambria Math" w:eastAsia="Arial Unicode MS" w:cs="Cambria Math"/>
                    <w:sz w:val="21"/>
                  </w:rPr>
                  <m:t>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4</m:t>
        </m:r>
        <m:f>
          <m:fPr/>
          <m:num>
            <m:r>
              <m:rPr>
                <m:sty m:val="p"/>
              </m:rPr>
              <w:rPr>
                <w:rFonts w:ascii="Cambria Math" w:hAnsi="Cambria Math" w:eastAsia="Arial Unicode MS" w:cs="Cambria Math"/>
                <w:sz w:val="21"/>
              </w:rPr>
              <m:t>1</m:t>
            </m:r>
          </m:num>
          <m:den>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den>
        </m:f>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φ</m:t>
                </m:r>
              </m:e>
              <m:sub>
                <m:r>
                  <w:rPr>
                    <w:rFonts w:ascii="Cambria Math" w:hAnsi="Cambria Math" w:eastAsia="Arial Unicode MS" w:cs="Cambria Math"/>
                    <w:sz w:val="21"/>
                  </w:rPr>
                  <m:t>i</m:t>
                </m:r>
              </m:sub>
              <m:sup>
                <m:r>
                  <m:rPr>
                    <m:sty m:val="p"/>
                  </m:rPr>
                  <w:rPr>
                    <w:rFonts w:ascii="Cambria Math" w:hAnsi="Cambria Math" w:eastAsia="Arial Unicode MS" w:cs="Cambria Math"/>
                    <w:sz w:val="21"/>
                  </w:rPr>
                  <m:t>τ</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(22)</w:t>
      </w:r>
    </w:p>
    <w:p>
      <w:pPr/>
      <w:r>
        <w:rPr>
          <w:rFonts w:ascii="STSong" w:hAnsi="STSong" w:eastAsia="STSong"/>
          <w:b w:val="0"/>
          <w:sz w:val="22"/>
        </w:rPr>
        <w:t>式（21）—式（22）表明，标准国际化提高技术兼容性后，一方面降低单位有效搜寻努力的验证和适配成本，激励企业增加搜寻；另一方面提高每次接触转化为可行交易关系的概率，最终提高有效关系到达率。</w:t>
      </w:r>
    </w:p>
    <w:p>
      <w:pPr>
        <w:pStyle w:val="Heading2"/>
      </w:pPr>
      <w:r>
        <w:rPr>
          <w:rFonts w:ascii="Hiragino Sans GB" w:hAnsi="Hiragino Sans GB" w:eastAsia="Hiragino Sans GB"/>
          <w:b/>
          <w:sz w:val="24"/>
        </w:rPr>
        <w:t>2. 重构概率与命题3</w:t>
      </w:r>
    </w:p>
    <w:p>
      <w:pPr/>
      <w:r>
        <w:rPr>
          <w:rFonts w:ascii="STSong" w:hAnsi="STSong" w:eastAsia="STSong"/>
          <w:b w:val="0"/>
          <w:sz w:val="22"/>
        </w:rPr>
        <w:t xml:space="preserve">若成功关系按强度 </w:t>
      </w:r>
      <m:oMath>
        <m:sSubSup>
          <m:sSubSupPr/>
          <m:e>
            <m:r>
              <w:rPr>
                <w:rFonts w:ascii="Cambria Math" w:hAnsi="Cambria Math" w:eastAsia="Arial Unicode MS" w:cs="Cambria Math"/>
                <w:sz w:val="22"/>
              </w:rPr>
              <m:t>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oMath>
      <w:r>
        <w:rPr>
          <w:rFonts w:ascii="STSong" w:hAnsi="STSong" w:eastAsia="STSong"/>
          <w:b w:val="0"/>
          <w:sz w:val="22"/>
        </w:rPr>
        <w:t xml:space="preserve"> 的泊松过程到达，则观察期 </w:t>
      </w:r>
      <m:oMath>
        <m:r>
          <w:rPr>
            <w:rFonts w:ascii="Cambria Math" w:hAnsi="Cambria Math" w:eastAsia="Arial Unicode MS" w:cs="Cambria Math"/>
            <w:sz w:val="22"/>
          </w:rPr>
          <m:t>H</m:t>
        </m:r>
      </m:oMath>
      <w:r>
        <w:rPr>
          <w:rFonts w:ascii="STSong" w:hAnsi="STSong" w:eastAsia="STSong"/>
          <w:b w:val="0"/>
          <w:sz w:val="22"/>
        </w:rPr>
        <w:t xml:space="preserve"> 内至少形成一条后续海外客户关系的条件概率为</w:t>
      </w:r>
    </w:p>
    <w:p>
      <w:pPr>
        <w:keepLines/>
        <w:tabs>
          <w:tab w:pos="4677" w:val="center"/>
          <w:tab w:pos="9354" w:val="right"/>
        </w:tabs>
        <w:spacing w:before="60" w:after="60" w:line="252" w:lineRule="auto"/>
        <w:ind w:firstLine="0"/>
        <w:jc w:val="left"/>
      </w:pPr>
      <w:r>
        <w:tab/>
      </w:r>
      <m:oMath>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m:rPr>
            <m:sty m:val="p"/>
          </m:rPr>
          <w:rPr>
            <w:rFonts w:ascii="Cambria Math" w:hAnsi="Cambria Math" w:eastAsia="Arial Unicode MS" w:cs="Cambria Math"/>
            <w:sz w:val="21"/>
          </w:rPr>
          <m:t>≡</m:t>
        </m:r>
        <m:r>
          <m:rPr>
            <m:sty m:val="p"/>
          </m:rPr>
          <w:rPr>
            <w:rFonts w:ascii="Cambria Math" w:hAnsi="Cambria Math" w:eastAsia="Arial Unicode MS" w:cs="Cambria Math"/>
            <w:sz w:val="21"/>
          </w:rPr>
          <m:t>Pr</m:t>
        </m:r>
        <m:r>
          <w:rPr>
            <w:rFonts w:ascii="Cambria Math" w:hAnsi="Cambria Math" w:eastAsia="Arial Unicode MS" w:cs="Cambria Math"/>
            <w:sz w:val="21"/>
          </w:rPr>
          <m:t>(</m:t>
        </m:r>
        <m:sSubSup>
          <m:sSubSupPr/>
          <m:e>
            <m:r>
              <m:rPr>
                <m:sty m:val="p"/>
              </m:rPr>
              <w:rPr>
                <w:rFonts w:ascii="Cambria Math" w:hAnsi="Cambria Math" w:eastAsia="Arial Unicode MS" w:cs="Cambria Math"/>
                <w:sz w:val="21"/>
              </w:rPr>
              <m:t>Reconstruct</m:t>
            </m:r>
          </m:e>
          <m:sub>
            <m:r>
              <w:rPr>
                <w:rFonts w:ascii="Cambria Math" w:hAnsi="Cambria Math" w:eastAsia="Arial Unicode MS" w:cs="Cambria Math"/>
                <w:sz w:val="21"/>
              </w:rPr>
              <m:t>ijcst</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1</m:t>
        </m:r>
        <m:r>
          <m:rPr>
            <m:sty m:val="p"/>
          </m:rPr>
          <w:rPr>
            <w:rFonts w:ascii="Cambria Math" w:hAnsi="Cambria Math" w:eastAsia="Arial Unicode MS" w:cs="Cambria Math"/>
            <w:sz w:val="21"/>
          </w:rPr>
          <m:t>|</m:t>
        </m:r>
        <m:sSub>
          <m:sSubPr/>
          <m:e>
            <m:r>
              <m:rPr>
                <m:sty m:val="p"/>
              </m:rPr>
              <w:rPr>
                <w:rFonts w:ascii="Cambria Math" w:hAnsi="Cambria Math" w:eastAsia="Arial Unicode MS" w:cs="Cambria Math"/>
                <w:sz w:val="21"/>
              </w:rPr>
              <m:t>Break</m:t>
            </m:r>
          </m:e>
          <m:sub>
            <m:r>
              <w:rPr>
                <w:rFonts w:ascii="Cambria Math" w:hAnsi="Cambria Math" w:eastAsia="Arial Unicode MS" w:cs="Cambria Math"/>
                <w:sz w:val="21"/>
              </w:rPr>
              <m:t>ijcst</m:t>
            </m:r>
          </m:sub>
        </m:sSub>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(23)</w:t>
      </w:r>
    </w:p>
    <w:p>
      <w:pPr/>
      <w:r>
        <w:rPr>
          <w:rFonts w:ascii="STSong" w:hAnsi="STSong" w:eastAsia="STSong"/>
          <w:b/>
          <w:sz w:val="22"/>
        </w:rPr>
        <w:t>命题3（搜寻成本与关系重构机制）。</w:t>
      </w:r>
      <w:r>
        <w:rPr>
          <w:rFonts w:ascii="STSong" w:hAnsi="STSong" w:eastAsia="STSong"/>
          <w:b w:val="0"/>
          <w:sz w:val="22"/>
        </w:rPr>
        <w:t xml:space="preserve"> 在 </w:t>
      </w:r>
      <m:oMath>
        <m:r>
          <w:rPr>
            <w:rFonts w:ascii="Cambria Math" w:hAnsi="Cambria Math" w:eastAsia="Arial Unicode MS" w:cs="Cambria Math"/>
            <w:sz w:val="22"/>
          </w:rPr>
          <m:t>d</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w:t>
      </w:r>
      <m:oMath>
        <m:r>
          <m:rPr>
            <m:sty m:val="p"/>
          </m:rPr>
          <w:rPr>
            <w:rFonts w:ascii="Cambria Math" w:hAnsi="Cambria Math" w:eastAsia="Arial Unicode MS" w:cs="Cambria Math"/>
            <w:sz w:val="22"/>
          </w:rPr>
          <m:t>Δ</m:t>
        </m:r>
        <m:sSub>
          <m:sSubPr/>
          <m:e>
            <m:r>
              <w:rPr>
                <w:rFonts w:ascii="Cambria Math" w:hAnsi="Cambria Math" w:eastAsia="Arial Unicode MS" w:cs="Cambria Math"/>
                <w:sz w:val="22"/>
              </w:rPr>
              <m:t>V</m:t>
            </m:r>
          </m:e>
          <m:sub>
            <m:r>
              <w:rPr>
                <w:rFonts w:ascii="Cambria Math" w:hAnsi="Cambria Math" w:eastAsia="Arial Unicode MS" w:cs="Cambria Math"/>
                <w:sz w:val="22"/>
              </w:rPr>
              <m:t>i</m:t>
            </m:r>
          </m:sub>
        </m:sSub>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 xml:space="preserve"> 且搜寻问题满足内点解时，标准国际化通过提高技术兼容性、降低有效搜寻成本并提高匹配到达率，增加既有供应关系断裂后恢复原客户或建立替代海外客户关系的条件概率。</w:t>
      </w:r>
    </w:p>
    <w:p>
      <w:pPr/>
      <w:r>
        <w:rPr>
          <w:rFonts w:ascii="STSong" w:hAnsi="STSong" w:eastAsia="STSong"/>
          <w:b/>
          <w:sz w:val="22"/>
        </w:rPr>
        <w:t>证明。</w:t>
      </w:r>
      <w:r>
        <w:rPr>
          <w:rFonts w:ascii="STSong" w:hAnsi="STSong" w:eastAsia="STSong"/>
          <w:b w:val="0"/>
          <w:sz w:val="22"/>
        </w:rPr>
        <w:t xml:space="preserve"> 由式（22）有 </w:t>
      </w:r>
      <m:oMath>
        <m:sSubSup>
          <m:sSubSupPr/>
          <m:e>
            <m:r>
              <w:rPr>
                <w:rFonts w:ascii="Cambria Math" w:hAnsi="Cambria Math" w:eastAsia="Arial Unicode MS" w:cs="Cambria Math"/>
                <w:sz w:val="22"/>
              </w:rPr>
              <m:t>dh</m:t>
            </m:r>
          </m:e>
          <m:sub>
            <m:r>
              <w:rPr>
                <w:rFonts w:ascii="Cambria Math" w:hAnsi="Cambria Math" w:eastAsia="Arial Unicode MS" w:cs="Cambria Math"/>
                <w:sz w:val="22"/>
              </w:rPr>
              <m:t>i</m:t>
            </m:r>
          </m:sub>
          <m:sup>
            <m:r>
              <w:rPr>
                <w:rFonts w:ascii="Cambria Math" w:hAnsi="Cambria Math" w:eastAsia="Arial Unicode MS" w:cs="Cambria Math"/>
                <w:sz w:val="22"/>
              </w:rPr>
              <m:t>*</m:t>
            </m:r>
          </m:sup>
        </m:sSubSup>
        <m:r>
          <w:rPr>
            <w:rFonts w:ascii="Cambria Math" w:hAnsi="Cambria Math" w:eastAsia="Arial Unicode MS" w:cs="Cambria Math"/>
            <w:sz w:val="22"/>
          </w:rPr>
          <m:t>/</m:t>
        </m:r>
        <m:r>
          <w:rPr>
            <w:rFonts w:ascii="Cambria Math" w:hAnsi="Cambria Math" w:eastAsia="Arial Unicode MS" w:cs="Cambria Math"/>
            <w:sz w:val="22"/>
          </w:rPr>
          <m:t>d</m:t>
        </m:r>
        <m:r>
          <m:rPr>
            <m:sty m:val="p"/>
          </m:rPr>
          <w:rPr>
            <w:rFonts w:ascii="Cambria Math" w:hAnsi="Cambria Math" w:eastAsia="Arial Unicode MS" w:cs="Cambria Math"/>
            <w:sz w:val="22"/>
          </w:rPr>
          <m:t>τ</m:t>
        </m:r>
        <m:r>
          <w:rPr>
            <w:rFonts w:ascii="Cambria Math" w:hAnsi="Cambria Math" w:eastAsia="Arial Unicode MS" w:cs="Cambria Math"/>
            <w:sz w:val="22"/>
          </w:rPr>
          <m:t>&gt;</m:t>
        </m:r>
        <m:r>
          <m:rPr>
            <m:sty m:val="p"/>
          </m:rPr>
          <w:rPr>
            <w:rFonts w:ascii="Cambria Math" w:hAnsi="Cambria Math" w:eastAsia="Arial Unicode MS" w:cs="Cambria Math"/>
            <w:sz w:val="22"/>
          </w:rPr>
          <m:t>0</m:t>
        </m:r>
      </m:oMath>
      <w:r>
        <w:rPr>
          <w:rFonts w:ascii="STSong" w:hAnsi="STSong" w:eastAsia="STSong"/>
          <w:b w:val="0"/>
          <w:sz w:val="22"/>
        </w:rPr>
        <w:t>。对式（23）求导可得</w:t>
      </w:r>
    </w:p>
    <w:p>
      <w:pPr>
        <w:keepLines/>
        <w:tabs>
          <w:tab w:pos="4677" w:val="center"/>
          <w:tab w:pos="9354" w:val="right"/>
        </w:tabs>
        <w:spacing w:before="60" w:after="60" w:line="252" w:lineRule="auto"/>
        <w:ind w:firstLine="0"/>
        <w:jc w:val="left"/>
      </w:pPr>
      <w:r>
        <w:tab/>
      </w:r>
      <m:oMath>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H</m:t>
        </m:r>
        <m:r>
          <m:rPr>
            <m:sty m:val="p"/>
          </m:rPr>
          <w:rPr>
            <w:rFonts w:ascii="Cambria Math" w:hAnsi="Cambria Math" w:eastAsia="Arial Unicode MS" w:cs="Cambria Math"/>
            <w:sz w:val="21"/>
          </w:rPr>
          <m:t>exp</m:t>
        </m:r>
        <m:r>
          <w:rPr>
            <w:rFonts w:ascii="Cambria Math" w:hAnsi="Cambria Math" w:eastAsia="Arial Unicode MS" w:cs="Cambria Math"/>
            <w:sz w:val="21"/>
          </w:rPr>
          <m:t>[</m:t>
        </m:r>
        <m:r>
          <w:rPr>
            <w:rFonts w:ascii="Cambria Math" w:hAnsi="Cambria Math" w:eastAsia="Arial Unicode MS" w:cs="Cambria Math"/>
            <w:sz w:val="21"/>
          </w:rPr>
          <m:t>-</m:t>
        </m:r>
        <m:sSubSup>
          <m:sSubSupPr/>
          <m:e>
            <m:r>
              <w:rPr>
                <w:rFonts w:ascii="Cambria Math" w:hAnsi="Cambria Math" w:eastAsia="Arial Unicode MS" w:cs="Cambria Math"/>
                <w:sz w:val="21"/>
              </w:rPr>
              <m:t>Hh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f>
          <m:fPr/>
          <m:num>
            <m:sSubSup>
              <m:sSubSupPr/>
              <m:e>
                <m:r>
                  <w:rPr>
                    <w:rFonts w:ascii="Cambria Math" w:hAnsi="Cambria Math" w:eastAsia="Arial Unicode MS" w:cs="Cambria Math"/>
                    <w:sz w:val="21"/>
                  </w:rPr>
                  <m:t>dh</m:t>
                </m:r>
              </m:e>
              <m:sub>
                <m:r>
                  <w:rPr>
                    <w:rFonts w:ascii="Cambria Math" w:hAnsi="Cambria Math" w:eastAsia="Arial Unicode MS" w:cs="Cambria Math"/>
                    <w:sz w:val="21"/>
                  </w:rPr>
                  <m:t>i</m:t>
                </m:r>
              </m:sub>
              <m:sup>
                <m:r>
                  <w:rPr>
                    <w:rFonts w:ascii="Cambria Math" w:hAnsi="Cambria Math" w:eastAsia="Arial Unicode MS" w:cs="Cambria Math"/>
                    <w:sz w:val="21"/>
                  </w:rPr>
                  <m:t>*</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(24)</w:t>
      </w:r>
    </w:p>
    <w:p>
      <w:pPr/>
      <w:r>
        <w:rPr>
          <w:rFonts w:ascii="STSong" w:hAnsi="STSong" w:eastAsia="STSong"/>
          <w:b w:val="0"/>
          <w:sz w:val="22"/>
        </w:rPr>
        <w:t>命题得证。</w:t>
      </w:r>
    </w:p>
    <w:p>
      <w:pPr/>
      <w:r>
        <w:rPr>
          <w:rFonts w:ascii="STSong" w:hAnsi="STSong" w:eastAsia="STSong"/>
          <w:b w:val="0"/>
          <w:sz w:val="22"/>
        </w:rPr>
        <w:t xml:space="preserve">命题3的经济含义是，恢复力不是既有关系稳定性的另一种表述，而是关系已经断裂后重新获得交易连接的条件能力。标准国际化使产品规格、检测结果和质量信息更容易在不同海外客户之间迁移，减少重复认证和重新设计，进而缩短匹配等待时间并扩大可行替代范围。经验检验必须把样本限定为 </w:t>
      </w:r>
      <m:oMath>
        <m:r>
          <m:rPr>
            <m:sty m:val="p"/>
          </m:rPr>
          <w:rPr>
            <w:rFonts w:ascii="Cambria Math" w:hAnsi="Cambria Math" w:eastAsia="Arial Unicode MS" w:cs="Cambria Math"/>
            <w:sz w:val="22"/>
          </w:rPr>
          <m:t>Break</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的关系，再考察行业标准国际化对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 xml:space="preserve"> 的影响；不能把未发生断裂的关系编码为重构失败。</w:t>
      </w:r>
    </w:p>
    <w:p>
      <w:pPr>
        <w:pStyle w:val="Hypothesis"/>
        <w:shd w:fill="F3F5F7"/>
        <w:pBdr>
          <w:left w:val="single" w:sz="14" w:space="8" w:color="243B53"/>
        </w:pBdr>
      </w:pPr>
      <w:r>
        <w:rPr>
          <w:rFonts w:ascii="STSong" w:hAnsi="STSong" w:eastAsia="STSong"/>
          <w:b/>
          <w:sz w:val="21"/>
        </w:rPr>
        <w:t>研究假说H2：在既有跨国供应关系已经断裂的条件下，行业标准国际化能够显著提高中国企业恢复原海外客户或建立替代海外客户关系的概率，即提高跨国供应链恢复力。</w:t>
      </w:r>
    </w:p>
    <w:p>
      <w:pPr/>
      <w:r>
        <w:rPr>
          <w:rFonts w:ascii="STSong" w:hAnsi="STSong" w:eastAsia="STSong"/>
          <w:b w:val="0"/>
          <w:sz w:val="22"/>
        </w:rPr>
        <w:t xml:space="preserve">搜寻成本机制可使用断裂发生后至首条后续关系建立的等待时间作为反向指标，并可使用断裂前已经形成的国际认证覆盖、海外市场覆盖和国际信息渠道作为替代代理。新客户数量本身属于重构结果，不宜再作为搜寻成本的机制变量。若使用等待时间，应将其作为持续时间结果或补充因变量，而不是与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 xml:space="preserve"> 同时机械放入同一回归。</w:t>
      </w:r>
    </w:p>
    <w:p>
      <w:pPr>
        <w:pStyle w:val="Heading1"/>
      </w:pPr>
      <w:r>
        <w:rPr>
          <w:rFonts w:ascii="Hiragino Sans GB" w:hAnsi="Hiragino Sans GB" w:eastAsia="Hiragino Sans GB"/>
          <w:b/>
          <w:sz w:val="28"/>
        </w:rPr>
        <w:t>（五）抵抗力与恢复力的统一</w:t>
      </w:r>
    </w:p>
    <w:p>
      <w:pPr/>
      <w:r>
        <w:rPr>
          <w:rFonts w:ascii="STSong" w:hAnsi="STSong" w:eastAsia="STSong"/>
          <w:b w:val="0"/>
          <w:sz w:val="22"/>
        </w:rPr>
        <w:t xml:space="preserve">前述两个阶段具有明确的先后关系，而非两个彼此独立的结果。对一条期初存续的供应关系，长度为 </w:t>
      </w:r>
      <m:oMath>
        <m:r>
          <w:rPr>
            <w:rFonts w:ascii="Cambria Math" w:hAnsi="Cambria Math" w:eastAsia="Arial Unicode MS" w:cs="Cambria Math"/>
            <w:sz w:val="22"/>
          </w:rPr>
          <m:t>H</m:t>
        </m:r>
      </m:oMath>
      <w:r>
        <w:rPr>
          <w:rFonts w:ascii="STSong" w:hAnsi="STSong" w:eastAsia="STSong"/>
          <w:b w:val="0"/>
          <w:sz w:val="22"/>
        </w:rPr>
        <w:t xml:space="preserve"> 的观察期后“不处于无海外客户关系状态”的概率可写为</w:t>
      </w:r>
    </w:p>
    <w:p>
      <w:pPr>
        <w:keepLines/>
        <w:tabs>
          <w:tab w:pos="4677" w:val="center"/>
          <w:tab w:pos="9354" w:val="right"/>
        </w:tabs>
        <w:spacing w:before="60" w:after="60" w:line="252" w:lineRule="auto"/>
        <w:ind w:firstLine="0"/>
        <w:jc w:val="left"/>
      </w:pPr>
      <w:r>
        <w:tab/>
      </w:r>
      <m:oMath>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m:rPr>
            <m:sty m:val="p"/>
          </m:rPr>
          <w:rPr>
            <w:rFonts w:ascii="Cambria Math" w:hAnsi="Cambria Math" w:eastAsia="Arial Unicode MS" w:cs="Cambria Math"/>
            <w:sz w:val="21"/>
          </w:rPr>
          <m:t>τ</m:t>
        </m:r>
        <m:r>
          <w:rPr>
            <w:rFonts w:ascii="Cambria Math" w:hAnsi="Cambria Math" w:eastAsia="Arial Unicode MS" w:cs="Cambria Math"/>
            <w:sz w:val="21"/>
          </w:rPr>
          <m:t>)</m:t>
        </m:r>
        <m:r>
          <w:rPr>
            <w:rFonts w:ascii="Cambria Math" w:hAnsi="Cambria Math" w:eastAsia="Arial Unicode MS" w:cs="Cambria Math"/>
            <w:sz w:val="21"/>
          </w:rPr>
          <m:t>]</m:t>
        </m:r>
      </m:oMath>
      <w:r>
        <w:tab/>
      </w:r>
      <w:r>
        <w:rPr>
          <w:rFonts w:ascii="STSong" w:hAnsi="STSong" w:eastAsia="STSong"/>
          <w:sz w:val="21"/>
        </w:rPr>
        <w:t>(25)</w:t>
      </w:r>
    </w:p>
    <w:p>
      <w:pPr/>
      <w:r>
        <w:rPr>
          <w:rFonts w:ascii="STSong" w:hAnsi="STSong" w:eastAsia="STSong"/>
          <w:b w:val="0"/>
          <w:sz w:val="22"/>
        </w:rPr>
        <w:t>对式（25）求导得</w:t>
      </w:r>
    </w:p>
    <w:p>
      <w:pPr>
        <w:keepLines/>
        <w:tabs>
          <w:tab w:pos="4677" w:val="center"/>
          <w:tab w:pos="9354" w:val="right"/>
        </w:tabs>
        <w:spacing w:before="60" w:after="60" w:line="252" w:lineRule="auto"/>
        <w:ind w:firstLine="0"/>
        <w:jc w:val="left"/>
      </w:pPr>
      <w:r>
        <w:tab/>
      </w:r>
      <m:oMath>
        <m:f>
          <m:fPr/>
          <m:num>
            <m:r>
              <w:rPr>
                <w:rFonts w:ascii="Cambria Math" w:hAnsi="Cambria Math" w:eastAsia="Arial Unicode MS" w:cs="Cambria Math"/>
                <w:sz w:val="21"/>
              </w:rPr>
              <m:t>d</m:t>
            </m:r>
            <m:sSubSup>
              <m:sSubSupPr/>
              <m:e>
                <m:r>
                  <m:rPr>
                    <m:sty m:val="p"/>
                  </m:rPr>
                  <w:rPr>
                    <w:rFonts w:ascii="Cambria Math" w:hAnsi="Cambria Math" w:eastAsia="Arial Unicode MS" w:cs="Cambria Math"/>
                    <w:sz w:val="21"/>
                  </w:rPr>
                  <m:t>ℛ</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w:rPr>
            <w:rFonts w:ascii="Cambria Math" w:hAnsi="Cambria Math" w:eastAsia="Arial Unicode MS" w:cs="Cambria Math"/>
            <w:sz w:val="21"/>
          </w:rPr>
          <m:t>-</m:t>
        </m:r>
        <m:f>
          <m:fPr/>
          <m:num>
            <m:r>
              <w:rPr>
                <w:rFonts w:ascii="Cambria Math" w:hAnsi="Cambria Math" w:eastAsia="Arial Unicode MS" w:cs="Cambria Math"/>
                <w:sz w:val="21"/>
              </w:rPr>
              <m:t>d</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m:t>
        </m:r>
        <m:r>
          <m:rPr>
            <m:sty m:val="p"/>
          </m:rPr>
          <w:rPr>
            <w:rFonts w:ascii="Cambria Math" w:hAnsi="Cambria Math" w:eastAsia="Arial Unicode MS" w:cs="Cambria Math"/>
            <w:sz w:val="21"/>
          </w:rPr>
          <m:t>1</m:t>
        </m:r>
        <m:r>
          <w:rPr>
            <w:rFonts w:ascii="Cambria Math" w:hAnsi="Cambria Math" w:eastAsia="Arial Unicode MS" w:cs="Cambria Math"/>
            <w:sz w:val="21"/>
          </w:rPr>
          <m:t>-</m:t>
        </m:r>
        <m:sSubSup>
          <m:sSubSupPr/>
          <m:e>
            <m:r>
              <w:rPr>
                <w:rFonts w:ascii="Cambria Math" w:hAnsi="Cambria Math" w:eastAsia="Arial Unicode MS" w:cs="Cambria Math"/>
                <w:sz w:val="21"/>
              </w:rPr>
              <m:t>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r>
          <w:rPr>
            <w:rFonts w:ascii="Cambria Math" w:hAnsi="Cambria Math" w:eastAsia="Arial Unicode MS" w:cs="Cambria Math"/>
            <w:sz w:val="21"/>
          </w:rPr>
          <m:t>)</m:t>
        </m:r>
        <m:r>
          <w:rPr>
            <w:rFonts w:ascii="Cambria Math" w:hAnsi="Cambria Math" w:eastAsia="Arial Unicode MS" w:cs="Cambria Math"/>
            <w:sz w:val="21"/>
          </w:rPr>
          <m:t>+</m:t>
        </m:r>
        <m:sSub>
          <m:sSubPr/>
          <m:e>
            <m:r>
              <m:rPr>
                <m:sty m:val="p"/>
              </m:rPr>
              <w:rPr>
                <w:rFonts w:ascii="Cambria Math" w:hAnsi="Cambria Math" w:eastAsia="Arial Unicode MS" w:cs="Cambria Math"/>
                <w:sz w:val="21"/>
              </w:rPr>
              <m:t>δ</m:t>
            </m:r>
          </m:e>
          <m:sub>
            <m:r>
              <w:rPr>
                <w:rFonts w:ascii="Cambria Math" w:hAnsi="Cambria Math" w:eastAsia="Arial Unicode MS" w:cs="Cambria Math"/>
                <w:sz w:val="21"/>
              </w:rPr>
              <m:t>ij</m:t>
            </m:r>
          </m:sub>
        </m:sSub>
        <m:f>
          <m:fPr/>
          <m:num>
            <m:sSubSup>
              <m:sSubSupPr/>
              <m:e>
                <m:r>
                  <w:rPr>
                    <w:rFonts w:ascii="Cambria Math" w:hAnsi="Cambria Math" w:eastAsia="Arial Unicode MS" w:cs="Cambria Math"/>
                    <w:sz w:val="21"/>
                  </w:rPr>
                  <m:t>dr</m:t>
                </m:r>
              </m:e>
              <m:sub>
                <m:r>
                  <w:rPr>
                    <w:rFonts w:ascii="Cambria Math" w:hAnsi="Cambria Math" w:eastAsia="Arial Unicode MS" w:cs="Cambria Math"/>
                    <w:sz w:val="21"/>
                  </w:rPr>
                  <m:t>i</m:t>
                </m:r>
              </m:sub>
              <m:sup>
                <m:r>
                  <w:rPr>
                    <w:rFonts w:ascii="Cambria Math" w:hAnsi="Cambria Math" w:eastAsia="Arial Unicode MS" w:cs="Cambria Math"/>
                    <w:sz w:val="21"/>
                  </w:rPr>
                  <m:t>H</m:t>
                </m:r>
              </m:sup>
            </m:sSubSup>
          </m:num>
          <m:den>
            <m:r>
              <w:rPr>
                <w:rFonts w:ascii="Cambria Math" w:hAnsi="Cambria Math" w:eastAsia="Arial Unicode MS" w:cs="Cambria Math"/>
                <w:sz w:val="21"/>
              </w:rPr>
              <m:t>d</m:t>
            </m:r>
            <m:r>
              <m:rPr>
                <m:sty m:val="p"/>
              </m:rPr>
              <w:rPr>
                <w:rFonts w:ascii="Cambria Math" w:hAnsi="Cambria Math" w:eastAsia="Arial Unicode MS" w:cs="Cambria Math"/>
                <w:sz w:val="21"/>
              </w:rPr>
              <m:t>τ</m:t>
            </m:r>
          </m:den>
        </m:f>
        <m:r>
          <w:rPr>
            <w:rFonts w:ascii="Cambria Math" w:hAnsi="Cambria Math" w:eastAsia="Arial Unicode MS" w:cs="Cambria Math"/>
            <w:sz w:val="21"/>
          </w:rPr>
          <m:t>&gt;</m:t>
        </m:r>
        <m:r>
          <m:rPr>
            <m:sty m:val="p"/>
          </m:rPr>
          <w:rPr>
            <w:rFonts w:ascii="Cambria Math" w:hAnsi="Cambria Math" w:eastAsia="Arial Unicode MS" w:cs="Cambria Math"/>
            <w:sz w:val="21"/>
          </w:rPr>
          <m:t>0</m:t>
        </m:r>
      </m:oMath>
      <w:r>
        <w:tab/>
      </w:r>
      <w:r>
        <w:rPr>
          <w:rFonts w:ascii="STSong" w:hAnsi="STSong" w:eastAsia="STSong"/>
          <w:sz w:val="21"/>
        </w:rPr>
        <w:t>(26)</w:t>
      </w:r>
    </w:p>
    <w:p>
      <w:pPr/>
      <w:r>
        <w:rPr>
          <w:rFonts w:ascii="STSong" w:hAnsi="STSong" w:eastAsia="STSong"/>
          <w:b w:val="0"/>
          <w:sz w:val="22"/>
        </w:rPr>
        <w:t xml:space="preserve">式（26）表明，在命题1和命题3成立时，标准国际化通过两条顺序性路径提高跨国供应链韧性：其一，降低既有供应关系进入断裂状态的概率；其二，在断裂已经发生时，提高企业退出无关系状态并形成后续海外客户关系的概率。第一项对应抵抗力，第二项对应恢复力。由此，本文的理论主线可以概括为：标准国际化提高技术兼容性；兼容性一方面促进既有关系合作深化并降低冲击调整成本，从而降低 </w:t>
      </w:r>
      <m:oMath>
        <m:r>
          <m:rPr>
            <m:sty m:val="p"/>
          </m:rPr>
          <w:rPr>
            <w:rFonts w:ascii="Cambria Math" w:hAnsi="Cambria Math" w:eastAsia="Arial Unicode MS" w:cs="Cambria Math"/>
            <w:sz w:val="22"/>
          </w:rPr>
          <m:t>Break</m:t>
        </m:r>
      </m:oMath>
      <w:r>
        <w:rPr>
          <w:rFonts w:ascii="STSong" w:hAnsi="STSong" w:eastAsia="STSong"/>
          <w:b w:val="0"/>
          <w:sz w:val="22"/>
        </w:rPr>
        <w:t xml:space="preserve">；另一方面降低断裂后的有效搜寻成本并提高匹配效率，从而提高 </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w:t>
      </w:r>
    </w:p>
    <w:p>
      <w:pPr>
        <w:pStyle w:val="Heading1"/>
      </w:pPr>
      <w:r>
        <w:rPr>
          <w:rFonts w:ascii="Hiragino Sans GB" w:hAnsi="Hiragino Sans GB" w:eastAsia="Hiragino Sans GB"/>
          <w:b/>
          <w:sz w:val="28"/>
        </w:rPr>
        <w:t>（六）命题、经验变量与识别样本的对应</w:t>
      </w:r>
    </w:p>
    <w:p>
      <w:pPr/>
      <w:r>
        <w:rPr>
          <w:rFonts w:ascii="STSong" w:hAnsi="STSong" w:eastAsia="STSong"/>
          <w:b w:val="0"/>
          <w:sz w:val="22"/>
        </w:rPr>
        <w:t xml:space="preserve">命题1对应基准被解释变量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oMath>
      <w:r>
        <w:rPr>
          <w:rFonts w:ascii="STSong" w:hAnsi="STSong" w:eastAsia="STSong"/>
          <w:b w:val="0"/>
          <w:sz w:val="22"/>
        </w:rPr>
        <w:t xml:space="preserve">。风险集应由 </w:t>
      </w:r>
      <m:oMath>
        <m:r>
          <w:rPr>
            <w:rFonts w:ascii="Cambria Math" w:hAnsi="Cambria Math" w:eastAsia="Arial Unicode MS" w:cs="Cambria Math"/>
            <w:sz w:val="22"/>
          </w:rPr>
          <m:t>t</m:t>
        </m:r>
      </m:oMath>
      <w:r>
        <w:rPr>
          <w:rFonts w:ascii="STSong" w:hAnsi="STSong" w:eastAsia="STSong"/>
          <w:b w:val="0"/>
          <w:sz w:val="22"/>
        </w:rPr>
        <w:t xml:space="preserve"> 期真实存在的中国供应商—海外客户关系构成；若该关系在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期消失，则取1，否则取0。标准国际化变量 </w:t>
      </w:r>
      <m:oMath>
        <m:sSub>
          <m:sSubPr/>
          <m:e>
            <m:r>
              <m:rPr>
                <m:sty m:val="p"/>
              </m:rPr>
              <w:rPr>
                <w:rFonts w:ascii="Cambria Math" w:hAnsi="Cambria Math" w:eastAsia="Arial Unicode MS" w:cs="Cambria Math"/>
                <w:sz w:val="22"/>
              </w:rPr>
              <m:t>τ</m:t>
            </m:r>
          </m:e>
          <m:sub>
            <m:r>
              <w:rPr>
                <w:rFonts w:ascii="Cambria Math" w:hAnsi="Cambria Math" w:eastAsia="Arial Unicode MS" w:cs="Cambria Math"/>
                <w:sz w:val="22"/>
              </w:rPr>
              <m:t>ht</m:t>
            </m:r>
          </m:sub>
        </m:sSub>
      </m:oMath>
      <w:r>
        <w:rPr>
          <w:rFonts w:ascii="STSong" w:hAnsi="STSong" w:eastAsia="STSong"/>
          <w:b w:val="0"/>
          <w:sz w:val="22"/>
        </w:rPr>
        <w:t xml:space="preserve"> 应按上市公司所属行业与年份匹配，并至少滞后于关系断裂结果，以缓解同年反向调整问题。经验系数预期为负。</w:t>
      </w:r>
    </w:p>
    <w:p>
      <w:pPr/>
      <w:r>
        <w:rPr>
          <w:rFonts w:ascii="STSong" w:hAnsi="STSong" w:eastAsia="STSong"/>
          <w:b w:val="0"/>
          <w:sz w:val="22"/>
        </w:rPr>
        <w:t xml:space="preserve">命题2对应合作深化机制。机制变量应使用断裂发生前的FactSet合作关系，包括联合研发、技术合作、产品合作、合资、股权投资和其他投资关系。优先采用 </w:t>
      </w:r>
      <m:oMath>
        <m:r>
          <w:rPr>
            <w:rFonts w:ascii="Cambria Math" w:hAnsi="Cambria Math" w:eastAsia="Arial Unicode MS" w:cs="Cambria Math"/>
            <w:sz w:val="22"/>
          </w:rPr>
          <m:t>t</m:t>
        </m:r>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期或更早的合作状态，并检验标准国际化是否先提高合作深化，再检验合作深化是否降低后续 </w:t>
      </w:r>
      <m:oMath>
        <m:r>
          <m:rPr>
            <m:sty m:val="p"/>
          </m:rPr>
          <w:rPr>
            <w:rFonts w:ascii="Cambria Math" w:hAnsi="Cambria Math" w:eastAsia="Arial Unicode MS" w:cs="Cambria Math"/>
            <w:sz w:val="22"/>
          </w:rPr>
          <m:t>Break</m:t>
        </m:r>
      </m:oMath>
      <w:r>
        <w:rPr>
          <w:rFonts w:ascii="STSong" w:hAnsi="STSong" w:eastAsia="STSong"/>
          <w:b w:val="0"/>
          <w:sz w:val="22"/>
        </w:rPr>
        <w:t>。若合作信息只在企业—企业层面可观测，应明确其与具体客户关系的匹配规则，避免把断裂后的合作误记为事前保护投入。</w:t>
      </w:r>
    </w:p>
    <w:p>
      <w:pPr/>
      <w:r>
        <w:rPr>
          <w:rFonts w:ascii="STSong" w:hAnsi="STSong" w:eastAsia="STSong"/>
          <w:b w:val="0"/>
          <w:sz w:val="22"/>
        </w:rPr>
        <w:t xml:space="preserve">命题3对应 </w:t>
      </w:r>
      <m:oMath>
        <m:sSubSup>
          <m:sSubSupPr/>
          <m:e>
            <m:r>
              <m:rPr>
                <m:sty m:val="p"/>
              </m:rPr>
              <w:rPr>
                <w:rFonts w:ascii="Cambria Math" w:hAnsi="Cambria Math" w:eastAsia="Arial Unicode MS" w:cs="Cambria Math"/>
                <w:sz w:val="22"/>
              </w:rPr>
              <m:t>Reconstruct</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 xml:space="preserve"> 或 </w:t>
      </w:r>
      <m:oMath>
        <m:sSubSup>
          <m:sSubSupPr/>
          <m:e>
            <m:r>
              <m:rPr>
                <m:sty m:val="p"/>
              </m:rPr>
              <w:rPr>
                <w:rFonts w:ascii="Cambria Math" w:hAnsi="Cambria Math" w:eastAsia="Arial Unicode MS" w:cs="Cambria Math"/>
                <w:sz w:val="22"/>
              </w:rPr>
              <m:t>Refill</m:t>
            </m:r>
          </m:e>
          <m:sub>
            <m:r>
              <w:rPr>
                <w:rFonts w:ascii="Cambria Math" w:hAnsi="Cambria Math" w:eastAsia="Arial Unicode MS" w:cs="Cambria Math"/>
                <w:sz w:val="22"/>
              </w:rPr>
              <m:t>ijcst</m:t>
            </m:r>
          </m:sub>
          <m:sup>
            <m:r>
              <w:rPr>
                <w:rFonts w:ascii="Cambria Math" w:hAnsi="Cambria Math" w:eastAsia="Arial Unicode MS" w:cs="Cambria Math"/>
                <w:sz w:val="22"/>
              </w:rPr>
              <m:t>H</m:t>
            </m:r>
          </m:sup>
        </m:sSubSup>
      </m:oMath>
      <w:r>
        <w:rPr>
          <w:rFonts w:ascii="STSong" w:hAnsi="STSong" w:eastAsia="STSong"/>
          <w:b w:val="0"/>
          <w:sz w:val="22"/>
        </w:rPr>
        <w:t xml:space="preserve">。该变量仅在 </w:t>
      </w:r>
      <m:oMath>
        <m:sSub>
          <m:sSubPr/>
          <m:e>
            <m:r>
              <m:rPr>
                <m:sty m:val="p"/>
              </m:rPr>
              <w:rPr>
                <w:rFonts w:ascii="Cambria Math" w:hAnsi="Cambria Math" w:eastAsia="Arial Unicode MS" w:cs="Cambria Math"/>
                <w:sz w:val="22"/>
              </w:rPr>
              <m:t>Break</m:t>
            </m:r>
          </m:e>
          <m:sub>
            <m:r>
              <w:rPr>
                <w:rFonts w:ascii="Cambria Math" w:hAnsi="Cambria Math" w:eastAsia="Arial Unicode MS" w:cs="Cambria Math"/>
                <w:sz w:val="22"/>
              </w:rPr>
              <m:t>ijcst</m:t>
            </m:r>
          </m:sub>
        </m:sSub>
        <m:r>
          <w:rPr>
            <w:rFonts w:ascii="Cambria Math" w:hAnsi="Cambria Math" w:eastAsia="Arial Unicode MS" w:cs="Cambria Math"/>
            <w:sz w:val="22"/>
          </w:rPr>
          <m:t>=</m:t>
        </m:r>
        <m:r>
          <m:rPr>
            <m:sty m:val="p"/>
          </m:rPr>
          <w:rPr>
            <w:rFonts w:ascii="Cambria Math" w:hAnsi="Cambria Math" w:eastAsia="Arial Unicode MS" w:cs="Cambria Math"/>
            <w:sz w:val="22"/>
          </w:rPr>
          <m:t>1</m:t>
        </m:r>
      </m:oMath>
      <w:r>
        <w:rPr>
          <w:rFonts w:ascii="STSong" w:hAnsi="STSong" w:eastAsia="STSong"/>
          <w:b w:val="0"/>
          <w:sz w:val="22"/>
        </w:rPr>
        <w:t xml:space="preserve"> 的样本中定义：若在预先设定且对所有样本一致的窗口 </w:t>
      </w:r>
      <m:oMath>
        <m:r>
          <w:rPr>
            <w:rFonts w:ascii="Cambria Math" w:hAnsi="Cambria Math" w:eastAsia="Arial Unicode MS" w:cs="Cambria Math"/>
            <w:sz w:val="22"/>
          </w:rPr>
          <m:t>H</m:t>
        </m:r>
      </m:oMath>
      <w:r>
        <w:rPr>
          <w:rFonts w:ascii="STSong" w:hAnsi="STSong" w:eastAsia="STSong"/>
          <w:b w:val="0"/>
          <w:sz w:val="22"/>
        </w:rPr>
        <w:t xml:space="preserve"> 内恢复原客户或建立其他海外客户关系，则取1，否则取0。经验系数预期为正。恢复原客户、转向同一国家其他客户和转向其他国家客户可以作为异质重构方式分别报告，但不应改变主指标“是否至少形成一条后续海外客户关系”的定义。</w:t>
      </w:r>
    </w:p>
    <w:p>
      <w:pPr/>
      <w:r>
        <w:rPr>
          <w:rFonts w:ascii="STSong" w:hAnsi="STSong" w:eastAsia="STSong"/>
          <w:b w:val="0"/>
          <w:sz w:val="22"/>
        </w:rPr>
        <w:t>两阶段估计应分别报告风险集和条件样本量。</w:t>
      </w:r>
      <m:oMath>
        <m:r>
          <m:rPr>
            <m:sty m:val="p"/>
          </m:rPr>
          <w:rPr>
            <w:rFonts w:ascii="Cambria Math" w:hAnsi="Cambria Math" w:eastAsia="Arial Unicode MS" w:cs="Cambria Math"/>
            <w:sz w:val="22"/>
          </w:rPr>
          <m:t>Break</m:t>
        </m:r>
      </m:oMath>
      <w:r>
        <w:rPr>
          <w:rFonts w:ascii="STSong" w:hAnsi="STSong" w:eastAsia="STSong"/>
          <w:b w:val="0"/>
          <w:sz w:val="22"/>
        </w:rPr>
        <w:t xml:space="preserve"> 回归识别标准国际化对关系进入断裂状态的影响；</w:t>
      </w:r>
      <m:oMath>
        <m:sSup>
          <m:sSupPr/>
          <m:e>
            <m:r>
              <m:rPr>
                <m:sty m:val="p"/>
              </m:rPr>
              <w:rPr>
                <w:rFonts w:ascii="Cambria Math" w:hAnsi="Cambria Math" w:eastAsia="Arial Unicode MS" w:cs="Cambria Math"/>
                <w:sz w:val="22"/>
              </w:rPr>
              <m:t>Reconstruct</m:t>
            </m:r>
          </m:e>
          <m:sup>
            <m:r>
              <w:rPr>
                <w:rFonts w:ascii="Cambria Math" w:hAnsi="Cambria Math" w:eastAsia="Arial Unicode MS" w:cs="Cambria Math"/>
                <w:sz w:val="22"/>
              </w:rPr>
              <m:t>H</m:t>
            </m:r>
          </m:sup>
        </m:sSup>
      </m:oMath>
      <w:r>
        <w:rPr>
          <w:rFonts w:ascii="STSong" w:hAnsi="STSong" w:eastAsia="STSong"/>
          <w:b w:val="0"/>
          <w:sz w:val="22"/>
        </w:rPr>
        <w:t xml:space="preserve"> 回归识别断裂之后的条件恢复能力。第二阶段样本由第一阶段结果选择产生，因此其系数不宜解释为无条件总体效应。基准分析可保持这种与理论一致的条件概率解释，并通过逆概率加权、选择方程或不同重构窗口进行稳健性检验。若同一上市公司同年有多条关系断裂，应预先规定关系层面结果、企业—断裂年份聚合结果或非重叠事件窗口，防止同一后续客户被重复归因于多次断裂。</w:t>
      </w:r>
    </w:p>
    <w:p>
      <w:pPr>
        <w:pStyle w:val="Heading1"/>
      </w:pPr>
      <w:r>
        <w:rPr>
          <w:rFonts w:ascii="Hiragino Sans GB" w:hAnsi="Hiragino Sans GB" w:eastAsia="Hiragino Sans GB"/>
          <w:b/>
          <w:sz w:val="28"/>
        </w:rPr>
        <w:t>（七）理论来源与本文改造边界</w:t>
      </w:r>
    </w:p>
    <w:p>
      <w:pPr/>
      <w:r>
        <w:rPr>
          <w:rFonts w:ascii="STSong" w:hAnsi="STSong" w:eastAsia="STSong"/>
          <w:b w:val="0"/>
          <w:sz w:val="22"/>
        </w:rPr>
        <w:t xml:space="preserve">专业化与兼容性部分对应式（1）—式（4），借鉴Ferrari和Pesaresi（2026）关于专业化提高匹配收益但缩小兼容对象集合的基本权衡；本文的新增之处是把行业标准国际化建模为兼容性制度，并用 </w:t>
      </w:r>
      <m:oMath>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m:t>
        </m:r>
        <m:r>
          <m:rPr>
            <m:sty m:val="p"/>
          </m:rPr>
          <w:rPr>
            <w:rFonts w:ascii="Cambria Math" w:hAnsi="Cambria Math" w:eastAsia="Arial Unicode MS" w:cs="Cambria Math"/>
            <w:sz w:val="22"/>
          </w:rPr>
          <m:t>min</m:t>
        </m:r>
        <m:r>
          <m:rPr>
            <m:sty m:val="p"/>
          </m:rPr>
          <w:rPr>
            <w:rFonts w:ascii="Cambria Math" w:hAnsi="Cambria Math" w:eastAsia="Arial Unicode MS" w:cs="Cambria Math"/>
            <w:sz w:val="22"/>
          </w:rPr>
          <m:t>{</m:t>
        </m:r>
        <m:sSubSup>
          <m:sSubSupPr/>
          <m:e>
            <m:r>
              <w:rPr>
                <w:rFonts w:ascii="Cambria Math" w:hAnsi="Cambria Math" w:eastAsia="Arial Unicode MS" w:cs="Cambria Math"/>
                <w:sz w:val="22"/>
              </w:rPr>
              <m:t>s</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0</m:t>
            </m:r>
          </m:sup>
        </m:sSubSup>
        <m:r>
          <w:rPr>
            <w:rFonts w:ascii="Cambria Math" w:hAnsi="Cambria Math" w:eastAsia="Arial Unicode MS" w:cs="Cambria Math"/>
            <w:sz w:val="22"/>
          </w:rPr>
          <m:t>,</m:t>
        </m:r>
        <m:bar>
          <m:barPr>
            <m:pos m:val="top"/>
          </m:barPr>
          <m:e>
            <m:r>
              <w:rPr>
                <w:rFonts w:ascii="Cambria Math" w:hAnsi="Cambria Math" w:eastAsia="Arial Unicode MS" w:cs="Cambria Math"/>
                <w:sz w:val="22"/>
              </w:rPr>
              <m:t>s</m:t>
            </m:r>
          </m:e>
        </m:bar>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m:rPr>
            <m:sty m:val="p"/>
          </m:rPr>
          <w:rPr>
            <w:rFonts w:ascii="Cambria Math" w:hAnsi="Cambria Math" w:eastAsia="Arial Unicode MS" w:cs="Cambria Math"/>
            <w:sz w:val="22"/>
          </w:rPr>
          <m:t>}</m:t>
        </m:r>
      </m:oMath>
      <w:r>
        <w:rPr>
          <w:rFonts w:ascii="STSong" w:hAnsi="STSong" w:eastAsia="STSong"/>
          <w:b w:val="0"/>
          <w:sz w:val="22"/>
        </w:rPr>
        <w:t xml:space="preserve"> 表示其对非兼容性专业化的约束。</w:t>
      </w:r>
    </w:p>
    <w:p>
      <w:pPr/>
      <w:r>
        <w:rPr>
          <w:rFonts w:ascii="STSong" w:hAnsi="STSong" w:eastAsia="STSong"/>
          <w:b w:val="0"/>
          <w:sz w:val="22"/>
        </w:rPr>
        <w:t xml:space="preserve">合作投入部分对应式（5）—式（8），在时序上参考Grossman、Helpman和Sabal（2024）的事前韧性投资，在关系层面参考Elliott、Golub和Leduc（2022）的关系强化投资；本文将其压缩为中国供应商对既有海外客户关系的单一合作选择 </w:t>
      </w:r>
      <m:oMath>
        <m:sSub>
          <m:sSubPr/>
          <m:e>
            <m:r>
              <w:rPr>
                <w:rFonts w:ascii="Cambria Math" w:hAnsi="Cambria Math" w:eastAsia="Arial Unicode MS" w:cs="Cambria Math"/>
                <w:sz w:val="22"/>
              </w:rPr>
              <m:t>k</m:t>
            </m:r>
          </m:e>
          <m:sub>
            <m:r>
              <w:rPr>
                <w:rFonts w:ascii="Cambria Math" w:hAnsi="Cambria Math" w:eastAsia="Arial Unicode MS" w:cs="Cambria Math"/>
                <w:sz w:val="22"/>
              </w:rPr>
              <m:t>i</m:t>
            </m:r>
          </m:sub>
        </m:sSub>
      </m:oMath>
      <w:r>
        <w:rPr>
          <w:rFonts w:ascii="STSong" w:hAnsi="STSong" w:eastAsia="STSong"/>
          <w:b w:val="0"/>
          <w:sz w:val="22"/>
        </w:rPr>
        <w:t>。</w:t>
      </w:r>
    </w:p>
    <w:p>
      <w:pPr/>
      <w:r>
        <w:rPr>
          <w:rFonts w:ascii="STSong" w:hAnsi="STSong" w:eastAsia="STSong"/>
          <w:b w:val="0"/>
          <w:sz w:val="22"/>
        </w:rPr>
        <w:t xml:space="preserve">断裂部分对应式（9）—式（17），借鉴Elliott、Golub和Leduc（2022）的连接失效问题，并结合Ferrari和Pesaresi（2026）的兼容性思想；冲击调整成本 </w:t>
      </w:r>
      <m:oMath>
        <m:r>
          <w:rPr>
            <w:rFonts w:ascii="Cambria Math" w:hAnsi="Cambria Math" w:eastAsia="Arial Unicode MS" w:cs="Cambria Math"/>
            <w:sz w:val="22"/>
          </w:rPr>
          <m:t>u</m:t>
        </m:r>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oMath>
      <w:r>
        <w:rPr>
          <w:rFonts w:ascii="STSong" w:hAnsi="STSong" w:eastAsia="STSong"/>
          <w:b w:val="0"/>
          <w:sz w:val="22"/>
        </w:rPr>
        <w:t xml:space="preserve">、关系耐受阈值 </w:t>
      </w:r>
      <m:oMath>
        <m:sSup>
          <m:sSupPr/>
          <m:e>
            <m:r>
              <w:rPr>
                <w:rFonts w:ascii="Cambria Math" w:hAnsi="Cambria Math" w:eastAsia="Arial Unicode MS" w:cs="Cambria Math"/>
                <w:sz w:val="22"/>
              </w:rPr>
              <m:t>u</m:t>
            </m:r>
          </m:e>
          <m:sup>
            <m:r>
              <w:rPr>
                <w:rFonts w:ascii="Cambria Math" w:hAnsi="Cambria Math" w:eastAsia="Arial Unicode MS" w:cs="Cambria Math"/>
                <w:sz w:val="22"/>
              </w:rPr>
              <m:t>*</m:t>
            </m:r>
          </m:sup>
        </m:sSup>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r>
          <w:rPr>
            <w:rFonts w:ascii="Cambria Math" w:hAnsi="Cambria Math" w:eastAsia="Arial Unicode MS" w:cs="Cambria Math"/>
            <w:sz w:val="22"/>
          </w:rPr>
          <m:t>V</m:t>
        </m:r>
      </m:oMath>
      <w:r>
        <w:rPr>
          <w:rFonts w:ascii="STSong" w:hAnsi="STSong" w:eastAsia="STSong"/>
          <w:b w:val="0"/>
          <w:sz w:val="22"/>
        </w:rPr>
        <w:t xml:space="preserve"> 及标准国际化的净韧性条件均为服务本文 </w:t>
      </w:r>
      <m:oMath>
        <m:r>
          <m:rPr>
            <m:sty m:val="p"/>
          </m:rPr>
          <w:rPr>
            <w:rFonts w:ascii="Cambria Math" w:hAnsi="Cambria Math" w:eastAsia="Arial Unicode MS" w:cs="Cambria Math"/>
            <w:sz w:val="22"/>
          </w:rPr>
          <m:t>Break</m:t>
        </m:r>
      </m:oMath>
      <w:r>
        <w:rPr>
          <w:rFonts w:ascii="STSong" w:hAnsi="STSong" w:eastAsia="STSong"/>
          <w:b w:val="0"/>
          <w:sz w:val="22"/>
        </w:rPr>
        <w:t xml:space="preserve"> 变量而作的关系层面改造。</w:t>
      </w:r>
    </w:p>
    <w:p>
      <w:pPr/>
      <w:r>
        <w:rPr>
          <w:rFonts w:ascii="STSong" w:hAnsi="STSong" w:eastAsia="STSong"/>
          <w:b w:val="0"/>
          <w:sz w:val="22"/>
        </w:rPr>
        <w:t xml:space="preserve">重构部分对应式（18）—式（24），借鉴Ferrari和Pesaresi（2026）关于兼容对象范围与供应商替代速度的搜寻逻辑；本文将其改写为中国供应商搜寻海外客户的泊松到达过程，并将有效搜寻成本系数设为由兼容性内生决定的 </w:t>
      </w:r>
      <m:oMath>
        <m:sSub>
          <m:sSubPr/>
          <m:e>
            <m:r>
              <m:rPr>
                <m:sty m:val="p"/>
              </m:rPr>
              <w:rPr>
                <w:rFonts w:ascii="Cambria Math" w:hAnsi="Cambria Math" w:eastAsia="Arial Unicode MS" w:cs="Cambria Math"/>
                <w:sz w:val="22"/>
              </w:rPr>
              <m:t>κ</m:t>
            </m:r>
          </m:e>
          <m:sub>
            <m:r>
              <w:rPr>
                <w:rFonts w:ascii="Cambria Math" w:hAnsi="Cambria Math" w:eastAsia="Arial Unicode MS" w:cs="Cambria Math"/>
                <w:sz w:val="22"/>
              </w:rPr>
              <m:t>i</m:t>
            </m:r>
          </m:sub>
        </m:sSub>
        <m:r>
          <w:rPr>
            <w:rFonts w:ascii="Cambria Math" w:hAnsi="Cambria Math" w:eastAsia="Arial Unicode MS" w:cs="Cambria Math"/>
            <w:sz w:val="22"/>
          </w:rPr>
          <m:t>(</m:t>
        </m:r>
        <m:r>
          <m:rPr>
            <m:sty m:val="p"/>
          </m:rPr>
          <w:rPr>
            <w:rFonts w:ascii="Cambria Math" w:hAnsi="Cambria Math" w:eastAsia="Arial Unicode MS" w:cs="Cambria Math"/>
            <w:sz w:val="22"/>
          </w:rPr>
          <m:t>τ</m:t>
        </m:r>
        <m:r>
          <w:rPr>
            <w:rFonts w:ascii="Cambria Math" w:hAnsi="Cambria Math" w:eastAsia="Arial Unicode MS" w:cs="Cambria Math"/>
            <w:sz w:val="22"/>
          </w:rPr>
          <m:t>)</m:t>
        </m:r>
        <m:r>
          <w:rPr>
            <w:rFonts w:ascii="Cambria Math" w:hAnsi="Cambria Math" w:eastAsia="Arial Unicode MS" w:cs="Cambria Math"/>
            <w:sz w:val="22"/>
          </w:rPr>
          <m:t>=</m:t>
        </m:r>
        <m:sSub>
          <m:sSubPr/>
          <m:e>
            <m:r>
              <w:rPr>
                <w:rFonts w:ascii="Cambria Math" w:hAnsi="Cambria Math" w:eastAsia="Arial Unicode MS" w:cs="Cambria Math"/>
                <w:sz w:val="22"/>
              </w:rPr>
              <m:t>c</m:t>
            </m:r>
          </m:e>
          <m:sub>
            <m:r>
              <w:rPr>
                <w:rFonts w:ascii="Cambria Math" w:hAnsi="Cambria Math" w:eastAsia="Arial Unicode MS" w:cs="Cambria Math"/>
                <w:sz w:val="22"/>
              </w:rPr>
              <m:t>i</m:t>
            </m:r>
          </m:sub>
        </m:sSub>
        <m:r>
          <w:rPr>
            <w:rFonts w:ascii="Cambria Math" w:hAnsi="Cambria Math" w:eastAsia="Arial Unicode MS" w:cs="Cambria Math"/>
            <w:sz w:val="22"/>
          </w:rPr>
          <m:t>/</m:t>
        </m:r>
        <m:r>
          <w:rPr>
            <w:rFonts w:ascii="Cambria Math" w:hAnsi="Cambria Math" w:eastAsia="Arial Unicode MS" w:cs="Cambria Math"/>
            <w:sz w:val="22"/>
          </w:rPr>
          <m:t>(</m:t>
        </m:r>
        <m:sSubSup>
          <m:sSubSupPr/>
          <m:e>
            <m:r>
              <m:rPr>
                <m:sty m:val="p"/>
              </m:rPr>
              <w:rPr>
                <w:rFonts w:ascii="Cambria Math" w:hAnsi="Cambria Math" w:eastAsia="Arial Unicode MS" w:cs="Cambria Math"/>
                <w:sz w:val="22"/>
              </w:rPr>
              <m:t>φ</m:t>
            </m:r>
          </m:e>
          <m:sub>
            <m:r>
              <w:rPr>
                <w:rFonts w:ascii="Cambria Math" w:hAnsi="Cambria Math" w:eastAsia="Arial Unicode MS" w:cs="Cambria Math"/>
                <w:sz w:val="22"/>
              </w:rPr>
              <m:t>i</m:t>
            </m:r>
          </m:sub>
          <m:sup>
            <m:r>
              <m:rPr>
                <m:sty m:val="p"/>
              </m:rPr>
              <w:rPr>
                <w:rFonts w:ascii="Cambria Math" w:hAnsi="Cambria Math" w:eastAsia="Arial Unicode MS" w:cs="Cambria Math"/>
                <w:sz w:val="22"/>
              </w:rPr>
              <m:t>τ</m:t>
            </m:r>
          </m:sup>
        </m:sSubSup>
        <m:sSup>
          <m:sSupPr/>
          <m:e>
            <m:r>
              <w:rPr>
                <w:rFonts w:ascii="Cambria Math" w:hAnsi="Cambria Math" w:eastAsia="Arial Unicode MS" w:cs="Cambria Math"/>
                <w:sz w:val="22"/>
              </w:rPr>
              <m:t>)</m:t>
            </m:r>
          </m:e>
          <m:sup>
            <m:r>
              <m:rPr>
                <m:sty m:val="p"/>
              </m:rPr>
              <w:rPr>
                <w:rFonts w:ascii="Cambria Math" w:hAnsi="Cambria Math" w:eastAsia="Arial Unicode MS" w:cs="Cambria Math"/>
                <w:sz w:val="22"/>
              </w:rPr>
              <m:t>2</m:t>
            </m:r>
          </m:sup>
        </m:sSup>
      </m:oMath>
      <w:r>
        <w:rPr>
          <w:rFonts w:ascii="STSong" w:hAnsi="STSong" w:eastAsia="STSong"/>
          <w:b w:val="0"/>
          <w:sz w:val="22"/>
        </w:rPr>
        <w:t>。</w:t>
      </w:r>
    </w:p>
    <w:p>
      <w:pPr/>
      <w:r>
        <w:rPr>
          <w:rFonts w:ascii="STSong" w:hAnsi="STSong" w:eastAsia="STSong"/>
          <w:b w:val="0"/>
          <w:sz w:val="22"/>
        </w:rPr>
        <w:t>式（25）—式（26）的抵抗力—恢复力分解在概念上参考Miroudot（2020），但本文使用的是企业—客户关系概率，而非宏观供应链绩效或社会福利。上述引用均用于说明理论思想来源，不意味着原文直接研究中国行业标准国际化或采用本文的经验变量。</w:t>
      </w:r>
    </w:p>
    <w:p>
      <w:pPr>
        <w:pStyle w:val="Heading1"/>
      </w:pPr>
      <w:r>
        <w:rPr>
          <w:rFonts w:ascii="Hiragino Sans GB" w:hAnsi="Hiragino Sans GB" w:eastAsia="Hiragino Sans GB"/>
          <w:b/>
          <w:sz w:val="28"/>
        </w:rPr>
        <w:t>参考文献</w:t>
      </w:r>
    </w:p>
    <w:p>
      <w:pPr>
        <w:pStyle w:val="ReferenceEntry"/>
      </w:pPr>
      <w:r>
        <w:rPr>
          <w:rFonts w:ascii="STSong" w:hAnsi="STSong" w:eastAsia="STSong"/>
          <w:b w:val="0"/>
          <w:sz w:val="21"/>
        </w:rPr>
        <w:t xml:space="preserve">Elliott, M., Golub, B., and Leduc, M. V. (2022). Supply Network Formation and Fragility. </w:t>
      </w:r>
      <w:r>
        <w:rPr>
          <w:rFonts w:ascii="STSong" w:hAnsi="STSong" w:eastAsia="STSong"/>
          <w:b w:val="0"/>
          <w:i/>
          <w:sz w:val="21"/>
        </w:rPr>
        <w:t>American Economic Review</w:t>
      </w:r>
      <w:r>
        <w:rPr>
          <w:rFonts w:ascii="STSong" w:hAnsi="STSong" w:eastAsia="STSong"/>
          <w:b w:val="0"/>
          <w:sz w:val="21"/>
        </w:rPr>
        <w:t>, 112(8), 2701–2747.</w:t>
      </w:r>
    </w:p>
    <w:p>
      <w:pPr>
        <w:pStyle w:val="ReferenceEntry"/>
      </w:pPr>
      <w:r>
        <w:rPr>
          <w:rFonts w:ascii="STSong" w:hAnsi="STSong" w:eastAsia="STSong"/>
          <w:b w:val="0"/>
          <w:sz w:val="21"/>
        </w:rPr>
        <w:t xml:space="preserve">Ferrari, A., and Pesaresi, L. (2026). Specialization, Complexity, and Resilience in Supply Chains. </w:t>
      </w:r>
      <w:r>
        <w:rPr>
          <w:rFonts w:ascii="STSong" w:hAnsi="STSong" w:eastAsia="STSong"/>
          <w:b w:val="0"/>
          <w:i/>
          <w:sz w:val="21"/>
        </w:rPr>
        <w:t>CEPR Discussion Paper</w:t>
      </w:r>
      <w:r>
        <w:rPr>
          <w:rFonts w:ascii="STSong" w:hAnsi="STSong" w:eastAsia="STSong"/>
          <w:b w:val="0"/>
          <w:sz w:val="21"/>
        </w:rPr>
        <w:t>, DP21139.</w:t>
      </w:r>
    </w:p>
    <w:p>
      <w:pPr>
        <w:pStyle w:val="ReferenceEntry"/>
      </w:pPr>
      <w:r>
        <w:rPr>
          <w:rFonts w:ascii="STSong" w:hAnsi="STSong" w:eastAsia="STSong"/>
          <w:b w:val="0"/>
          <w:sz w:val="21"/>
        </w:rPr>
        <w:t xml:space="preserve">Grossman, G. M., Helpman, E., and Sabal, A. (2024). Optimal Resilience in Multitier Supply Chains. </w:t>
      </w:r>
      <w:r>
        <w:rPr>
          <w:rFonts w:ascii="STSong" w:hAnsi="STSong" w:eastAsia="STSong"/>
          <w:b w:val="0"/>
          <w:i/>
          <w:sz w:val="21"/>
        </w:rPr>
        <w:t>The Quarterly Journal of Economics</w:t>
      </w:r>
      <w:r>
        <w:rPr>
          <w:rFonts w:ascii="STSong" w:hAnsi="STSong" w:eastAsia="STSong"/>
          <w:b w:val="0"/>
          <w:sz w:val="21"/>
        </w:rPr>
        <w:t>, 139(4), 2377–2425.</w:t>
      </w:r>
    </w:p>
    <w:p>
      <w:pPr>
        <w:pStyle w:val="ReferenceEntry"/>
      </w:pPr>
      <w:r>
        <w:rPr>
          <w:rFonts w:ascii="STSong" w:hAnsi="STSong" w:eastAsia="STSong"/>
          <w:b w:val="0"/>
          <w:sz w:val="21"/>
        </w:rPr>
        <w:t xml:space="preserve">Miroudot, S. (2020). Resilience versus Robustness in Global Value Chains: Some Policy Implications. </w:t>
      </w:r>
      <w:r>
        <w:rPr>
          <w:rFonts w:ascii="STSong" w:hAnsi="STSong" w:eastAsia="STSong"/>
          <w:b w:val="0"/>
          <w:i/>
          <w:sz w:val="21"/>
        </w:rPr>
        <w:t>VoxEU.org/CEPR</w:t>
      </w:r>
      <w:r>
        <w:rPr>
          <w:rFonts w:ascii="STSong" w:hAnsi="STSong" w:eastAsia="STSong"/>
          <w:b w:val="0"/>
          <w:sz w:val="21"/>
        </w:rPr>
        <w:t>.</w:t>
      </w:r>
    </w:p>
    <w:sectPr w:rsidR="00FC693F" w:rsidRPr="0006063C" w:rsidSect="00034616">
      <w:pgSz w:w="12240" w:h="15840"/>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40"/>
      <w:jc w:val="both"/>
    </w:pPr>
    <w:rPr>
      <w:rFonts w:ascii="STSong" w:hAnsi="STSong" w:eastAsia="STSong"/>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ind w:firstLine="0"/>
      <w:outlineLvl w:val="0"/>
    </w:pPr>
    <w:rPr>
      <w:rFonts w:asciiTheme="majorHAnsi" w:eastAsiaTheme="majorEastAsia" w:hAnsiTheme="majorHAnsi" w:cstheme="majorBidi" w:ascii="Hiragino Sans GB" w:hAnsi="Hiragino Sans GB" w:eastAsia="Hiragino Sans G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asciiTheme="majorHAnsi" w:eastAsiaTheme="majorEastAsia" w:hAnsiTheme="majorHAnsi" w:cstheme="majorBidi" w:ascii="Hiragino Sans GB" w:hAnsi="Hiragino Sans GB"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jc w:val="center"/>
    </w:pPr>
    <w:rPr>
      <w:rFonts w:asciiTheme="majorHAnsi" w:eastAsiaTheme="majorEastAsia" w:hAnsiTheme="majorHAnsi" w:cstheme="majorBidi" w:ascii="Hiragino Sans GB" w:hAnsi="Hiragino Sans GB" w:eastAsia="Hiragino Sans GB"/>
      <w:b/>
      <w:color w:val="000000"/>
      <w:sz w:val="32"/>
      <w:szCs w:val="3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ypothesis">
    <w:name w:val="Hypothesis"/>
    <w:pPr>
      <w:keepLines/>
      <w:spacing w:before="120" w:after="120" w:line="336" w:lineRule="auto"/>
      <w:ind w:left="283" w:right="170" w:firstLine="0"/>
    </w:pPr>
    <w:rPr>
      <w:rFonts w:ascii="STSong" w:hAnsi="STSong" w:eastAsia="STSong"/>
      <w:sz w:val="21"/>
    </w:rPr>
  </w:style>
  <w:style w:type="paragraph" w:customStyle="1" w:styleId="ReferenceEntry">
    <w:name w:val="Reference Entry"/>
    <w:pPr>
      <w:spacing w:line="276" w:lineRule="auto" w:after="80"/>
      <w:ind w:left="420" w:hanging="420"/>
    </w:pPr>
    <w:rPr>
      <w:rFonts w:ascii="STSong" w:hAnsi="STSong" w:eastAsia="STSong"/>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标准国际化与企业跨国供应链韧性理论模型：确定版</dc:title>
  <dc:subject>理论模型与研究假说</dc:subject>
  <dc:creator/>
  <cp:keywords>标准国际化; 跨国供应链韧性; Break; Refill; 兼容性; 合作深化; 搜寻匹配</cp:keywords>
  <dc:description>基于企业—海外客户关系动态模型生成；公式为Word原生OMML对象</dc:description>
  <cp:lastModifiedBy/>
  <cp:revision>1</cp:revision>
  <dcterms:created xsi:type="dcterms:W3CDTF">2013-12-23T23:15:00Z</dcterms:created>
  <dcterms:modified xsi:type="dcterms:W3CDTF">2013-12-23T23:15:00Z</dcterms:modified>
  <cp:category/>
</cp:coreProperties>
</file>