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고소작업차 아웃리거 점검 표준작업지침</w:t>
      </w:r>
    </w:p>
    <w:p>
      <w:pPr>
        <w:pStyle w:val="Heading2"/>
      </w:pPr>
      <w:r>
        <w:t>1. 적용 범위</w:t>
      </w:r>
    </w:p>
    <w:p>
      <w:r>
        <w:t>본 지침은 건설 현장에서 고소작업차(차량탑재형 고소작업대)를 운용하는 모든 작업자에게 적용한다.</w:t>
      </w:r>
    </w:p>
    <w:p>
      <w:pPr>
        <w:pStyle w:val="Heading2"/>
      </w:pPr>
      <w:r>
        <w:t>2. 법적 근거</w:t>
      </w:r>
    </w:p>
    <w:p>
      <w:r>
        <w:t>산업안전보건기준에 관한 규칙 제186조 (고소작업대 설치 등의 조치)</w:t>
      </w:r>
    </w:p>
    <w:p>
      <w:r>
        <w:t>산업안전보건기준에 관한 규칙 제189조 (작업대 사용 시 조치)</w:t>
      </w:r>
    </w:p>
    <w:p>
      <w:pPr>
        <w:pStyle w:val="Heading2"/>
      </w:pPr>
      <w:r>
        <w:t>3. 주요 위험 요인</w:t>
      </w:r>
    </w:p>
    <w:p>
      <w:r>
        <w:t>• 아웃리거 미전개 또는 부분 전개로 인한 차량 전도 (사망 위험)</w:t>
      </w:r>
    </w:p>
    <w:p>
      <w:r>
        <w:t>• 작업대 탑승 중 안전대 미착용으로 인한 추락 (사망 위험)</w:t>
      </w:r>
    </w:p>
    <w:p>
      <w:r>
        <w:t>• 연약 지반에서 받침판 미사용으로 인한 아웃리거 침하 및 전복</w:t>
      </w:r>
    </w:p>
    <w:p>
      <w:pPr>
        <w:pStyle w:val="Heading2"/>
      </w:pPr>
      <w:r>
        <w:t>4. 작업 전 점검 절차</w:t>
      </w:r>
    </w:p>
    <w:p>
      <w:r>
        <w:t>1단계: 작업 지반을 확인한다. 경사도 5도 이하, 단단한 노면에서만 설치한다.</w:t>
      </w:r>
    </w:p>
    <w:p>
      <w:r>
        <w:t>2단계: 아웃리거 4개 모두를 지면에 완전히 닿도록 전개하고 받침판을 반드시 사용한다.</w:t>
      </w:r>
    </w:p>
    <w:p>
      <w:r>
        <w:t>3단계: 수평계를 확인하여 차체 수평을 맞춘다. 타이어가 지면에서 떠야 한다.</w:t>
      </w:r>
    </w:p>
    <w:p>
      <w:r>
        <w:t>4단계: 작업자는 탑승 전 안전대를 작업대 내 고정 지점에 체결한다.</w:t>
      </w:r>
    </w:p>
    <w:p>
      <w:r>
        <w:t>5단계: 상승 전 주변 장애물(전선, 구조물)과의 이격거리를 확인한다.</w:t>
      </w:r>
    </w:p>
    <w:p>
      <w:pPr>
        <w:pStyle w:val="Heading2"/>
      </w:pPr>
      <w:r>
        <w:t>5. 작업 대상</w:t>
      </w:r>
    </w:p>
    <w:p>
      <w:r>
        <w:t>고소작업차 운전자 및 보조 작업자</w:t>
      </w:r>
    </w:p>
    <w:p>
      <w:pPr>
        <w:pStyle w:val="Heading2"/>
      </w:pPr>
      <w:r>
        <w:t>6. 자주 발생하는 위반 사항</w:t>
      </w:r>
    </w:p>
    <w:p>
      <w:r>
        <w:t>• 아웃리거를 완전히 전개하지 않고 작업 시작</w:t>
      </w:r>
    </w:p>
    <w:p>
      <w:r>
        <w:t>• 작업대 내에서 안전대를 체결하지 않음</w:t>
      </w:r>
    </w:p>
    <w:p>
      <w:r>
        <w:t>• 받침판 없이 연약 지반에 설치</w:t>
      </w:r>
    </w:p>
    <w:p>
      <w:r>
        <w:t>• 정격 하중 초과 탑승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