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83795402667b0229469dc6ce95fa701a2f89354"/>
    <w:p>
      <w:pPr>
        <w:pStyle w:val="Heading1"/>
      </w:pPr>
      <w:r>
        <w:t xml:space="preserve">Catastrophic Health Expenditure — Capacity-to-Pay vs. the questionnaires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3 PM tabulation meeting, 2026-07-06 ·</w:t>
      </w:r>
      <w:r>
        <w:t xml:space="preserve"> </w:t>
      </w:r>
      <w:r>
        <w:rPr>
          <w:b/>
          <w:bCs/>
        </w:rPr>
        <w:t xml:space="preserve">Relates to:</w:t>
      </w:r>
      <w:r>
        <w:t xml:space="preserve"> </w:t>
      </w:r>
      <w:r>
        <w:t xml:space="preserve">Table 2.29 (the only CHE table)</w:t>
      </w:r>
    </w:p>
    <w:bookmarkStart w:id="9" w:name="the-method-from-the-reference"/>
    <w:p>
      <w:pPr>
        <w:pStyle w:val="Heading2"/>
      </w:pPr>
      <w:r>
        <w:t xml:space="preserve">1. The method (from the reference)</w:t>
      </w:r>
    </w:p>
    <w:p>
      <w:pPr>
        <w:pStyle w:val="FirstParagraph"/>
      </w:pPr>
      <w:r>
        <w:t xml:space="preserve">Catastrophic health expenditure (CHE) = a household crosses a threshold. Two approaches: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Budget Share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Capacity-to-Pay (what we need)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OOP ÷ (total expenditure</w:t>
            </w:r>
            <w:r>
              <w:t xml:space="preserve"> </w:t>
            </w:r>
            <w:r>
              <w:rPr>
                <w:b/>
                <w:bCs/>
              </w:rPr>
              <w:t xml:space="preserve">or income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OOP ÷ (total expenditure</w:t>
            </w:r>
            <w:r>
              <w:t xml:space="preserve"> </w:t>
            </w:r>
            <w:r>
              <w:rPr>
                <w:b/>
                <w:bCs/>
              </w:rPr>
              <w:t xml:space="preserve">− basic needs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needs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Sub-1:</w:t>
            </w:r>
            <w:r>
              <w:t xml:space="preserve"> </w:t>
            </w:r>
            <w:r>
              <w:t xml:space="preserve">actual food ·</w:t>
            </w:r>
            <w:r>
              <w:t xml:space="preserve"> </w:t>
            </w:r>
            <w:r>
              <w:rPr>
                <w:b/>
                <w:bCs/>
              </w:rPr>
              <w:t xml:space="preserve">Sub-2:</w:t>
            </w:r>
            <w:r>
              <w:t xml:space="preserve"> </w:t>
            </w:r>
            <w:r>
              <w:t xml:space="preserve">standard food ·</w:t>
            </w:r>
            <w:r>
              <w:t xml:space="preserve"> </w:t>
            </w:r>
            <w:r>
              <w:rPr>
                <w:b/>
                <w:bCs/>
              </w:rPr>
              <w:t xml:space="preserve">Sub-3:</w:t>
            </w:r>
            <w:r>
              <w:t xml:space="preserve"> </w:t>
            </w:r>
            <w:r>
              <w:t xml:space="preserve">standard food + rent + utilities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t xml:space="preserve">10% &amp; 25%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25% &amp; 40%</w:t>
            </w:r>
            <w:r>
              <w:t xml:space="preserve"> </w:t>
            </w:r>
            <w:r>
              <w:t xml:space="preserve">(Sub-1) · 40% (Sub-2, Sub-3)</w:t>
            </w:r>
          </w:p>
        </w:tc>
      </w:tr>
    </w:tbl>
    <w:p>
      <w:pPr>
        <w:pStyle w:val="BodyText"/>
      </w:pPr>
      <w:r>
        <w:rPr>
          <w:b/>
          <w:bCs/>
        </w:rPr>
        <w:t xml:space="preserve">Numerator (both):</w:t>
      </w:r>
      <w:r>
        <w:t xml:space="preserve"> </w:t>
      </w:r>
      <w:r>
        <w:t xml:space="preserve">out-of-pocket health payments.</w:t>
      </w:r>
      <w:r>
        <w:t xml:space="preserve"> </w:t>
      </w:r>
      <w:r>
        <w:rPr>
          <w:b/>
          <w:bCs/>
        </w:rPr>
        <w:t xml:space="preserve">The difference is the denominator.</w:t>
      </w:r>
    </w:p>
    <w:p>
      <w:r>
        <w:pict>
          <v:rect style="width:0;height:1.5pt" o:hralign="center" o:hrstd="t" o:hr="t"/>
        </w:pict>
      </w:r>
    </w:p>
    <w:bookmarkEnd w:id="9"/>
    <w:bookmarkStart w:id="10" w:name="Xa790da5879786903452f8ef1c34547e45a43b28"/>
    <w:p>
      <w:pPr>
        <w:pStyle w:val="Heading2"/>
      </w:pPr>
      <w:r>
        <w:t xml:space="preserve">2. The key finding — the table is on the wrong form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CHE table is</w:t>
      </w:r>
      <w:r>
        <w:t xml:space="preserve"> </w:t>
      </w:r>
      <w:r>
        <w:rPr>
          <w:b/>
          <w:bCs/>
        </w:rPr>
        <w:t xml:space="preserve">2.29</w:t>
      </w:r>
      <w:r>
        <w:t xml:space="preserve">, and it uses</w:t>
      </w:r>
      <w:r>
        <w:t xml:space="preserve"> </w:t>
      </w:r>
      <w:r>
        <w:rPr>
          <w:b/>
          <w:bCs/>
        </w:rPr>
        <w:t xml:space="preserve">25% &amp; 40%</w:t>
      </w:r>
      <w:r>
        <w:t xml:space="preserve"> </w:t>
      </w:r>
      <w:r>
        <w:t xml:space="preserve">thresholds → that is the</w:t>
      </w:r>
      <w:r>
        <w:t xml:space="preserve"> </w:t>
      </w:r>
      <w:r>
        <w:rPr>
          <w:b/>
          <w:bCs/>
        </w:rPr>
        <w:t xml:space="preserve">Capacity-to-Pay</w:t>
      </w:r>
      <w:r>
        <w:t xml:space="preserve"> </w:t>
      </w:r>
      <w:r>
        <w:t xml:space="preserve">method.</w:t>
      </w:r>
    </w:p>
    <w:p>
      <w:pPr>
        <w:pStyle w:val="Compact"/>
        <w:numPr>
          <w:ilvl w:val="0"/>
          <w:numId w:val="1001"/>
        </w:numPr>
      </w:pPr>
      <w:r>
        <w:t xml:space="preserve">But 2.29 is assigned to</w:t>
      </w:r>
      <w:r>
        <w:t xml:space="preserve"> </w:t>
      </w:r>
      <w:r>
        <w:rPr>
          <w:b/>
          <w:bCs/>
        </w:rPr>
        <w:t xml:space="preserve">F3 (Patient)</w:t>
      </w:r>
      <w:r>
        <w:t xml:space="preserve">, and</w:t>
      </w:r>
      <w:r>
        <w:t xml:space="preserve"> </w:t>
      </w:r>
      <w:r>
        <w:rPr>
          <w:b/>
          <w:bCs/>
        </w:rPr>
        <w:t xml:space="preserve">F3 cannot do Capacity-to-Pay</w:t>
      </w:r>
      <w:r>
        <w:t xml:space="preserve"> </w:t>
      </w:r>
      <w:r>
        <w:t xml:space="preserve">— it only collects</w:t>
      </w:r>
      <w:r>
        <w:t xml:space="preserve"> </w:t>
      </w:r>
      <w:r>
        <w:rPr>
          <w:b/>
          <w:bCs/>
        </w:rPr>
        <w:t xml:space="preserve">income (Q18)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per-visit health costs</w:t>
      </w:r>
      <w:r>
        <w:t xml:space="preserve">. It has</w:t>
      </w:r>
      <w:r>
        <w:t xml:space="preserve"> </w:t>
      </w:r>
      <w:r>
        <w:rPr>
          <w:b/>
          <w:bCs/>
        </w:rPr>
        <w:t xml:space="preserve">no household total spending, and no food / rent / utilities spending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form that</w:t>
      </w:r>
      <w:r>
        <w:t xml:space="preserve"> </w:t>
      </w:r>
      <w:r>
        <w:rPr>
          <w:b/>
          <w:bCs/>
        </w:rPr>
        <w:t xml:space="preserve">can</w:t>
      </w:r>
      <w:r>
        <w:t xml:space="preserve"> </w:t>
      </w:r>
      <w:r>
        <w:t xml:space="preserve">do it is</w:t>
      </w:r>
      <w:r>
        <w:t xml:space="preserve"> </w:t>
      </w:r>
      <w:r>
        <w:rPr>
          <w:b/>
          <w:bCs/>
        </w:rPr>
        <w:t xml:space="preserve">F4 (Household)</w:t>
      </w:r>
      <w:r>
        <w:t xml:space="preserve"> </w:t>
      </w:r>
      <w:r>
        <w:t xml:space="preserve">— it has the</w:t>
      </w:r>
      <w:r>
        <w:t xml:space="preserve"> </w:t>
      </w:r>
      <w:r>
        <w:rPr>
          <w:b/>
          <w:bCs/>
        </w:rPr>
        <w:t xml:space="preserve">Section N household-expenditure module (WHO/SHA)</w:t>
      </w:r>
      <w:r>
        <w:t xml:space="preserve">: food, non-food, and health spending, plus income.</w:t>
      </w:r>
    </w:p>
    <w:p>
      <w:pPr>
        <w:pStyle w:val="FirstParagraph"/>
      </w:pPr>
      <w:r>
        <w:t xml:space="preserve">➡</w:t>
      </w:r>
      <w:r>
        <w:t xml:space="preserve"> </w:t>
      </w:r>
      <w:r>
        <w:rPr>
          <w:b/>
          <w:bCs/>
        </w:rPr>
        <w:t xml:space="preserve">Recommendation: compute Table 2.29 from F4 (Household), not F3.</w:t>
      </w:r>
      <w:r>
        <w:t xml:space="preserve"> </w:t>
      </w:r>
      <w:r>
        <w:t xml:space="preserve">F4 already carries everything the method needs.</w:t>
      </w:r>
    </w:p>
    <w:p>
      <w:r>
        <w:pict>
          <v:rect style="width:0;height:1.5pt" o:hralign="center" o:hrstd="t" o:hr="t"/>
        </w:pict>
      </w:r>
    </w:p>
    <w:bookmarkEnd w:id="10"/>
    <w:bookmarkStart w:id="11" w:name="Xac5e266b8be805ebee9aa480775d717aa645404"/>
    <w:p>
      <w:pPr>
        <w:pStyle w:val="Heading2"/>
      </w:pPr>
      <w:r>
        <w:t xml:space="preserve">3. What Capacity-to-Pay needs → what we already have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method needs</w:t>
            </w:r>
          </w:p>
        </w:tc>
        <w:tc>
          <w:tcPr/>
          <w:p>
            <w:pPr>
              <w:pStyle w:val="Compact"/>
            </w:pPr>
            <w:r>
              <w:t xml:space="preserve">Already asked?</w:t>
            </w:r>
          </w:p>
        </w:tc>
        <w:tc>
          <w:tcPr/>
          <w:p>
            <w:pPr>
              <w:pStyle w:val="Compact"/>
            </w:pPr>
            <w:r>
              <w:t xml:space="preserve">Where (F4)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Numerator — health out-of-pocket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Section N health items → auto-subtotals</w:t>
            </w:r>
            <w:r>
              <w:t xml:space="preserve"> </w:t>
            </w:r>
            <w:r>
              <w:rPr>
                <w:b/>
                <w:bCs/>
              </w:rPr>
              <w:t xml:space="preserve">Q177</w:t>
            </w:r>
            <w:r>
              <w:t xml:space="preserve"> </w:t>
            </w:r>
            <w:r>
              <w:t xml:space="preserve">(12-mo),</w:t>
            </w:r>
            <w:r>
              <w:t xml:space="preserve"> </w:t>
            </w:r>
            <w:r>
              <w:rPr>
                <w:b/>
                <w:bCs/>
              </w:rPr>
              <w:t xml:space="preserve">Q182</w:t>
            </w:r>
            <w:r>
              <w:t xml:space="preserve"> </w:t>
            </w:r>
            <w:r>
              <w:t xml:space="preserve">(6-mo),</w:t>
            </w:r>
            <w:r>
              <w:t xml:space="preserve"> </w:t>
            </w:r>
            <w:r>
              <w:rPr>
                <w:b/>
                <w:bCs/>
              </w:rPr>
              <w:t xml:space="preserve">Q185</w:t>
            </w:r>
            <w:r>
              <w:t xml:space="preserve"> </w:t>
            </w:r>
            <w:r>
              <w:t xml:space="preserve">(1-mo)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household expenditure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Section N = food + non-food (1/6/12-mo) + health (sum in the ETL — see note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 needs: food</w:t>
            </w:r>
            <w:r>
              <w:t xml:space="preserve"> </w:t>
            </w:r>
            <w:r>
              <w:t xml:space="preserve">(Sub-1, actual)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Q157</w:t>
            </w:r>
            <w:r>
              <w:t xml:space="preserve"> </w:t>
            </w:r>
            <w:r>
              <w:t xml:space="preserve">food subtotal (auto-computed)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 needs: rent + utilities</w:t>
            </w:r>
            <w:r>
              <w:t xml:space="preserve"> </w:t>
            </w:r>
            <w:r>
              <w:t xml:space="preserve">(Sub-3)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Non-food rows:</w:t>
            </w:r>
            <w:r>
              <w:t xml:space="preserve"> </w:t>
            </w:r>
            <w:r>
              <w:rPr>
                <w:b/>
                <w:bCs/>
              </w:rPr>
              <w:t xml:space="preserve">rent/rental, water, electricity, fuel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Income</w:t>
            </w:r>
            <w:r>
              <w:t xml:space="preserve"> </w:t>
            </w:r>
            <w:r>
              <w:t xml:space="preserve">(for the budget-share alternative)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Q18</w:t>
            </w:r>
            <w:r>
              <w:t xml:space="preserve"> </w:t>
            </w:r>
            <w:r>
              <w:t xml:space="preserve">(amount + bracket), plus Q186 / Q195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line: F4 needs no new questions for Sub-1 (actual food) or Sub-3 (food + rent + utilities).</w:t>
      </w:r>
    </w:p>
    <w:p>
      <w:r>
        <w:pict>
          <v:rect style="width:0;height:1.5pt" o:hralign="center" o:hrstd="t" o:hr="t"/>
        </w:pict>
      </w:r>
    </w:p>
    <w:bookmarkEnd w:id="11"/>
    <w:bookmarkStart w:id="12" w:name="whats-missing-to-be-supplied"/>
    <w:p>
      <w:pPr>
        <w:pStyle w:val="Heading2"/>
      </w:pPr>
      <w:r>
        <w:t xml:space="preserve">4. What’s missing / to be supplied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 subsistence amounts</w:t>
      </w:r>
      <w:r>
        <w:t xml:space="preserve"> </w:t>
      </w:r>
      <w:r>
        <w:t xml:space="preserve">— Sub-methods</w:t>
      </w:r>
      <w:r>
        <w:t xml:space="preserve"> </w:t>
      </w:r>
      <w:r>
        <w:rPr>
          <w:b/>
          <w:bCs/>
        </w:rPr>
        <w:t xml:space="preserve">2 and 3</w:t>
      </w:r>
      <w:r>
        <w:t xml:space="preserve"> </w:t>
      </w:r>
      <w:r>
        <w:t xml:space="preserve">compare against a</w:t>
      </w:r>
      <w:r>
        <w:t xml:space="preserve"> </w:t>
      </w:r>
      <w:r>
        <w:rPr>
          <w:i/>
          <w:iCs/>
        </w:rPr>
        <w:t xml:space="preserve">standard</w:t>
      </w:r>
      <w:r>
        <w:t xml:space="preserve"> </w:t>
      </w:r>
      <w:r>
        <w:t xml:space="preserve">basic-needs basket (a benchmark, e.g. the</w:t>
      </w:r>
      <w:r>
        <w:t xml:space="preserve"> </w:t>
      </w:r>
      <w:r>
        <w:rPr>
          <w:b/>
          <w:bCs/>
        </w:rPr>
        <w:t xml:space="preserve">PSA food threshold / subsistence poverty line</w:t>
      </w:r>
      <w:r>
        <w:t xml:space="preserve"> </w:t>
      </w:r>
      <w:r>
        <w:t xml:space="preserve">by area). This is</w:t>
      </w:r>
      <w:r>
        <w:t xml:space="preserve"> </w:t>
      </w:r>
      <w:r>
        <w:rPr>
          <w:b/>
          <w:bCs/>
        </w:rPr>
        <w:t xml:space="preserve">external data, not a survey question.</w:t>
      </w:r>
      <w:r>
        <w:t xml:space="preserve"> </w:t>
      </w:r>
      <w:r>
        <w:rPr>
          <w:i/>
          <w:iCs/>
        </w:rPr>
        <w:t xml:space="preserve">Supply the PSA figure if we run Sub-2/Sub-3.</w:t>
      </w:r>
      <w:r>
        <w:t xml:space="preserve"> </w:t>
      </w:r>
      <w:r>
        <w:rPr>
          <w:b/>
          <w:bCs/>
        </w:rPr>
        <w:t xml:space="preserve">Sub-1 (actual food) needs nothing external.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Which non-food rows count as</w:t>
      </w:r>
      <w:r>
        <w:rPr>
          <w:b/>
          <w:bCs/>
        </w:rPr>
        <w:t xml:space="preserve"> </w:t>
      </w:r>
      <w:r>
        <w:rPr>
          <w:b/>
          <w:bCs/>
        </w:rPr>
        <w:t xml:space="preserve">“rent”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“utilities”</w:t>
      </w:r>
      <w:r>
        <w:t xml:space="preserve"> </w:t>
      </w:r>
      <w:r>
        <w:t xml:space="preserve">— the module lists them by category; the ETL must pick the exact codes (rent/rental · water · electricity · fuel/LPG/firewood).</w:t>
      </w:r>
      <w:r>
        <w:t xml:space="preserve"> </w:t>
      </w:r>
      <w:r>
        <w:rPr>
          <w:i/>
          <w:iCs/>
        </w:rPr>
        <w:t xml:space="preserve">Confirm the code list with the data manager.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Reference period</w:t>
      </w:r>
      <w:r>
        <w:t xml:space="preserve"> </w:t>
      </w:r>
      <w:r>
        <w:t xml:space="preserve">— Section N mixes 1-, 6-, and 12-month recall, and there is</w:t>
      </w:r>
      <w:r>
        <w:t xml:space="preserve"> </w:t>
      </w:r>
      <w:r>
        <w:rPr>
          <w:b/>
          <w:bCs/>
        </w:rPr>
        <w:t xml:space="preserve">no auto-computed</w:t>
      </w:r>
      <w:r>
        <w:rPr>
          <w:b/>
          <w:bCs/>
        </w:rPr>
        <w:t xml:space="preserve"> </w:t>
      </w:r>
      <w:r>
        <w:rPr>
          <w:b/>
          <w:bCs/>
        </w:rPr>
        <w:t xml:space="preserve">“total expenditure”</w:t>
      </w:r>
      <w:r>
        <w:t xml:space="preserve"> </w:t>
      </w:r>
      <w:r>
        <w:t xml:space="preserve">(only food + 3 health subtotals are auto). The ETL must</w:t>
      </w:r>
      <w:r>
        <w:t xml:space="preserve"> </w:t>
      </w:r>
      <w:r>
        <w:rPr>
          <w:b/>
          <w:bCs/>
        </w:rPr>
        <w:t xml:space="preserve">annualize</w:t>
      </w:r>
      <w:r>
        <w:t xml:space="preserve">: non-food 1-mo ×12, 6-mo ×2, 12-mo ×1; food annualized; and use the</w:t>
      </w:r>
      <w:r>
        <w:t xml:space="preserve"> </w:t>
      </w:r>
      <w:r>
        <w:rPr>
          <w:b/>
          <w:bCs/>
        </w:rPr>
        <w:t xml:space="preserve">12-month health total (Q177)</w:t>
      </w:r>
      <w:r>
        <w:t xml:space="preserve"> </w:t>
      </w:r>
      <w:r>
        <w:t xml:space="preserve">so numerator and denominator cover the same year.</w:t>
      </w:r>
      <w:r>
        <w:t xml:space="preserve"> </w:t>
      </w:r>
      <w:r>
        <w:rPr>
          <w:i/>
          <w:iCs/>
        </w:rPr>
        <w:t xml:space="preserve">Confirm 12-month as the reference period.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OOP definition</w:t>
      </w:r>
      <w:r>
        <w:t xml:space="preserve"> </w:t>
      </w:r>
      <w:r>
        <w:t xml:space="preserve">— confirm the Section N health amounts are</w:t>
      </w:r>
      <w:r>
        <w:t xml:space="preserve"> </w:t>
      </w:r>
      <w:r>
        <w:rPr>
          <w:b/>
          <w:bCs/>
        </w:rPr>
        <w:t xml:space="preserve">net of PhilHealth/insurance</w:t>
      </w:r>
      <w:r>
        <w:t xml:space="preserve"> </w:t>
      </w:r>
      <w:r>
        <w:t xml:space="preserve">(true out-of-pocket), not gross.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Patients ≠ households</w:t>
      </w:r>
      <w:r>
        <w:t xml:space="preserve"> </w:t>
      </w:r>
      <w:r>
        <w:t xml:space="preserve">— 2.29’s printed universe is</w:t>
      </w:r>
      <w:r>
        <w:t xml:space="preserve"> </w:t>
      </w:r>
      <w:r>
        <w:rPr>
          <w:i/>
          <w:iCs/>
        </w:rPr>
        <w:t xml:space="preserve">patients</w:t>
      </w:r>
      <w:r>
        <w:t xml:space="preserve"> </w:t>
      </w:r>
      <w:r>
        <w:t xml:space="preserve">(F3), but F3 patients aren’t linked to F4 households. If DOH specifically wants CHE</w:t>
      </w:r>
      <w:r>
        <w:t xml:space="preserve"> </w:t>
      </w:r>
      <w:r>
        <w:rPr>
          <w:b/>
          <w:bCs/>
        </w:rPr>
        <w:t xml:space="preserve">among patients</w:t>
      </w:r>
      <w:r>
        <w:t xml:space="preserve">, F3 can only do</w:t>
      </w:r>
      <w:r>
        <w:t xml:space="preserve"> </w:t>
      </w:r>
      <w:r>
        <w:rPr>
          <w:b/>
          <w:bCs/>
        </w:rPr>
        <w:t xml:space="preserve">budget-share on income (Q18)</w:t>
      </w:r>
      <w:r>
        <w:t xml:space="preserve"> </w:t>
      </w:r>
      <w:r>
        <w:t xml:space="preserve">— a different method (10%/25%).</w:t>
      </w:r>
      <w:r>
        <w:t xml:space="preserve"> </w:t>
      </w:r>
      <w:r>
        <w:rPr>
          <w:i/>
          <w:iCs/>
        </w:rPr>
        <w:t xml:space="preserve">Decision needed: household-level CHE (F4, correct) or patient-level (F3, budget-share only).</w:t>
      </w:r>
    </w:p>
    <w:p>
      <w:r>
        <w:pict>
          <v:rect style="width:0;height:1.5pt" o:hralign="center" o:hrstd="t" o:hr="t"/>
        </w:pict>
      </w:r>
    </w:p>
    <w:bookmarkEnd w:id="12"/>
    <w:bookmarkStart w:id="13" w:name="what-to-ask-add"/>
    <w:p>
      <w:pPr>
        <w:pStyle w:val="Heading2"/>
      </w:pPr>
      <w:r>
        <w:t xml:space="preserve">5. What to ask / add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F4 (Household): no questionnaire change needed.</w:t>
      </w:r>
      <w:r>
        <w:t xml:space="preserve"> </w:t>
      </w:r>
      <w:r>
        <w:t xml:space="preserve">The WHO/SHA module already captures total spending, food, rent, and utilities — so Sub-1 and Sub-3 are computable today.</w:t>
      </w:r>
      <w:r>
        <w:t xml:space="preserve"> </w:t>
      </w:r>
      <w:r>
        <w:rPr>
          <w:i/>
          <w:iCs/>
        </w:rPr>
        <w:t xml:space="preserve">(No change during the freeze.)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F3 (Patient): no change recommended.</w:t>
      </w:r>
      <w:r>
        <w:t xml:space="preserve"> </w:t>
      </w:r>
      <w:r>
        <w:t xml:space="preserve">Adding a full household-consumption module to a patient survey isn’t feasible — move CHE to F4 instead.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External:</w:t>
      </w:r>
      <w:r>
        <w:t xml:space="preserve"> </w:t>
      </w:r>
      <w:r>
        <w:t xml:space="preserve">obtain the</w:t>
      </w:r>
      <w:r>
        <w:t xml:space="preserve"> </w:t>
      </w:r>
      <w:r>
        <w:rPr>
          <w:b/>
          <w:bCs/>
        </w:rPr>
        <w:t xml:space="preserve">PSA subsistence-food / basic-basket thresholds</w:t>
      </w:r>
      <w:r>
        <w:t xml:space="preserve"> </w:t>
      </w:r>
      <w:r>
        <w:t xml:space="preserve">only if DOH wants Sub-2/Sub-3.</w:t>
      </w:r>
    </w:p>
    <w:p>
      <w:r>
        <w:pict>
          <v:rect style="width:0;height:1.5pt" o:hralign="center" o:hrstd="t" o:hr="t"/>
        </w:pict>
      </w:r>
    </w:p>
    <w:bookmarkEnd w:id="13"/>
    <w:bookmarkStart w:id="14" w:name="X7624fe2e5890f24e8c9f330bcf1b219a2118235"/>
    <w:p>
      <w:pPr>
        <w:pStyle w:val="Heading2"/>
      </w:pPr>
      <w:r>
        <w:t xml:space="preserve">6. Recommendation to lock at the meeting (Table 2.29)</w:t>
      </w:r>
    </w:p>
    <w:p>
      <w:pPr>
        <w:pStyle w:val="FirstParagraph"/>
      </w:pPr>
      <w:r>
        <w:rPr>
          <w:b/>
          <w:bCs/>
        </w:rPr>
        <w:t xml:space="preserve">Compute 2.29 on F4 (Household), Capacity-to-Pay: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= household health OOP over 12 months (</w:t>
      </w:r>
      <w:r>
        <w:rPr>
          <w:b/>
          <w:bCs/>
        </w:rPr>
        <w:t xml:space="preserve">Q177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Denominator</w:t>
      </w:r>
      <w:r>
        <w:t xml:space="preserve"> </w:t>
      </w:r>
      <w:r>
        <w:t xml:space="preserve">= total annual household expenditure</w:t>
      </w:r>
      <w:r>
        <w:t xml:space="preserve"> </w:t>
      </w:r>
      <w:r>
        <w:rPr>
          <w:b/>
          <w:bCs/>
        </w:rPr>
        <w:t xml:space="preserve">− actual food (Q157)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Sub-method 1</w:t>
      </w:r>
      <w:r>
        <w:t xml:space="preserve">, reported at</w:t>
      </w:r>
      <w:r>
        <w:t xml:space="preserve"> </w:t>
      </w:r>
      <w:r>
        <w:rPr>
          <w:b/>
          <w:bCs/>
        </w:rPr>
        <w:t xml:space="preserve">25% and 40%</w:t>
      </w:r>
      <w:r>
        <w:t xml:space="preserve"> </w:t>
      </w:r>
      <w:r>
        <w:t xml:space="preserve">(matches the committed thresholds).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Optional sensitivity</w:t>
      </w:r>
      <w:r>
        <w:t xml:space="preserve"> </w:t>
      </w:r>
      <w:r>
        <w:t xml:space="preserve">= Sub-method 3 (− food − rent − utilities) at 40%, if DOH supplies/blesses the basic-needs basket.</w:t>
      </w:r>
      <w:r>
        <w:t xml:space="preserve"> </w:t>
      </w:r>
      <w:r>
        <w:t xml:space="preserve">- Keep</w:t>
      </w:r>
      <w:r>
        <w:t xml:space="preserve"> </w:t>
      </w:r>
      <w:r>
        <w:rPr>
          <w:b/>
          <w:bCs/>
        </w:rPr>
        <w:t xml:space="preserve">budget-share on income (Q18)</w:t>
      </w:r>
      <w:r>
        <w:t xml:space="preserve"> </w:t>
      </w:r>
      <w:r>
        <w:t xml:space="preserve">only as a secondary comparison if DOH wants the patient-level angle — labeled clearly at 10%/25%.</w:t>
      </w:r>
    </w:p>
    <w:p>
      <w:pPr>
        <w:pStyle w:val="BlockText"/>
      </w:pPr>
      <w:r>
        <w:t xml:space="preserve">This</w:t>
      </w:r>
      <w:r>
        <w:t xml:space="preserve"> </w:t>
      </w:r>
      <w:r>
        <w:rPr>
          <w:b/>
          <w:bCs/>
        </w:rPr>
        <w:t xml:space="preserve">supersedes</w:t>
      </w:r>
      <w:r>
        <w:t xml:space="preserve"> </w:t>
      </w:r>
      <w:r>
        <w:t xml:space="preserve">the earlier tracker note for 2.29 (</w:t>
      </w:r>
      <w:r>
        <w:t xml:space="preserve">“OOP ÷ income”</w:t>
      </w:r>
      <w:r>
        <w:t xml:space="preserve">). The tracker + brief are being updated to point 2.29 at F4 with the Capacity-to-Pay (Sub-1) method above.</w:t>
      </w:r>
    </w:p>
    <w:p>
      <w:pPr>
        <w:pStyle w:val="FirstParagraph"/>
      </w:pPr>
      <w:r>
        <w:rPr>
          <w:i/>
          <w:iCs/>
        </w:rPr>
        <w:t xml:space="preserve">Prepared 2026-07-06 from the F4 Section N module + the tabulation plan.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2026-07-06T07:01:28Z</dcterms:created>
  <dcterms:modified xsi:type="dcterms:W3CDTF">2026-07-06T07:01:28Z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