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DBAA" w14:textId="77777777" w:rsidR="002D0647" w:rsidRPr="00A34F47" w:rsidRDefault="00000000">
      <w:pPr>
        <w:pStyle w:val="Heading1"/>
        <w:rPr>
          <w:rFonts w:ascii="Arial" w:hAnsi="Arial" w:cs="Arial"/>
          <w:color w:val="000000" w:themeColor="text1"/>
          <w:sz w:val="32"/>
          <w:szCs w:val="32"/>
        </w:rPr>
      </w:pPr>
      <w:bookmarkStart w:id="0" w:name="Xd0c516a4fd1ef8a6076b08afadd3b97201dd386"/>
      <w:r w:rsidRPr="00A34F47">
        <w:rPr>
          <w:rFonts w:ascii="Arial" w:hAnsi="Arial" w:cs="Arial"/>
          <w:color w:val="000000" w:themeColor="text1"/>
          <w:sz w:val="32"/>
          <w:szCs w:val="32"/>
        </w:rPr>
        <w:t>Questionnaire Number (Case-ID) Convention — Brief for the Survey Manual</w:t>
      </w:r>
    </w:p>
    <w:p w14:paraId="19577545" w14:textId="77777777" w:rsidR="00A34F47" w:rsidRPr="00A34F47" w:rsidRDefault="00000000">
      <w:pPr>
        <w:pStyle w:val="FirstParagraph"/>
        <w:rPr>
          <w:rFonts w:ascii="Arial" w:hAnsi="Arial" w:cs="Arial"/>
          <w:color w:val="000000" w:themeColor="text1"/>
          <w:sz w:val="20"/>
          <w:szCs w:val="20"/>
        </w:rPr>
      </w:pPr>
      <w:r w:rsidRPr="00A34F47">
        <w:rPr>
          <w:rFonts w:ascii="Arial" w:hAnsi="Arial" w:cs="Arial"/>
          <w:b/>
          <w:bCs/>
          <w:color w:val="000000" w:themeColor="text1"/>
          <w:sz w:val="20"/>
          <w:szCs w:val="20"/>
        </w:rPr>
        <w:t>Date:</w:t>
      </w:r>
      <w:r w:rsidRPr="00A34F47">
        <w:rPr>
          <w:rFonts w:ascii="Arial" w:hAnsi="Arial" w:cs="Arial"/>
          <w:color w:val="000000" w:themeColor="text1"/>
          <w:sz w:val="20"/>
          <w:szCs w:val="20"/>
        </w:rPr>
        <w:t xml:space="preserve"> 2026-05-05</w:t>
      </w:r>
    </w:p>
    <w:p w14:paraId="5BC722D3" w14:textId="2138D776" w:rsidR="002D0647" w:rsidRPr="00A34F47" w:rsidRDefault="00000000" w:rsidP="00A34F47">
      <w:pPr>
        <w:pStyle w:val="FirstParagraph"/>
        <w:rPr>
          <w:rFonts w:ascii="Arial" w:hAnsi="Arial" w:cs="Arial"/>
          <w:color w:val="000000" w:themeColor="text1"/>
          <w:sz w:val="20"/>
          <w:szCs w:val="20"/>
        </w:rPr>
      </w:pPr>
      <w:r w:rsidRPr="00A34F47">
        <w:rPr>
          <w:rFonts w:ascii="Arial" w:hAnsi="Arial" w:cs="Arial"/>
          <w:b/>
          <w:bCs/>
          <w:color w:val="000000" w:themeColor="text1"/>
          <w:sz w:val="20"/>
          <w:szCs w:val="20"/>
        </w:rPr>
        <w:t>Re:</w:t>
      </w:r>
      <w:r w:rsidRPr="00A34F47">
        <w:rPr>
          <w:rFonts w:ascii="Arial" w:hAnsi="Arial" w:cs="Arial"/>
          <w:color w:val="000000" w:themeColor="text1"/>
          <w:sz w:val="20"/>
          <w:szCs w:val="20"/>
        </w:rPr>
        <w:t xml:space="preserve"> Coding the questionnaire number for CAPI (CSPro) and the F2 PWA — proposed convention for Survey Manual integration</w:t>
      </w:r>
    </w:p>
    <w:p w14:paraId="018FD019" w14:textId="77777777" w:rsidR="002D0647" w:rsidRPr="00A34F47" w:rsidRDefault="00000000">
      <w:pPr>
        <w:pStyle w:val="Heading2"/>
        <w:rPr>
          <w:rFonts w:ascii="Arial" w:hAnsi="Arial" w:cs="Arial"/>
          <w:color w:val="000000" w:themeColor="text1"/>
          <w:sz w:val="24"/>
          <w:szCs w:val="24"/>
        </w:rPr>
      </w:pPr>
      <w:bookmarkStart w:id="1" w:name="X1261ae08139d1b300b4a998fbff23a0aaf6a1cc"/>
      <w:r w:rsidRPr="00A34F47">
        <w:rPr>
          <w:rFonts w:ascii="Arial" w:hAnsi="Arial" w:cs="Arial"/>
          <w:color w:val="000000" w:themeColor="text1"/>
          <w:sz w:val="24"/>
          <w:szCs w:val="24"/>
        </w:rPr>
        <w:t>1. The concern you raised</w:t>
      </w:r>
    </w:p>
    <w:p w14:paraId="052F0196"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You flagged that:</w:t>
      </w:r>
    </w:p>
    <w:p w14:paraId="775C9B4D" w14:textId="77777777" w:rsidR="002D0647" w:rsidRPr="00A34F47" w:rsidRDefault="00000000">
      <w:pPr>
        <w:pStyle w:val="Compact"/>
        <w:numPr>
          <w:ilvl w:val="0"/>
          <w:numId w:val="2"/>
        </w:numPr>
        <w:rPr>
          <w:rFonts w:ascii="Arial" w:hAnsi="Arial" w:cs="Arial"/>
          <w:color w:val="000000" w:themeColor="text1"/>
          <w:sz w:val="20"/>
          <w:szCs w:val="20"/>
        </w:rPr>
      </w:pPr>
      <w:r w:rsidRPr="00A34F47">
        <w:rPr>
          <w:rFonts w:ascii="Arial" w:hAnsi="Arial" w:cs="Arial"/>
          <w:color w:val="000000" w:themeColor="text1"/>
          <w:sz w:val="20"/>
          <w:szCs w:val="20"/>
        </w:rPr>
        <w:t xml:space="preserve">The coding needs to be set </w:t>
      </w:r>
      <w:r w:rsidRPr="00A34F47">
        <w:rPr>
          <w:rFonts w:ascii="Arial" w:hAnsi="Arial" w:cs="Arial"/>
          <w:b/>
          <w:bCs/>
          <w:color w:val="000000" w:themeColor="text1"/>
          <w:sz w:val="20"/>
          <w:szCs w:val="20"/>
        </w:rPr>
        <w:t>per response</w:t>
      </w:r>
      <w:r w:rsidRPr="00A34F47">
        <w:rPr>
          <w:rFonts w:ascii="Arial" w:hAnsi="Arial" w:cs="Arial"/>
          <w:color w:val="000000" w:themeColor="text1"/>
          <w:sz w:val="20"/>
          <w:szCs w:val="20"/>
        </w:rPr>
        <w:t xml:space="preserve"> (per completed questionnaire), so that no two questionnaires can ever share an identifier.</w:t>
      </w:r>
    </w:p>
    <w:p w14:paraId="36BECD12" w14:textId="77777777" w:rsidR="002D0647" w:rsidRPr="00A34F47" w:rsidRDefault="00000000">
      <w:pPr>
        <w:pStyle w:val="Compact"/>
        <w:numPr>
          <w:ilvl w:val="0"/>
          <w:numId w:val="2"/>
        </w:numPr>
        <w:rPr>
          <w:rFonts w:ascii="Arial" w:hAnsi="Arial" w:cs="Arial"/>
          <w:color w:val="000000" w:themeColor="text1"/>
          <w:sz w:val="20"/>
          <w:szCs w:val="20"/>
        </w:rPr>
      </w:pPr>
      <w:r w:rsidRPr="00A34F47">
        <w:rPr>
          <w:rFonts w:ascii="Arial" w:hAnsi="Arial" w:cs="Arial"/>
          <w:color w:val="000000" w:themeColor="text1"/>
          <w:sz w:val="20"/>
          <w:szCs w:val="20"/>
        </w:rPr>
        <w:t xml:space="preserve">Our sample list is </w:t>
      </w:r>
      <w:r w:rsidRPr="00A34F47">
        <w:rPr>
          <w:rFonts w:ascii="Arial" w:hAnsi="Arial" w:cs="Arial"/>
          <w:b/>
          <w:bCs/>
          <w:color w:val="000000" w:themeColor="text1"/>
          <w:sz w:val="20"/>
          <w:szCs w:val="20"/>
        </w:rPr>
        <w:t>per facility</w:t>
      </w:r>
      <w:r w:rsidRPr="00A34F47">
        <w:rPr>
          <w:rFonts w:ascii="Arial" w:hAnsi="Arial" w:cs="Arial"/>
          <w:color w:val="000000" w:themeColor="text1"/>
          <w:sz w:val="20"/>
          <w:szCs w:val="20"/>
        </w:rPr>
        <w:t xml:space="preserve">, but each facility produces </w:t>
      </w:r>
      <w:r w:rsidRPr="00A34F47">
        <w:rPr>
          <w:rFonts w:ascii="Arial" w:hAnsi="Arial" w:cs="Arial"/>
          <w:b/>
          <w:bCs/>
          <w:color w:val="000000" w:themeColor="text1"/>
          <w:sz w:val="20"/>
          <w:szCs w:val="20"/>
        </w:rPr>
        <w:t>multiple responses</w:t>
      </w:r>
      <w:r w:rsidRPr="00A34F47">
        <w:rPr>
          <w:rFonts w:ascii="Arial" w:hAnsi="Arial" w:cs="Arial"/>
          <w:color w:val="000000" w:themeColor="text1"/>
          <w:sz w:val="20"/>
          <w:szCs w:val="20"/>
        </w:rPr>
        <w:t xml:space="preserve"> — multiple Healthcare Workers in F2, multiple patients in F3, multiple households in F4.</w:t>
      </w:r>
    </w:p>
    <w:p w14:paraId="50CDFBF0" w14:textId="77777777" w:rsidR="002D0647" w:rsidRPr="00A34F47" w:rsidRDefault="00000000">
      <w:pPr>
        <w:pStyle w:val="Compact"/>
        <w:numPr>
          <w:ilvl w:val="0"/>
          <w:numId w:val="2"/>
        </w:numPr>
        <w:rPr>
          <w:rFonts w:ascii="Arial" w:hAnsi="Arial" w:cs="Arial"/>
          <w:color w:val="000000" w:themeColor="text1"/>
          <w:sz w:val="20"/>
          <w:szCs w:val="20"/>
        </w:rPr>
      </w:pPr>
      <w:r w:rsidRPr="00A34F47">
        <w:rPr>
          <w:rFonts w:ascii="Arial" w:hAnsi="Arial" w:cs="Arial"/>
          <w:color w:val="000000" w:themeColor="text1"/>
          <w:sz w:val="20"/>
          <w:szCs w:val="20"/>
        </w:rPr>
        <w:t xml:space="preserve">From past experience, </w:t>
      </w:r>
      <w:r w:rsidRPr="00A34F47">
        <w:rPr>
          <w:rFonts w:ascii="Arial" w:hAnsi="Arial" w:cs="Arial"/>
          <w:b/>
          <w:bCs/>
          <w:color w:val="000000" w:themeColor="text1"/>
          <w:sz w:val="20"/>
          <w:szCs w:val="20"/>
        </w:rPr>
        <w:t>CAPI tends to merge responses if they are not coded</w:t>
      </w:r>
      <w:r w:rsidRPr="00A34F47">
        <w:rPr>
          <w:rFonts w:ascii="Arial" w:hAnsi="Arial" w:cs="Arial"/>
          <w:color w:val="000000" w:themeColor="text1"/>
          <w:sz w:val="20"/>
          <w:szCs w:val="20"/>
        </w:rPr>
        <w:t>, and that's the failure mode you want to design out.</w:t>
      </w:r>
    </w:p>
    <w:p w14:paraId="0946FC35"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 xml:space="preserve">Your instinct is correct. CSPro and CSWeb merge two cases into one row if they share a case-ID. The fix is to make collisions </w:t>
      </w:r>
      <w:r w:rsidRPr="00A34F47">
        <w:rPr>
          <w:rFonts w:ascii="Arial" w:hAnsi="Arial" w:cs="Arial"/>
          <w:b/>
          <w:bCs/>
          <w:color w:val="000000" w:themeColor="text1"/>
          <w:sz w:val="20"/>
          <w:szCs w:val="20"/>
        </w:rPr>
        <w:t>structurally impossible</w:t>
      </w:r>
      <w:r w:rsidRPr="00A34F47">
        <w:rPr>
          <w:rFonts w:ascii="Arial" w:hAnsi="Arial" w:cs="Arial"/>
          <w:color w:val="000000" w:themeColor="text1"/>
          <w:sz w:val="20"/>
          <w:szCs w:val="20"/>
        </w:rPr>
        <w:t xml:space="preserve"> — not just administratively prevented through a range-allocation table.</w:t>
      </w:r>
    </w:p>
    <w:p w14:paraId="39CAA4F2" w14:textId="266B8150" w:rsidR="002D0647" w:rsidRPr="00A34F47" w:rsidRDefault="00000000" w:rsidP="00A34F47">
      <w:pPr>
        <w:pStyle w:val="BodyText"/>
        <w:rPr>
          <w:rFonts w:ascii="Arial" w:hAnsi="Arial" w:cs="Arial"/>
          <w:color w:val="000000" w:themeColor="text1"/>
          <w:sz w:val="20"/>
          <w:szCs w:val="20"/>
        </w:rPr>
      </w:pPr>
      <w:r w:rsidRPr="00A34F47">
        <w:rPr>
          <w:rFonts w:ascii="Arial" w:hAnsi="Arial" w:cs="Arial"/>
          <w:color w:val="000000" w:themeColor="text1"/>
          <w:sz w:val="20"/>
          <w:szCs w:val="20"/>
        </w:rPr>
        <w:t>This brief proposes a convention that does that, and that fits how CSPro CAPI applications are conventionally built.</w:t>
      </w:r>
    </w:p>
    <w:p w14:paraId="2E26B966" w14:textId="77777777" w:rsidR="002D0647" w:rsidRPr="00A34F47" w:rsidRDefault="00000000">
      <w:pPr>
        <w:pStyle w:val="Heading2"/>
        <w:rPr>
          <w:rFonts w:ascii="Arial" w:hAnsi="Arial" w:cs="Arial"/>
          <w:color w:val="000000" w:themeColor="text1"/>
          <w:sz w:val="24"/>
          <w:szCs w:val="24"/>
        </w:rPr>
      </w:pPr>
      <w:bookmarkStart w:id="2" w:name="Xe0d7f4c2cca5ccee0b231511e542c18931c240c"/>
      <w:bookmarkEnd w:id="1"/>
      <w:r w:rsidRPr="00A34F47">
        <w:rPr>
          <w:rFonts w:ascii="Arial" w:hAnsi="Arial" w:cs="Arial"/>
          <w:color w:val="000000" w:themeColor="text1"/>
          <w:sz w:val="24"/>
          <w:szCs w:val="24"/>
        </w:rPr>
        <w:t>2. Proposed convention — 12-digit decomposed case-ID</w:t>
      </w:r>
    </w:p>
    <w:p w14:paraId="1EA35499"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b/>
          <w:bCs/>
          <w:color w:val="000000" w:themeColor="text1"/>
          <w:sz w:val="20"/>
          <w:szCs w:val="20"/>
        </w:rPr>
        <w:t>Format:</w:t>
      </w:r>
      <w:r w:rsidRPr="00A34F47">
        <w:rPr>
          <w:rFonts w:ascii="Arial" w:hAnsi="Arial" w:cs="Arial"/>
          <w:color w:val="000000" w:themeColor="text1"/>
          <w:sz w:val="20"/>
          <w:szCs w:val="20"/>
        </w:rPr>
        <w:t xml:space="preserve"> </w:t>
      </w:r>
      <w:r w:rsidRPr="00A34F47">
        <w:rPr>
          <w:rStyle w:val="VerbatimChar"/>
          <w:rFonts w:ascii="Arial" w:hAnsi="Arial" w:cs="Arial"/>
          <w:color w:val="000000" w:themeColor="text1"/>
          <w:sz w:val="18"/>
          <w:szCs w:val="20"/>
        </w:rPr>
        <w:t>RR-PP-MMM-FF-CCC</w:t>
      </w:r>
      <w:r w:rsidRPr="00A34F47">
        <w:rPr>
          <w:rFonts w:ascii="Arial" w:hAnsi="Arial" w:cs="Arial"/>
          <w:color w:val="000000" w:themeColor="text1"/>
          <w:sz w:val="20"/>
          <w:szCs w:val="20"/>
        </w:rPr>
        <w:t xml:space="preserve"> (stored as 12 digits, no separators; the dashed form is for human display only — training materials, dashboards, enumerator cards.)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28"/>
        <w:gridCol w:w="2607"/>
        <w:gridCol w:w="728"/>
        <w:gridCol w:w="854"/>
        <w:gridCol w:w="4459"/>
      </w:tblGrid>
      <w:tr w:rsidR="002D0647" w:rsidRPr="00A34F47" w14:paraId="62E4F704" w14:textId="77777777" w:rsidTr="00A34F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AF1438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Position</w:t>
            </w:r>
          </w:p>
        </w:tc>
        <w:tc>
          <w:tcPr>
            <w:tcW w:w="0" w:type="auto"/>
            <w:tcBorders>
              <w:bottom w:val="none" w:sz="0" w:space="0" w:color="auto"/>
            </w:tcBorders>
          </w:tcPr>
          <w:p w14:paraId="14B96D7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Field</w:t>
            </w:r>
          </w:p>
        </w:tc>
        <w:tc>
          <w:tcPr>
            <w:tcW w:w="0" w:type="auto"/>
            <w:tcBorders>
              <w:bottom w:val="none" w:sz="0" w:space="0" w:color="auto"/>
            </w:tcBorders>
          </w:tcPr>
          <w:p w14:paraId="28AA123A"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Width</w:t>
            </w:r>
          </w:p>
        </w:tc>
        <w:tc>
          <w:tcPr>
            <w:tcW w:w="0" w:type="auto"/>
            <w:tcBorders>
              <w:bottom w:val="none" w:sz="0" w:space="0" w:color="auto"/>
            </w:tcBorders>
          </w:tcPr>
          <w:p w14:paraId="1F8A0F4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Range</w:t>
            </w:r>
          </w:p>
        </w:tc>
        <w:tc>
          <w:tcPr>
            <w:tcW w:w="0" w:type="auto"/>
            <w:tcBorders>
              <w:bottom w:val="none" w:sz="0" w:space="0" w:color="auto"/>
            </w:tcBorders>
          </w:tcPr>
          <w:p w14:paraId="0E796A05"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Source</w:t>
            </w:r>
          </w:p>
        </w:tc>
      </w:tr>
      <w:tr w:rsidR="002D0647" w:rsidRPr="00A34F47" w14:paraId="1E503033" w14:textId="77777777" w:rsidTr="00A34F47">
        <w:tc>
          <w:tcPr>
            <w:tcW w:w="0" w:type="auto"/>
          </w:tcPr>
          <w:p w14:paraId="04E52CF3"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w:t>
            </w:r>
          </w:p>
        </w:tc>
        <w:tc>
          <w:tcPr>
            <w:tcW w:w="0" w:type="auto"/>
          </w:tcPr>
          <w:p w14:paraId="66FA073E"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REGION_CODE</w:t>
            </w:r>
          </w:p>
        </w:tc>
        <w:tc>
          <w:tcPr>
            <w:tcW w:w="0" w:type="auto"/>
          </w:tcPr>
          <w:p w14:paraId="20F4D2B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2</w:t>
            </w:r>
          </w:p>
        </w:tc>
        <w:tc>
          <w:tcPr>
            <w:tcW w:w="0" w:type="auto"/>
          </w:tcPr>
          <w:p w14:paraId="6B45176A"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01–19</w:t>
            </w:r>
          </w:p>
        </w:tc>
        <w:tc>
          <w:tcPr>
            <w:tcW w:w="0" w:type="auto"/>
          </w:tcPr>
          <w:p w14:paraId="54A02249"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PSA 1Q 2026 PSGC region</w:t>
            </w:r>
          </w:p>
        </w:tc>
      </w:tr>
      <w:tr w:rsidR="002D0647" w:rsidRPr="00A34F47" w14:paraId="69CBEDA2" w14:textId="77777777" w:rsidTr="00A34F47">
        <w:tc>
          <w:tcPr>
            <w:tcW w:w="0" w:type="auto"/>
          </w:tcPr>
          <w:p w14:paraId="0555DAAA"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2</w:t>
            </w:r>
          </w:p>
        </w:tc>
        <w:tc>
          <w:tcPr>
            <w:tcW w:w="0" w:type="auto"/>
          </w:tcPr>
          <w:p w14:paraId="49B25FD5"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PROVINCE_HUC_CODE</w:t>
            </w:r>
          </w:p>
        </w:tc>
        <w:tc>
          <w:tcPr>
            <w:tcW w:w="0" w:type="auto"/>
          </w:tcPr>
          <w:p w14:paraId="5B13516F"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2</w:t>
            </w:r>
          </w:p>
        </w:tc>
        <w:tc>
          <w:tcPr>
            <w:tcW w:w="0" w:type="auto"/>
          </w:tcPr>
          <w:p w14:paraId="0F27EE1D"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00–99</w:t>
            </w:r>
          </w:p>
        </w:tc>
        <w:tc>
          <w:tcPr>
            <w:tcW w:w="0" w:type="auto"/>
          </w:tcPr>
          <w:p w14:paraId="09E6796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PSA 1Q 2026 PSGC province / HUC slot within region (positions 3–4 of the 10-digit PSGC)</w:t>
            </w:r>
          </w:p>
        </w:tc>
      </w:tr>
      <w:tr w:rsidR="002D0647" w:rsidRPr="00A34F47" w14:paraId="106D1680" w14:textId="77777777" w:rsidTr="00A34F47">
        <w:tc>
          <w:tcPr>
            <w:tcW w:w="0" w:type="auto"/>
          </w:tcPr>
          <w:p w14:paraId="4F6846C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3</w:t>
            </w:r>
          </w:p>
        </w:tc>
        <w:tc>
          <w:tcPr>
            <w:tcW w:w="0" w:type="auto"/>
          </w:tcPr>
          <w:p w14:paraId="6E711657"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CITY_MUNICIPALITY_CODE</w:t>
            </w:r>
          </w:p>
        </w:tc>
        <w:tc>
          <w:tcPr>
            <w:tcW w:w="0" w:type="auto"/>
          </w:tcPr>
          <w:p w14:paraId="0372E8B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3</w:t>
            </w:r>
          </w:p>
        </w:tc>
        <w:tc>
          <w:tcPr>
            <w:tcW w:w="0" w:type="auto"/>
          </w:tcPr>
          <w:p w14:paraId="6A56778A"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000–999</w:t>
            </w:r>
          </w:p>
        </w:tc>
        <w:tc>
          <w:tcPr>
            <w:tcW w:w="0" w:type="auto"/>
          </w:tcPr>
          <w:p w14:paraId="1234D8C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PSA 1Q 2026 PSGC city / municipality slot within province (positions 5–7 of the 10-digit PSGC)</w:t>
            </w:r>
          </w:p>
        </w:tc>
      </w:tr>
      <w:tr w:rsidR="002D0647" w:rsidRPr="00A34F47" w14:paraId="50C37354" w14:textId="77777777" w:rsidTr="00A34F47">
        <w:tc>
          <w:tcPr>
            <w:tcW w:w="0" w:type="auto"/>
          </w:tcPr>
          <w:p w14:paraId="4404D59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4</w:t>
            </w:r>
          </w:p>
        </w:tc>
        <w:tc>
          <w:tcPr>
            <w:tcW w:w="0" w:type="auto"/>
          </w:tcPr>
          <w:p w14:paraId="0881BD79"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FACILITY_NO</w:t>
            </w:r>
          </w:p>
        </w:tc>
        <w:tc>
          <w:tcPr>
            <w:tcW w:w="0" w:type="auto"/>
          </w:tcPr>
          <w:p w14:paraId="744E7B5C"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2</w:t>
            </w:r>
          </w:p>
        </w:tc>
        <w:tc>
          <w:tcPr>
            <w:tcW w:w="0" w:type="auto"/>
          </w:tcPr>
          <w:p w14:paraId="01DF5F4D"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01–99</w:t>
            </w:r>
          </w:p>
        </w:tc>
        <w:tc>
          <w:tcPr>
            <w:tcW w:w="0" w:type="auto"/>
          </w:tcPr>
          <w:p w14:paraId="7157CF95"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ASPSI sample-frame index for the facility </w:t>
            </w:r>
            <w:r w:rsidRPr="00A34F47">
              <w:rPr>
                <w:rFonts w:ascii="Arial" w:hAnsi="Arial" w:cs="Arial"/>
                <w:i/>
                <w:iCs/>
                <w:color w:val="000000" w:themeColor="text1"/>
                <w:sz w:val="20"/>
                <w:szCs w:val="20"/>
              </w:rPr>
              <w:t>within the municipality</w:t>
            </w:r>
          </w:p>
        </w:tc>
      </w:tr>
      <w:tr w:rsidR="002D0647" w:rsidRPr="00A34F47" w14:paraId="3B0BC5A3" w14:textId="77777777" w:rsidTr="00A34F47">
        <w:tc>
          <w:tcPr>
            <w:tcW w:w="0" w:type="auto"/>
          </w:tcPr>
          <w:p w14:paraId="752C332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5</w:t>
            </w:r>
          </w:p>
        </w:tc>
        <w:tc>
          <w:tcPr>
            <w:tcW w:w="0" w:type="auto"/>
          </w:tcPr>
          <w:p w14:paraId="3BB376F9"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CASE_SEQ</w:t>
            </w:r>
          </w:p>
        </w:tc>
        <w:tc>
          <w:tcPr>
            <w:tcW w:w="0" w:type="auto"/>
          </w:tcPr>
          <w:p w14:paraId="6EE8089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3</w:t>
            </w:r>
          </w:p>
        </w:tc>
        <w:tc>
          <w:tcPr>
            <w:tcW w:w="0" w:type="auto"/>
          </w:tcPr>
          <w:p w14:paraId="569E9CC3"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001–999</w:t>
            </w:r>
          </w:p>
        </w:tc>
        <w:tc>
          <w:tcPr>
            <w:tcW w:w="0" w:type="auto"/>
          </w:tcPr>
          <w:p w14:paraId="1DF0D443"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Per-facility, per-instrument case sequence assigned by the STL</w:t>
            </w:r>
          </w:p>
        </w:tc>
      </w:tr>
    </w:tbl>
    <w:p w14:paraId="4DA9DA00" w14:textId="77777777" w:rsidR="002D0647" w:rsidRPr="00A34F47" w:rsidRDefault="00000000">
      <w:pPr>
        <w:pStyle w:val="BodyText"/>
        <w:rPr>
          <w:rFonts w:ascii="Arial" w:hAnsi="Arial" w:cs="Arial"/>
          <w:color w:val="000000" w:themeColor="text1"/>
          <w:sz w:val="20"/>
          <w:szCs w:val="20"/>
        </w:rPr>
      </w:pPr>
      <w:r w:rsidRPr="00A34F47">
        <w:rPr>
          <w:rFonts w:ascii="Arial" w:hAnsi="Arial" w:cs="Arial"/>
          <w:color w:val="000000" w:themeColor="text1"/>
          <w:sz w:val="20"/>
          <w:szCs w:val="20"/>
        </w:rPr>
        <w:t>The first seven digits (</w:t>
      </w:r>
      <w:r w:rsidRPr="00A34F47">
        <w:rPr>
          <w:rStyle w:val="VerbatimChar"/>
          <w:rFonts w:ascii="Arial" w:hAnsi="Arial" w:cs="Arial"/>
          <w:color w:val="000000" w:themeColor="text1"/>
          <w:sz w:val="18"/>
          <w:szCs w:val="20"/>
        </w:rPr>
        <w:t>RR-PP-MMM</w:t>
      </w:r>
      <w:r w:rsidRPr="00A34F47">
        <w:rPr>
          <w:rFonts w:ascii="Arial" w:hAnsi="Arial" w:cs="Arial"/>
          <w:color w:val="000000" w:themeColor="text1"/>
          <w:sz w:val="20"/>
          <w:szCs w:val="20"/>
        </w:rPr>
        <w:t xml:space="preserve">) are the </w:t>
      </w:r>
      <w:r w:rsidRPr="00A34F47">
        <w:rPr>
          <w:rFonts w:ascii="Arial" w:hAnsi="Arial" w:cs="Arial"/>
          <w:b/>
          <w:bCs/>
          <w:color w:val="000000" w:themeColor="text1"/>
          <w:sz w:val="20"/>
          <w:szCs w:val="20"/>
        </w:rPr>
        <w:t>PSA 1Q 2026 PSGC</w:t>
      </w:r>
      <w:r w:rsidRPr="00A34F47">
        <w:rPr>
          <w:rFonts w:ascii="Arial" w:hAnsi="Arial" w:cs="Arial"/>
          <w:color w:val="000000" w:themeColor="text1"/>
          <w:sz w:val="20"/>
          <w:szCs w:val="20"/>
        </w:rPr>
        <w:t xml:space="preserve"> slice that uniquely identifies the municipality — the same value already used by the F1 cascading geographic selector and the F-series geographic data items. The convention extends the manual's existing 9-digit specification by </w:t>
      </w:r>
      <w:r w:rsidRPr="00A34F47">
        <w:rPr>
          <w:rFonts w:ascii="Arial" w:hAnsi="Arial" w:cs="Arial"/>
          <w:b/>
          <w:bCs/>
          <w:color w:val="000000" w:themeColor="text1"/>
          <w:sz w:val="20"/>
          <w:szCs w:val="20"/>
        </w:rPr>
        <w:t>three digits</w:t>
      </w:r>
      <w:r w:rsidRPr="00A34F47">
        <w:rPr>
          <w:rFonts w:ascii="Arial" w:hAnsi="Arial" w:cs="Arial"/>
          <w:color w:val="000000" w:themeColor="text1"/>
          <w:sz w:val="20"/>
          <w:szCs w:val="20"/>
        </w:rPr>
        <w:t>: one extra digit on the municipality slot (PSA 1Q 2026 uses 3 digits where the manual's legacy example used 2) and two digits for the per-municipality facility number, so multiple facilities sampled in the same municipality remain distinct.</w:t>
      </w:r>
    </w:p>
    <w:p w14:paraId="081D1F66" w14:textId="77777777" w:rsidR="002D0647" w:rsidRPr="00A34F47" w:rsidRDefault="00000000">
      <w:pPr>
        <w:pStyle w:val="BlockText"/>
        <w:rPr>
          <w:rFonts w:ascii="Arial" w:hAnsi="Arial" w:cs="Arial"/>
          <w:color w:val="000000" w:themeColor="text1"/>
          <w:sz w:val="20"/>
          <w:szCs w:val="20"/>
        </w:rPr>
      </w:pPr>
      <w:r w:rsidRPr="00A34F47">
        <w:rPr>
          <w:rFonts w:ascii="Arial" w:hAnsi="Arial" w:cs="Arial"/>
          <w:b/>
          <w:bCs/>
          <w:color w:val="000000" w:themeColor="text1"/>
          <w:sz w:val="20"/>
          <w:szCs w:val="20"/>
        </w:rPr>
        <w:t>Note on PSGC version.</w:t>
      </w:r>
      <w:r w:rsidRPr="00A34F47">
        <w:rPr>
          <w:rFonts w:ascii="Arial" w:hAnsi="Arial" w:cs="Arial"/>
          <w:color w:val="000000" w:themeColor="text1"/>
          <w:sz w:val="20"/>
          <w:szCs w:val="20"/>
        </w:rPr>
        <w:t xml:space="preserve"> The manual's legacy worked example (</w:t>
      </w:r>
      <w:r w:rsidRPr="00A34F47">
        <w:rPr>
          <w:rStyle w:val="VerbatimChar"/>
          <w:rFonts w:ascii="Arial" w:hAnsi="Arial" w:cs="Arial"/>
          <w:color w:val="000000" w:themeColor="text1"/>
          <w:sz w:val="18"/>
          <w:szCs w:val="20"/>
        </w:rPr>
        <w:t>035401</w:t>
      </w:r>
      <w:r w:rsidRPr="00A34F47">
        <w:rPr>
          <w:rFonts w:ascii="Arial" w:hAnsi="Arial" w:cs="Arial"/>
          <w:color w:val="000000" w:themeColor="text1"/>
          <w:sz w:val="20"/>
          <w:szCs w:val="20"/>
        </w:rPr>
        <w:t xml:space="preserve"> for Magalang, Pampanga) reflects an older nationally-sequential PSGC that PSA superseded. PSA 1Q 2026 uses a within-region slot for province (Pampanga = </w:t>
      </w:r>
      <w:r w:rsidRPr="00A34F47">
        <w:rPr>
          <w:rStyle w:val="VerbatimChar"/>
          <w:rFonts w:ascii="Arial" w:hAnsi="Arial" w:cs="Arial"/>
          <w:color w:val="000000" w:themeColor="text1"/>
          <w:sz w:val="18"/>
          <w:szCs w:val="20"/>
        </w:rPr>
        <w:t>05</w:t>
      </w:r>
      <w:r w:rsidRPr="00A34F47">
        <w:rPr>
          <w:rFonts w:ascii="Arial" w:hAnsi="Arial" w:cs="Arial"/>
          <w:color w:val="000000" w:themeColor="text1"/>
          <w:sz w:val="20"/>
          <w:szCs w:val="20"/>
        </w:rPr>
        <w:t xml:space="preserve">, not </w:t>
      </w:r>
      <w:r w:rsidRPr="00A34F47">
        <w:rPr>
          <w:rStyle w:val="VerbatimChar"/>
          <w:rFonts w:ascii="Arial" w:hAnsi="Arial" w:cs="Arial"/>
          <w:color w:val="000000" w:themeColor="text1"/>
          <w:sz w:val="18"/>
          <w:szCs w:val="20"/>
        </w:rPr>
        <w:t>54</w:t>
      </w:r>
      <w:r w:rsidRPr="00A34F47">
        <w:rPr>
          <w:rFonts w:ascii="Arial" w:hAnsi="Arial" w:cs="Arial"/>
          <w:color w:val="000000" w:themeColor="text1"/>
          <w:sz w:val="20"/>
          <w:szCs w:val="20"/>
        </w:rPr>
        <w:t xml:space="preserve">) and a 3-digit within-province slot </w:t>
      </w:r>
      <w:r w:rsidRPr="00A34F47">
        <w:rPr>
          <w:rFonts w:ascii="Arial" w:hAnsi="Arial" w:cs="Arial"/>
          <w:color w:val="000000" w:themeColor="text1"/>
          <w:sz w:val="20"/>
          <w:szCs w:val="20"/>
        </w:rPr>
        <w:lastRenderedPageBreak/>
        <w:t xml:space="preserve">for municipality (Magalang = </w:t>
      </w:r>
      <w:r w:rsidRPr="00A34F47">
        <w:rPr>
          <w:rStyle w:val="VerbatimChar"/>
          <w:rFonts w:ascii="Arial" w:hAnsi="Arial" w:cs="Arial"/>
          <w:color w:val="000000" w:themeColor="text1"/>
          <w:sz w:val="18"/>
          <w:szCs w:val="20"/>
        </w:rPr>
        <w:t>411</w:t>
      </w:r>
      <w:r w:rsidRPr="00A34F47">
        <w:rPr>
          <w:rFonts w:ascii="Arial" w:hAnsi="Arial" w:cs="Arial"/>
          <w:color w:val="000000" w:themeColor="text1"/>
          <w:sz w:val="20"/>
          <w:szCs w:val="20"/>
        </w:rPr>
        <w:t xml:space="preserve">, not </w:t>
      </w:r>
      <w:r w:rsidRPr="00A34F47">
        <w:rPr>
          <w:rStyle w:val="VerbatimChar"/>
          <w:rFonts w:ascii="Arial" w:hAnsi="Arial" w:cs="Arial"/>
          <w:color w:val="000000" w:themeColor="text1"/>
          <w:sz w:val="18"/>
          <w:szCs w:val="20"/>
        </w:rPr>
        <w:t>01</w:t>
      </w:r>
      <w:r w:rsidRPr="00A34F47">
        <w:rPr>
          <w:rFonts w:ascii="Arial" w:hAnsi="Arial" w:cs="Arial"/>
          <w:color w:val="000000" w:themeColor="text1"/>
          <w:sz w:val="20"/>
          <w:szCs w:val="20"/>
        </w:rPr>
        <w:t>). The CAPI dictionaries already use PSA 1Q 2026; the case-ID is anchored to the same source so geography in the case-ID matches geography in the data items by construction.</w:t>
      </w:r>
    </w:p>
    <w:p w14:paraId="604A4706" w14:textId="77777777" w:rsidR="002D0647" w:rsidRPr="00A34F47" w:rsidRDefault="00000000">
      <w:pPr>
        <w:pStyle w:val="Heading3"/>
        <w:rPr>
          <w:rFonts w:ascii="Arial" w:hAnsi="Arial" w:cs="Arial"/>
          <w:color w:val="000000" w:themeColor="text1"/>
          <w:sz w:val="22"/>
          <w:szCs w:val="22"/>
        </w:rPr>
      </w:pPr>
      <w:bookmarkStart w:id="3" w:name="X696a705f921fd73a336fa6a449dec15a047f0fa"/>
      <w:r w:rsidRPr="00A34F47">
        <w:rPr>
          <w:rFonts w:ascii="Arial" w:hAnsi="Arial" w:cs="Arial"/>
          <w:color w:val="000000" w:themeColor="text1"/>
          <w:sz w:val="22"/>
          <w:szCs w:val="22"/>
        </w:rPr>
        <w:t>How this differs from a range-allocation table per LGU</w:t>
      </w:r>
    </w:p>
    <w:p w14:paraId="1C938926"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A range-allocation table (e.g., Manila = cases 001–026, Mandaluyong = cases 001–013) is workable, but introduces three risks that the decomposed scheme eliminates: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065"/>
        <w:gridCol w:w="4511"/>
      </w:tblGrid>
      <w:tr w:rsidR="002D0647" w:rsidRPr="00A34F47" w14:paraId="285605A1" w14:textId="77777777" w:rsidTr="00A34F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0133B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Risk under range-allocation</w:t>
            </w:r>
          </w:p>
        </w:tc>
        <w:tc>
          <w:tcPr>
            <w:tcW w:w="0" w:type="auto"/>
            <w:tcBorders>
              <w:bottom w:val="none" w:sz="0" w:space="0" w:color="auto"/>
            </w:tcBorders>
          </w:tcPr>
          <w:p w14:paraId="402A0D89"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Resolution under the decomposed scheme</w:t>
            </w:r>
          </w:p>
        </w:tc>
      </w:tr>
      <w:tr w:rsidR="002D0647" w:rsidRPr="00A34F47" w14:paraId="07C1E7E0" w14:textId="77777777" w:rsidTr="00A34F47">
        <w:tc>
          <w:tcPr>
            <w:tcW w:w="0" w:type="auto"/>
          </w:tcPr>
          <w:p w14:paraId="0722C88F"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Range exhaustion if a facility produces more cases than allocated</w:t>
            </w:r>
          </w:p>
        </w:tc>
        <w:tc>
          <w:tcPr>
            <w:tcW w:w="0" w:type="auto"/>
          </w:tcPr>
          <w:p w14:paraId="5C74CBF9"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CASE_SEQ</w:t>
            </w:r>
            <w:r w:rsidRPr="00A34F47">
              <w:rPr>
                <w:rFonts w:ascii="Arial" w:hAnsi="Arial" w:cs="Arial"/>
                <w:color w:val="000000" w:themeColor="text1"/>
                <w:sz w:val="20"/>
                <w:szCs w:val="20"/>
              </w:rPr>
              <w:t xml:space="preserve"> runs to 999 per facility per instrument — well above any expected count</w:t>
            </w:r>
          </w:p>
        </w:tc>
      </w:tr>
      <w:tr w:rsidR="002D0647" w:rsidRPr="00A34F47" w14:paraId="1634363C" w14:textId="77777777" w:rsidTr="00A34F47">
        <w:tc>
          <w:tcPr>
            <w:tcW w:w="0" w:type="auto"/>
          </w:tcPr>
          <w:p w14:paraId="34E93CB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Two enumerators can both type the same number and collide (depends on humans following the table)</w:t>
            </w:r>
          </w:p>
        </w:tc>
        <w:tc>
          <w:tcPr>
            <w:tcW w:w="0" w:type="auto"/>
          </w:tcPr>
          <w:p w14:paraId="72CBF99F"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Collision is impossible by construction — </w:t>
            </w:r>
            <w:r w:rsidRPr="00A34F47">
              <w:rPr>
                <w:rStyle w:val="VerbatimChar"/>
                <w:rFonts w:ascii="Arial" w:hAnsi="Arial" w:cs="Arial"/>
                <w:color w:val="000000" w:themeColor="text1"/>
                <w:sz w:val="18"/>
                <w:szCs w:val="20"/>
              </w:rPr>
              <w:t>FF</w:t>
            </w:r>
            <w:r w:rsidRPr="00A34F47">
              <w:rPr>
                <w:rFonts w:ascii="Arial" w:hAnsi="Arial" w:cs="Arial"/>
                <w:color w:val="000000" w:themeColor="text1"/>
                <w:sz w:val="20"/>
                <w:szCs w:val="20"/>
              </w:rPr>
              <w:t xml:space="preserve"> and </w:t>
            </w:r>
            <w:r w:rsidRPr="00A34F47">
              <w:rPr>
                <w:rStyle w:val="VerbatimChar"/>
                <w:rFonts w:ascii="Arial" w:hAnsi="Arial" w:cs="Arial"/>
                <w:color w:val="000000" w:themeColor="text1"/>
                <w:sz w:val="18"/>
                <w:szCs w:val="20"/>
              </w:rPr>
              <w:t>RECORD_TYPE</w:t>
            </w:r>
            <w:r w:rsidRPr="00A34F47">
              <w:rPr>
                <w:rFonts w:ascii="Arial" w:hAnsi="Arial" w:cs="Arial"/>
                <w:color w:val="000000" w:themeColor="text1"/>
                <w:sz w:val="20"/>
                <w:szCs w:val="20"/>
              </w:rPr>
              <w:t xml:space="preserve"> separate every case</w:t>
            </w:r>
          </w:p>
        </w:tc>
      </w:tr>
      <w:tr w:rsidR="002D0647" w:rsidRPr="00A34F47" w14:paraId="0B88B7A0" w14:textId="77777777" w:rsidTr="00A34F47">
        <w:tc>
          <w:tcPr>
            <w:tcW w:w="0" w:type="auto"/>
          </w:tcPr>
          <w:p w14:paraId="6C115DCE"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The case-ID alone doesn't tell you which facility the case came from</w:t>
            </w:r>
          </w:p>
        </w:tc>
        <w:tc>
          <w:tcPr>
            <w:tcW w:w="0" w:type="auto"/>
          </w:tcPr>
          <w:p w14:paraId="7148A902"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The case-ID itself encodes geography and facility; no lookup table needed to decode it</w:t>
            </w:r>
          </w:p>
        </w:tc>
      </w:tr>
    </w:tbl>
    <w:p w14:paraId="16F93F62" w14:textId="77777777" w:rsidR="002D0647" w:rsidRPr="00A34F47" w:rsidRDefault="00000000">
      <w:pPr>
        <w:rPr>
          <w:rFonts w:ascii="Arial" w:hAnsi="Arial" w:cs="Arial"/>
          <w:color w:val="000000" w:themeColor="text1"/>
          <w:sz w:val="20"/>
          <w:szCs w:val="20"/>
        </w:rPr>
      </w:pPr>
      <w:r w:rsidRPr="00A34F47">
        <w:rPr>
          <w:rFonts w:ascii="Arial" w:hAnsi="Arial" w:cs="Arial"/>
          <w:color w:val="000000" w:themeColor="text1"/>
          <w:sz w:val="20"/>
          <w:szCs w:val="20"/>
        </w:rPr>
        <w:pict w14:anchorId="215CD3AA">
          <v:rect id="_x0000_i1027" style="width:0;height:1.5pt" o:hralign="center" o:hrstd="t" o:hr="t"/>
        </w:pict>
      </w:r>
    </w:p>
    <w:p w14:paraId="7301464D" w14:textId="77777777" w:rsidR="002D0647" w:rsidRPr="00A34F47" w:rsidRDefault="00000000">
      <w:pPr>
        <w:pStyle w:val="Heading2"/>
        <w:rPr>
          <w:rFonts w:ascii="Arial" w:hAnsi="Arial" w:cs="Arial"/>
          <w:color w:val="000000" w:themeColor="text1"/>
          <w:sz w:val="24"/>
          <w:szCs w:val="24"/>
        </w:rPr>
      </w:pPr>
      <w:bookmarkStart w:id="4" w:name="X39b5644ba02d79ac13eb2488c062020c9f74d23"/>
      <w:bookmarkEnd w:id="2"/>
      <w:bookmarkEnd w:id="3"/>
      <w:r w:rsidRPr="00A34F47">
        <w:rPr>
          <w:rFonts w:ascii="Arial" w:hAnsi="Arial" w:cs="Arial"/>
          <w:color w:val="000000" w:themeColor="text1"/>
          <w:sz w:val="24"/>
          <w:szCs w:val="24"/>
        </w:rPr>
        <w:t>3. Worked example — Magalang, Pampanga (RR=03, PP=05, MMM=411)</w:t>
      </w:r>
    </w:p>
    <w:p w14:paraId="12F2DE8D"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Two sampled facilities. The table walks through F1, F2, F3, F4 cases including a replacement case and a refused case. PSGC values are PSA 1Q 2026.</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9"/>
        <w:gridCol w:w="1418"/>
        <w:gridCol w:w="1038"/>
        <w:gridCol w:w="1209"/>
        <w:gridCol w:w="1128"/>
        <w:gridCol w:w="1414"/>
        <w:gridCol w:w="2930"/>
      </w:tblGrid>
      <w:tr w:rsidR="002D0647" w:rsidRPr="00A34F47" w14:paraId="53D87ECA" w14:textId="77777777" w:rsidTr="00A34F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A509454"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w:t>
            </w:r>
          </w:p>
        </w:tc>
        <w:tc>
          <w:tcPr>
            <w:tcW w:w="0" w:type="auto"/>
            <w:tcBorders>
              <w:bottom w:val="none" w:sz="0" w:space="0" w:color="auto"/>
            </w:tcBorders>
          </w:tcPr>
          <w:p w14:paraId="50570A7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Case ID</w:t>
            </w:r>
          </w:p>
        </w:tc>
        <w:tc>
          <w:tcPr>
            <w:tcW w:w="0" w:type="auto"/>
            <w:tcBorders>
              <w:bottom w:val="none" w:sz="0" w:space="0" w:color="auto"/>
            </w:tcBorders>
          </w:tcPr>
          <w:p w14:paraId="3639810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Decoded</w:t>
            </w:r>
          </w:p>
        </w:tc>
        <w:tc>
          <w:tcPr>
            <w:tcW w:w="0" w:type="auto"/>
            <w:tcBorders>
              <w:bottom w:val="none" w:sz="0" w:space="0" w:color="auto"/>
            </w:tcBorders>
          </w:tcPr>
          <w:p w14:paraId="57179E71"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Instrument</w:t>
            </w:r>
          </w:p>
        </w:tc>
        <w:tc>
          <w:tcPr>
            <w:tcW w:w="0" w:type="auto"/>
            <w:tcBorders>
              <w:bottom w:val="none" w:sz="0" w:space="0" w:color="auto"/>
            </w:tcBorders>
          </w:tcPr>
          <w:p w14:paraId="4026380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Facility</w:t>
            </w:r>
          </w:p>
        </w:tc>
        <w:tc>
          <w:tcPr>
            <w:tcW w:w="0" w:type="auto"/>
            <w:tcBorders>
              <w:bottom w:val="none" w:sz="0" w:space="0" w:color="auto"/>
            </w:tcBorders>
          </w:tcPr>
          <w:p w14:paraId="154062BA"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Respondent / unit</w:t>
            </w:r>
          </w:p>
        </w:tc>
        <w:tc>
          <w:tcPr>
            <w:tcW w:w="0" w:type="auto"/>
            <w:tcBorders>
              <w:bottom w:val="none" w:sz="0" w:space="0" w:color="auto"/>
            </w:tcBorders>
          </w:tcPr>
          <w:p w14:paraId="6218288C"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Notes</w:t>
            </w:r>
          </w:p>
        </w:tc>
      </w:tr>
      <w:tr w:rsidR="002D0647" w:rsidRPr="00A34F47" w14:paraId="6BAB9E03" w14:textId="77777777" w:rsidTr="00A34F47">
        <w:tc>
          <w:tcPr>
            <w:tcW w:w="0" w:type="auto"/>
          </w:tcPr>
          <w:p w14:paraId="3384F5D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w:t>
            </w:r>
          </w:p>
        </w:tc>
        <w:tc>
          <w:tcPr>
            <w:tcW w:w="0" w:type="auto"/>
          </w:tcPr>
          <w:p w14:paraId="0ED8B0AC"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030541101001</w:t>
            </w:r>
          </w:p>
        </w:tc>
        <w:tc>
          <w:tcPr>
            <w:tcW w:w="0" w:type="auto"/>
          </w:tcPr>
          <w:p w14:paraId="29FE6F5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03-05-411-01-001</w:t>
            </w:r>
          </w:p>
        </w:tc>
        <w:tc>
          <w:tcPr>
            <w:tcW w:w="0" w:type="auto"/>
          </w:tcPr>
          <w:p w14:paraId="2102CAB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F1 Facility Head</w:t>
            </w:r>
          </w:p>
        </w:tc>
        <w:tc>
          <w:tcPr>
            <w:tcW w:w="0" w:type="auto"/>
          </w:tcPr>
          <w:p w14:paraId="0328252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RHU</w:t>
            </w:r>
          </w:p>
        </w:tc>
        <w:tc>
          <w:tcPr>
            <w:tcW w:w="0" w:type="auto"/>
          </w:tcPr>
          <w:p w14:paraId="36260C01"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The facility head</w:t>
            </w:r>
          </w:p>
        </w:tc>
        <w:tc>
          <w:tcPr>
            <w:tcW w:w="0" w:type="auto"/>
          </w:tcPr>
          <w:p w14:paraId="6CA75D1A"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F1 always uses </w:t>
            </w:r>
            <w:r w:rsidRPr="00A34F47">
              <w:rPr>
                <w:rStyle w:val="VerbatimChar"/>
                <w:rFonts w:ascii="Arial" w:hAnsi="Arial" w:cs="Arial"/>
                <w:color w:val="000000" w:themeColor="text1"/>
                <w:sz w:val="18"/>
                <w:szCs w:val="20"/>
              </w:rPr>
              <w:t>CCC=001</w:t>
            </w:r>
            <w:r w:rsidRPr="00A34F47">
              <w:rPr>
                <w:rFonts w:ascii="Arial" w:hAnsi="Arial" w:cs="Arial"/>
                <w:color w:val="000000" w:themeColor="text1"/>
                <w:sz w:val="20"/>
                <w:szCs w:val="20"/>
              </w:rPr>
              <w:t xml:space="preserve"> (one head per facility)</w:t>
            </w:r>
          </w:p>
        </w:tc>
      </w:tr>
      <w:tr w:rsidR="002D0647" w:rsidRPr="00A34F47" w14:paraId="77AAD0C7" w14:textId="77777777" w:rsidTr="00A34F47">
        <w:tc>
          <w:tcPr>
            <w:tcW w:w="0" w:type="auto"/>
          </w:tcPr>
          <w:p w14:paraId="31D9C4C3"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2</w:t>
            </w:r>
          </w:p>
        </w:tc>
        <w:tc>
          <w:tcPr>
            <w:tcW w:w="0" w:type="auto"/>
          </w:tcPr>
          <w:p w14:paraId="0A5E476F"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030541101001</w:t>
            </w:r>
          </w:p>
        </w:tc>
        <w:tc>
          <w:tcPr>
            <w:tcW w:w="0" w:type="auto"/>
          </w:tcPr>
          <w:p w14:paraId="5DE7119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03-05-411-01-001</w:t>
            </w:r>
          </w:p>
        </w:tc>
        <w:tc>
          <w:tcPr>
            <w:tcW w:w="0" w:type="auto"/>
          </w:tcPr>
          <w:p w14:paraId="049AA46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F2 Healthcare Worker</w:t>
            </w:r>
          </w:p>
        </w:tc>
        <w:tc>
          <w:tcPr>
            <w:tcW w:w="0" w:type="auto"/>
          </w:tcPr>
          <w:p w14:paraId="3BA1AF0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RHU</w:t>
            </w:r>
          </w:p>
        </w:tc>
        <w:tc>
          <w:tcPr>
            <w:tcW w:w="0" w:type="auto"/>
          </w:tcPr>
          <w:p w14:paraId="44C46E71"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1st HCW respondent</w:t>
            </w:r>
          </w:p>
        </w:tc>
        <w:tc>
          <w:tcPr>
            <w:tcW w:w="0" w:type="auto"/>
          </w:tcPr>
          <w:p w14:paraId="3ECDC92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Same numeric ID as F1 row 1, but </w:t>
            </w:r>
            <w:r w:rsidRPr="00A34F47">
              <w:rPr>
                <w:rStyle w:val="VerbatimChar"/>
                <w:rFonts w:ascii="Arial" w:hAnsi="Arial" w:cs="Arial"/>
                <w:color w:val="000000" w:themeColor="text1"/>
                <w:sz w:val="18"/>
                <w:szCs w:val="20"/>
              </w:rPr>
              <w:t>RECORD_TYPE</w:t>
            </w:r>
            <w:r w:rsidRPr="00A34F47">
              <w:rPr>
                <w:rFonts w:ascii="Arial" w:hAnsi="Arial" w:cs="Arial"/>
                <w:color w:val="000000" w:themeColor="text1"/>
                <w:sz w:val="20"/>
                <w:szCs w:val="20"/>
              </w:rPr>
              <w:t xml:space="preserve"> separates the two instruments — they live in different dictionaries and do not collide</w:t>
            </w:r>
          </w:p>
        </w:tc>
      </w:tr>
      <w:tr w:rsidR="002D0647" w:rsidRPr="00A34F47" w14:paraId="13E81A5B" w14:textId="77777777" w:rsidTr="00A34F47">
        <w:tc>
          <w:tcPr>
            <w:tcW w:w="0" w:type="auto"/>
          </w:tcPr>
          <w:p w14:paraId="6F186CE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3</w:t>
            </w:r>
          </w:p>
        </w:tc>
        <w:tc>
          <w:tcPr>
            <w:tcW w:w="0" w:type="auto"/>
          </w:tcPr>
          <w:p w14:paraId="171701FC"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030541101007</w:t>
            </w:r>
          </w:p>
        </w:tc>
        <w:tc>
          <w:tcPr>
            <w:tcW w:w="0" w:type="auto"/>
          </w:tcPr>
          <w:p w14:paraId="68B3E434"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03-05-411-01-007</w:t>
            </w:r>
          </w:p>
        </w:tc>
        <w:tc>
          <w:tcPr>
            <w:tcW w:w="0" w:type="auto"/>
          </w:tcPr>
          <w:p w14:paraId="58469FEA"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F2 Healthcare Worker</w:t>
            </w:r>
          </w:p>
        </w:tc>
        <w:tc>
          <w:tcPr>
            <w:tcW w:w="0" w:type="auto"/>
          </w:tcPr>
          <w:p w14:paraId="2871CBF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RHU</w:t>
            </w:r>
          </w:p>
        </w:tc>
        <w:tc>
          <w:tcPr>
            <w:tcW w:w="0" w:type="auto"/>
          </w:tcPr>
          <w:p w14:paraId="30AABB84"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7th HCW respondent</w:t>
            </w:r>
          </w:p>
        </w:tc>
        <w:tc>
          <w:tcPr>
            <w:tcW w:w="0" w:type="auto"/>
          </w:tcPr>
          <w:p w14:paraId="20E8894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Active range</w:t>
            </w:r>
          </w:p>
        </w:tc>
      </w:tr>
      <w:tr w:rsidR="002D0647" w:rsidRPr="00A34F47" w14:paraId="3FD7F987" w14:textId="77777777" w:rsidTr="00A34F47">
        <w:tc>
          <w:tcPr>
            <w:tcW w:w="0" w:type="auto"/>
          </w:tcPr>
          <w:p w14:paraId="4A47BE32"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4</w:t>
            </w:r>
          </w:p>
        </w:tc>
        <w:tc>
          <w:tcPr>
            <w:tcW w:w="0" w:type="auto"/>
          </w:tcPr>
          <w:p w14:paraId="3D58534A"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030541101023</w:t>
            </w:r>
          </w:p>
        </w:tc>
        <w:tc>
          <w:tcPr>
            <w:tcW w:w="0" w:type="auto"/>
          </w:tcPr>
          <w:p w14:paraId="0080108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03-05-411-01-023</w:t>
            </w:r>
          </w:p>
        </w:tc>
        <w:tc>
          <w:tcPr>
            <w:tcW w:w="0" w:type="auto"/>
          </w:tcPr>
          <w:p w14:paraId="4C06F24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F3 Patient</w:t>
            </w:r>
          </w:p>
        </w:tc>
        <w:tc>
          <w:tcPr>
            <w:tcW w:w="0" w:type="auto"/>
          </w:tcPr>
          <w:p w14:paraId="418A0CA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RHU</w:t>
            </w:r>
          </w:p>
        </w:tc>
        <w:tc>
          <w:tcPr>
            <w:tcW w:w="0" w:type="auto"/>
          </w:tcPr>
          <w:p w14:paraId="6813323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23rd patient (outpatient)</w:t>
            </w:r>
          </w:p>
        </w:tc>
        <w:tc>
          <w:tcPr>
            <w:tcW w:w="0" w:type="auto"/>
          </w:tcPr>
          <w:p w14:paraId="437A248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Active range</w:t>
            </w:r>
          </w:p>
        </w:tc>
      </w:tr>
      <w:tr w:rsidR="002D0647" w:rsidRPr="00A34F47" w14:paraId="66B5DA54" w14:textId="77777777" w:rsidTr="00A34F47">
        <w:tc>
          <w:tcPr>
            <w:tcW w:w="0" w:type="auto"/>
          </w:tcPr>
          <w:p w14:paraId="5B8C8982"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5</w:t>
            </w:r>
          </w:p>
        </w:tc>
        <w:tc>
          <w:tcPr>
            <w:tcW w:w="0" w:type="auto"/>
          </w:tcPr>
          <w:p w14:paraId="3984156C"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030541101055</w:t>
            </w:r>
          </w:p>
        </w:tc>
        <w:tc>
          <w:tcPr>
            <w:tcW w:w="0" w:type="auto"/>
          </w:tcPr>
          <w:p w14:paraId="1B3697DE"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03-05-411-01-055</w:t>
            </w:r>
          </w:p>
        </w:tc>
        <w:tc>
          <w:tcPr>
            <w:tcW w:w="0" w:type="auto"/>
          </w:tcPr>
          <w:p w14:paraId="186CEC01"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F3 Patient</w:t>
            </w:r>
          </w:p>
        </w:tc>
        <w:tc>
          <w:tcPr>
            <w:tcW w:w="0" w:type="auto"/>
          </w:tcPr>
          <w:p w14:paraId="25A6995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RHU</w:t>
            </w:r>
          </w:p>
        </w:tc>
        <w:tc>
          <w:tcPr>
            <w:tcW w:w="0" w:type="auto"/>
          </w:tcPr>
          <w:p w14:paraId="035644B4"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55th patient (inpatient)</w:t>
            </w:r>
          </w:p>
        </w:tc>
        <w:tc>
          <w:tcPr>
            <w:tcW w:w="0" w:type="auto"/>
          </w:tcPr>
          <w:p w14:paraId="1F965E8C"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Active range</w:t>
            </w:r>
          </w:p>
        </w:tc>
      </w:tr>
      <w:tr w:rsidR="002D0647" w:rsidRPr="00A34F47" w14:paraId="3C0E686E" w14:textId="77777777" w:rsidTr="00A34F47">
        <w:tc>
          <w:tcPr>
            <w:tcW w:w="0" w:type="auto"/>
          </w:tcPr>
          <w:p w14:paraId="6985AE91"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6</w:t>
            </w:r>
          </w:p>
        </w:tc>
        <w:tc>
          <w:tcPr>
            <w:tcW w:w="0" w:type="auto"/>
          </w:tcPr>
          <w:p w14:paraId="4886D9A6"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030541101012</w:t>
            </w:r>
          </w:p>
        </w:tc>
        <w:tc>
          <w:tcPr>
            <w:tcW w:w="0" w:type="auto"/>
          </w:tcPr>
          <w:p w14:paraId="7858A17F"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03-05-411-01-012</w:t>
            </w:r>
          </w:p>
        </w:tc>
        <w:tc>
          <w:tcPr>
            <w:tcW w:w="0" w:type="auto"/>
          </w:tcPr>
          <w:p w14:paraId="7B38906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F4 Household</w:t>
            </w:r>
          </w:p>
        </w:tc>
        <w:tc>
          <w:tcPr>
            <w:tcW w:w="0" w:type="auto"/>
          </w:tcPr>
          <w:p w14:paraId="4409993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RHU</w:t>
            </w:r>
          </w:p>
        </w:tc>
        <w:tc>
          <w:tcPr>
            <w:tcW w:w="0" w:type="auto"/>
          </w:tcPr>
          <w:p w14:paraId="3F4790F2"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12th household interval-walked from a sampled patient</w:t>
            </w:r>
          </w:p>
        </w:tc>
        <w:tc>
          <w:tcPr>
            <w:tcW w:w="0" w:type="auto"/>
          </w:tcPr>
          <w:p w14:paraId="37907612"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Linked to F3 case </w:t>
            </w:r>
            <w:r w:rsidRPr="00A34F47">
              <w:rPr>
                <w:rStyle w:val="VerbatimChar"/>
                <w:rFonts w:ascii="Arial" w:hAnsi="Arial" w:cs="Arial"/>
                <w:color w:val="000000" w:themeColor="text1"/>
                <w:sz w:val="18"/>
                <w:szCs w:val="20"/>
              </w:rPr>
              <w:t>023</w:t>
            </w:r>
            <w:r w:rsidRPr="00A34F47">
              <w:rPr>
                <w:rFonts w:ascii="Arial" w:hAnsi="Arial" w:cs="Arial"/>
                <w:color w:val="000000" w:themeColor="text1"/>
                <w:sz w:val="20"/>
                <w:szCs w:val="20"/>
              </w:rPr>
              <w:t xml:space="preserve"> via the </w:t>
            </w:r>
            <w:r w:rsidRPr="00A34F47">
              <w:rPr>
                <w:rStyle w:val="VerbatimChar"/>
                <w:rFonts w:ascii="Arial" w:hAnsi="Arial" w:cs="Arial"/>
                <w:color w:val="000000" w:themeColor="text1"/>
                <w:sz w:val="18"/>
                <w:szCs w:val="20"/>
              </w:rPr>
              <w:t>F4_PARENT_F3_CASE_SEQ</w:t>
            </w:r>
            <w:r w:rsidRPr="00A34F47">
              <w:rPr>
                <w:rFonts w:ascii="Arial" w:hAnsi="Arial" w:cs="Arial"/>
                <w:color w:val="000000" w:themeColor="text1"/>
                <w:sz w:val="20"/>
                <w:szCs w:val="20"/>
              </w:rPr>
              <w:t xml:space="preserve"> data item (see §6)</w:t>
            </w:r>
          </w:p>
        </w:tc>
      </w:tr>
      <w:tr w:rsidR="002D0647" w:rsidRPr="00A34F47" w14:paraId="1E272CB0" w14:textId="77777777" w:rsidTr="00A34F47">
        <w:tc>
          <w:tcPr>
            <w:tcW w:w="0" w:type="auto"/>
          </w:tcPr>
          <w:p w14:paraId="0FC9204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7</w:t>
            </w:r>
          </w:p>
        </w:tc>
        <w:tc>
          <w:tcPr>
            <w:tcW w:w="0" w:type="auto"/>
          </w:tcPr>
          <w:p w14:paraId="31E7EEE1"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030541101701</w:t>
            </w:r>
          </w:p>
        </w:tc>
        <w:tc>
          <w:tcPr>
            <w:tcW w:w="0" w:type="auto"/>
          </w:tcPr>
          <w:p w14:paraId="29C3F239"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03-05-411-01-701</w:t>
            </w:r>
          </w:p>
        </w:tc>
        <w:tc>
          <w:tcPr>
            <w:tcW w:w="0" w:type="auto"/>
          </w:tcPr>
          <w:p w14:paraId="5D304F4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F3 Patient</w:t>
            </w:r>
          </w:p>
        </w:tc>
        <w:tc>
          <w:tcPr>
            <w:tcW w:w="0" w:type="auto"/>
          </w:tcPr>
          <w:p w14:paraId="215EE13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RHU</w:t>
            </w:r>
          </w:p>
        </w:tc>
        <w:tc>
          <w:tcPr>
            <w:tcW w:w="0" w:type="auto"/>
          </w:tcPr>
          <w:p w14:paraId="4FF3B7B4"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1st replacement patient</w:t>
            </w:r>
          </w:p>
        </w:tc>
        <w:tc>
          <w:tcPr>
            <w:tcW w:w="0" w:type="auto"/>
          </w:tcPr>
          <w:p w14:paraId="53DB465C"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Replacement range (700–899) — drawn after a refusal; see §4</w:t>
            </w:r>
          </w:p>
        </w:tc>
      </w:tr>
      <w:tr w:rsidR="002D0647" w:rsidRPr="00A34F47" w14:paraId="50BB29DD" w14:textId="77777777" w:rsidTr="00A34F47">
        <w:tc>
          <w:tcPr>
            <w:tcW w:w="0" w:type="auto"/>
          </w:tcPr>
          <w:p w14:paraId="5FEA19A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8</w:t>
            </w:r>
          </w:p>
        </w:tc>
        <w:tc>
          <w:tcPr>
            <w:tcW w:w="0" w:type="auto"/>
          </w:tcPr>
          <w:p w14:paraId="32E7F577"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030541101901</w:t>
            </w:r>
          </w:p>
        </w:tc>
        <w:tc>
          <w:tcPr>
            <w:tcW w:w="0" w:type="auto"/>
          </w:tcPr>
          <w:p w14:paraId="07C0942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w:t>
            </w:r>
            <w:r w:rsidRPr="00A34F47">
              <w:rPr>
                <w:rFonts w:ascii="Arial" w:hAnsi="Arial" w:cs="Arial"/>
                <w:color w:val="000000" w:themeColor="text1"/>
                <w:sz w:val="20"/>
                <w:szCs w:val="20"/>
              </w:rPr>
              <w:lastRenderedPageBreak/>
              <w:t>411-01-901</w:t>
            </w:r>
          </w:p>
        </w:tc>
        <w:tc>
          <w:tcPr>
            <w:tcW w:w="0" w:type="auto"/>
          </w:tcPr>
          <w:p w14:paraId="01FF4474"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lastRenderedPageBreak/>
              <w:t xml:space="preserve">F2 </w:t>
            </w:r>
            <w:r w:rsidRPr="00A34F47">
              <w:rPr>
                <w:rFonts w:ascii="Arial" w:hAnsi="Arial" w:cs="Arial"/>
                <w:color w:val="000000" w:themeColor="text1"/>
                <w:sz w:val="20"/>
                <w:szCs w:val="20"/>
              </w:rPr>
              <w:lastRenderedPageBreak/>
              <w:t>Healthcare Worker</w:t>
            </w:r>
          </w:p>
        </w:tc>
        <w:tc>
          <w:tcPr>
            <w:tcW w:w="0" w:type="auto"/>
          </w:tcPr>
          <w:p w14:paraId="38F1CBCA"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lastRenderedPageBreak/>
              <w:t xml:space="preserve">Magalang </w:t>
            </w:r>
            <w:r w:rsidRPr="00A34F47">
              <w:rPr>
                <w:rFonts w:ascii="Arial" w:hAnsi="Arial" w:cs="Arial"/>
                <w:color w:val="000000" w:themeColor="text1"/>
                <w:sz w:val="20"/>
                <w:szCs w:val="20"/>
              </w:rPr>
              <w:lastRenderedPageBreak/>
              <w:t>RHU</w:t>
            </w:r>
          </w:p>
        </w:tc>
        <w:tc>
          <w:tcPr>
            <w:tcW w:w="0" w:type="auto"/>
          </w:tcPr>
          <w:p w14:paraId="2F23E053"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lastRenderedPageBreak/>
              <w:t xml:space="preserve">1st refused </w:t>
            </w:r>
            <w:r w:rsidRPr="00A34F47">
              <w:rPr>
                <w:rFonts w:ascii="Arial" w:hAnsi="Arial" w:cs="Arial"/>
                <w:color w:val="000000" w:themeColor="text1"/>
                <w:sz w:val="20"/>
                <w:szCs w:val="20"/>
              </w:rPr>
              <w:lastRenderedPageBreak/>
              <w:t>HCW attempt</w:t>
            </w:r>
          </w:p>
        </w:tc>
        <w:tc>
          <w:tcPr>
            <w:tcW w:w="0" w:type="auto"/>
          </w:tcPr>
          <w:p w14:paraId="0E6195C4"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lastRenderedPageBreak/>
              <w:t xml:space="preserve">Refused range (900–999) — </w:t>
            </w:r>
            <w:r w:rsidRPr="00A34F47">
              <w:rPr>
                <w:rFonts w:ascii="Arial" w:hAnsi="Arial" w:cs="Arial"/>
                <w:color w:val="000000" w:themeColor="text1"/>
                <w:sz w:val="20"/>
                <w:szCs w:val="20"/>
              </w:rPr>
              <w:lastRenderedPageBreak/>
              <w:t xml:space="preserve">recorded for response-rate accounting; AAPOR disposition is captured in the </w:t>
            </w:r>
            <w:r w:rsidRPr="00A34F47">
              <w:rPr>
                <w:rStyle w:val="VerbatimChar"/>
                <w:rFonts w:ascii="Arial" w:hAnsi="Arial" w:cs="Arial"/>
                <w:color w:val="000000" w:themeColor="text1"/>
                <w:sz w:val="18"/>
                <w:szCs w:val="20"/>
              </w:rPr>
              <w:t>FIELD_CONTROL</w:t>
            </w:r>
            <w:r w:rsidRPr="00A34F47">
              <w:rPr>
                <w:rFonts w:ascii="Arial" w:hAnsi="Arial" w:cs="Arial"/>
                <w:color w:val="000000" w:themeColor="text1"/>
                <w:sz w:val="20"/>
                <w:szCs w:val="20"/>
              </w:rPr>
              <w:t xml:space="preserve"> block</w:t>
            </w:r>
          </w:p>
        </w:tc>
      </w:tr>
      <w:tr w:rsidR="002D0647" w:rsidRPr="00A34F47" w14:paraId="3FF654B5" w14:textId="77777777" w:rsidTr="00A34F47">
        <w:tc>
          <w:tcPr>
            <w:tcW w:w="0" w:type="auto"/>
          </w:tcPr>
          <w:p w14:paraId="3741DCD3"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lastRenderedPageBreak/>
              <w:t>9</w:t>
            </w:r>
          </w:p>
        </w:tc>
        <w:tc>
          <w:tcPr>
            <w:tcW w:w="0" w:type="auto"/>
          </w:tcPr>
          <w:p w14:paraId="74C166D0"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030541102001</w:t>
            </w:r>
          </w:p>
        </w:tc>
        <w:tc>
          <w:tcPr>
            <w:tcW w:w="0" w:type="auto"/>
          </w:tcPr>
          <w:p w14:paraId="3A92237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03-05-411-02-001</w:t>
            </w:r>
          </w:p>
        </w:tc>
        <w:tc>
          <w:tcPr>
            <w:tcW w:w="0" w:type="auto"/>
          </w:tcPr>
          <w:p w14:paraId="13664C7E"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F1 Facility Head</w:t>
            </w:r>
          </w:p>
        </w:tc>
        <w:tc>
          <w:tcPr>
            <w:tcW w:w="0" w:type="auto"/>
          </w:tcPr>
          <w:p w14:paraId="5691383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District Hosp.</w:t>
            </w:r>
          </w:p>
        </w:tc>
        <w:tc>
          <w:tcPr>
            <w:tcW w:w="0" w:type="auto"/>
          </w:tcPr>
          <w:p w14:paraId="1C2689E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Facility head at the 2nd sampled facility</w:t>
            </w:r>
          </w:p>
        </w:tc>
        <w:tc>
          <w:tcPr>
            <w:tcW w:w="0" w:type="auto"/>
          </w:tcPr>
          <w:p w14:paraId="0D84EFF5"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FF=02</w:t>
            </w:r>
            <w:r w:rsidRPr="00A34F47">
              <w:rPr>
                <w:rFonts w:ascii="Arial" w:hAnsi="Arial" w:cs="Arial"/>
                <w:color w:val="000000" w:themeColor="text1"/>
                <w:sz w:val="20"/>
                <w:szCs w:val="20"/>
              </w:rPr>
              <w:t xml:space="preserve"> distinguishes from row 1 — same municipality, different facility</w:t>
            </w:r>
          </w:p>
        </w:tc>
      </w:tr>
      <w:tr w:rsidR="002D0647" w:rsidRPr="00A34F47" w14:paraId="31087C42" w14:textId="77777777" w:rsidTr="00A34F47">
        <w:tc>
          <w:tcPr>
            <w:tcW w:w="0" w:type="auto"/>
          </w:tcPr>
          <w:p w14:paraId="681C8143"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10</w:t>
            </w:r>
          </w:p>
        </w:tc>
        <w:tc>
          <w:tcPr>
            <w:tcW w:w="0" w:type="auto"/>
          </w:tcPr>
          <w:p w14:paraId="2897DB8E"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030541102015</w:t>
            </w:r>
          </w:p>
        </w:tc>
        <w:tc>
          <w:tcPr>
            <w:tcW w:w="0" w:type="auto"/>
          </w:tcPr>
          <w:p w14:paraId="64CEA5DC"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03-05-411-02-015</w:t>
            </w:r>
          </w:p>
        </w:tc>
        <w:tc>
          <w:tcPr>
            <w:tcW w:w="0" w:type="auto"/>
          </w:tcPr>
          <w:p w14:paraId="66BDC981"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F3 Patient</w:t>
            </w:r>
          </w:p>
        </w:tc>
        <w:tc>
          <w:tcPr>
            <w:tcW w:w="0" w:type="auto"/>
          </w:tcPr>
          <w:p w14:paraId="19E838E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Magalang District Hosp.</w:t>
            </w:r>
          </w:p>
        </w:tc>
        <w:tc>
          <w:tcPr>
            <w:tcW w:w="0" w:type="auto"/>
          </w:tcPr>
          <w:p w14:paraId="7CDAA923"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15th patient at the 2nd facility</w:t>
            </w:r>
          </w:p>
        </w:tc>
        <w:tc>
          <w:tcPr>
            <w:tcW w:w="0" w:type="auto"/>
          </w:tcPr>
          <w:p w14:paraId="6B9793A8"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Shares </w:t>
            </w:r>
            <w:r w:rsidRPr="00A34F47">
              <w:rPr>
                <w:rStyle w:val="VerbatimChar"/>
                <w:rFonts w:ascii="Arial" w:hAnsi="Arial" w:cs="Arial"/>
                <w:color w:val="000000" w:themeColor="text1"/>
                <w:sz w:val="18"/>
                <w:szCs w:val="20"/>
              </w:rPr>
              <w:t>RR-PP-MMM</w:t>
            </w:r>
            <w:r w:rsidRPr="00A34F47">
              <w:rPr>
                <w:rFonts w:ascii="Arial" w:hAnsi="Arial" w:cs="Arial"/>
                <w:color w:val="000000" w:themeColor="text1"/>
                <w:sz w:val="20"/>
                <w:szCs w:val="20"/>
              </w:rPr>
              <w:t xml:space="preserve"> with row 5 but differs in </w:t>
            </w:r>
            <w:r w:rsidRPr="00A34F47">
              <w:rPr>
                <w:rStyle w:val="VerbatimChar"/>
                <w:rFonts w:ascii="Arial" w:hAnsi="Arial" w:cs="Arial"/>
                <w:color w:val="000000" w:themeColor="text1"/>
                <w:sz w:val="18"/>
                <w:szCs w:val="20"/>
              </w:rPr>
              <w:t>FF</w:t>
            </w:r>
            <w:r w:rsidRPr="00A34F47">
              <w:rPr>
                <w:rFonts w:ascii="Arial" w:hAnsi="Arial" w:cs="Arial"/>
                <w:color w:val="000000" w:themeColor="text1"/>
                <w:sz w:val="20"/>
                <w:szCs w:val="20"/>
              </w:rPr>
              <w:t xml:space="preserve"> — no merge</w:t>
            </w:r>
          </w:p>
        </w:tc>
      </w:tr>
      <w:tr w:rsidR="002D0647" w:rsidRPr="00A34F47" w14:paraId="254F0BC7" w14:textId="77777777" w:rsidTr="00A34F47">
        <w:tc>
          <w:tcPr>
            <w:tcW w:w="0" w:type="auto"/>
          </w:tcPr>
          <w:p w14:paraId="2D93BCEE"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11</w:t>
            </w:r>
          </w:p>
        </w:tc>
        <w:tc>
          <w:tcPr>
            <w:tcW w:w="0" w:type="auto"/>
          </w:tcPr>
          <w:p w14:paraId="17C3BED8"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138060001008</w:t>
            </w:r>
          </w:p>
        </w:tc>
        <w:tc>
          <w:tcPr>
            <w:tcW w:w="0" w:type="auto"/>
          </w:tcPr>
          <w:p w14:paraId="4B7D29C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13-80-600-01-008</w:t>
            </w:r>
          </w:p>
        </w:tc>
        <w:tc>
          <w:tcPr>
            <w:tcW w:w="0" w:type="auto"/>
          </w:tcPr>
          <w:p w14:paraId="1BB891CF"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F2 Healthcare Worker</w:t>
            </w:r>
          </w:p>
        </w:tc>
        <w:tc>
          <w:tcPr>
            <w:tcW w:w="0" w:type="auto"/>
          </w:tcPr>
          <w:p w14:paraId="12BE75D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(City of Manila example)</w:t>
            </w:r>
          </w:p>
        </w:tc>
        <w:tc>
          <w:tcPr>
            <w:tcW w:w="0" w:type="auto"/>
          </w:tcPr>
          <w:p w14:paraId="2FBC539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8th HCW at the 1st sampled Manila facility</w:t>
            </w:r>
          </w:p>
        </w:tc>
        <w:tc>
          <w:tcPr>
            <w:tcW w:w="0" w:type="auto"/>
          </w:tcPr>
          <w:p w14:paraId="66DF731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Manila PSGC </w:t>
            </w:r>
            <w:r w:rsidRPr="00A34F47">
              <w:rPr>
                <w:rStyle w:val="VerbatimChar"/>
                <w:rFonts w:ascii="Arial" w:hAnsi="Arial" w:cs="Arial"/>
                <w:color w:val="000000" w:themeColor="text1"/>
                <w:sz w:val="18"/>
                <w:szCs w:val="20"/>
              </w:rPr>
              <w:t>1380600000</w:t>
            </w:r>
            <w:r w:rsidRPr="00A34F47">
              <w:rPr>
                <w:rFonts w:ascii="Arial" w:hAnsi="Arial" w:cs="Arial"/>
                <w:color w:val="000000" w:themeColor="text1"/>
                <w:sz w:val="20"/>
                <w:szCs w:val="20"/>
              </w:rPr>
              <w:t xml:space="preserve"> → RR=13, PP=80, MMM=600. Different geographic prefix entirely; included to show how the scheme decomposes across regions</w:t>
            </w:r>
          </w:p>
        </w:tc>
      </w:tr>
    </w:tbl>
    <w:p w14:paraId="292995F5" w14:textId="3531099C" w:rsidR="002D0647" w:rsidRPr="00A34F47" w:rsidRDefault="00000000" w:rsidP="00A34F47">
      <w:pPr>
        <w:pStyle w:val="BodyText"/>
        <w:rPr>
          <w:rFonts w:ascii="Arial" w:hAnsi="Arial" w:cs="Arial"/>
          <w:color w:val="000000" w:themeColor="text1"/>
          <w:sz w:val="20"/>
          <w:szCs w:val="20"/>
        </w:rPr>
      </w:pPr>
      <w:r w:rsidRPr="00A34F47">
        <w:rPr>
          <w:rFonts w:ascii="Arial" w:hAnsi="Arial" w:cs="Arial"/>
          <w:color w:val="000000" w:themeColor="text1"/>
          <w:sz w:val="20"/>
          <w:szCs w:val="20"/>
        </w:rPr>
        <w:t xml:space="preserve">Rows 5, 7, and 10 jointly demonstrate the design's value. Three F3 cases that </w:t>
      </w:r>
      <w:r w:rsidRPr="00A34F47">
        <w:rPr>
          <w:rFonts w:ascii="Arial" w:hAnsi="Arial" w:cs="Arial"/>
          <w:i/>
          <w:iCs/>
          <w:color w:val="000000" w:themeColor="text1"/>
          <w:sz w:val="20"/>
          <w:szCs w:val="20"/>
        </w:rPr>
        <w:t>would</w:t>
      </w:r>
      <w:r w:rsidRPr="00A34F47">
        <w:rPr>
          <w:rFonts w:ascii="Arial" w:hAnsi="Arial" w:cs="Arial"/>
          <w:color w:val="000000" w:themeColor="text1"/>
          <w:sz w:val="20"/>
          <w:szCs w:val="20"/>
        </w:rPr>
        <w:t xml:space="preserve"> have looked similar under range-allocation (case "023", case "701", case "015") are structurally distinct here because the </w:t>
      </w:r>
      <w:r w:rsidRPr="00A34F47">
        <w:rPr>
          <w:rStyle w:val="VerbatimChar"/>
          <w:rFonts w:ascii="Arial" w:hAnsi="Arial" w:cs="Arial"/>
          <w:color w:val="000000" w:themeColor="text1"/>
          <w:sz w:val="18"/>
          <w:szCs w:val="20"/>
        </w:rPr>
        <w:t>FF</w:t>
      </w:r>
      <w:r w:rsidRPr="00A34F47">
        <w:rPr>
          <w:rFonts w:ascii="Arial" w:hAnsi="Arial" w:cs="Arial"/>
          <w:color w:val="000000" w:themeColor="text1"/>
          <w:sz w:val="20"/>
          <w:szCs w:val="20"/>
        </w:rPr>
        <w:t xml:space="preserve"> field and the active/replacement/refused band keep them apart at the level of the case-ID itself.</w:t>
      </w:r>
    </w:p>
    <w:p w14:paraId="3B6AA781" w14:textId="77777777" w:rsidR="002D0647" w:rsidRPr="00A34F47" w:rsidRDefault="00000000">
      <w:pPr>
        <w:pStyle w:val="Heading2"/>
        <w:rPr>
          <w:rFonts w:ascii="Arial" w:hAnsi="Arial" w:cs="Arial"/>
          <w:color w:val="000000" w:themeColor="text1"/>
          <w:sz w:val="24"/>
          <w:szCs w:val="24"/>
        </w:rPr>
      </w:pPr>
      <w:bookmarkStart w:id="5" w:name="X5b25c1960bc60177377ba7dfa60dabb1ce1a4fa"/>
      <w:bookmarkEnd w:id="4"/>
      <w:r w:rsidRPr="00A34F47">
        <w:rPr>
          <w:rFonts w:ascii="Arial" w:hAnsi="Arial" w:cs="Arial"/>
          <w:color w:val="000000" w:themeColor="text1"/>
          <w:sz w:val="24"/>
          <w:szCs w:val="24"/>
        </w:rPr>
        <w:t xml:space="preserve">4. </w:t>
      </w:r>
      <w:r w:rsidRPr="00A34F47">
        <w:rPr>
          <w:rStyle w:val="VerbatimChar"/>
          <w:rFonts w:ascii="Arial" w:hAnsi="Arial" w:cs="Arial"/>
          <w:color w:val="000000" w:themeColor="text1"/>
          <w:sz w:val="18"/>
          <w:szCs w:val="24"/>
        </w:rPr>
        <w:t>CASE_SEQ</w:t>
      </w:r>
      <w:r w:rsidRPr="00A34F47">
        <w:rPr>
          <w:rFonts w:ascii="Arial" w:hAnsi="Arial" w:cs="Arial"/>
          <w:color w:val="000000" w:themeColor="text1"/>
          <w:sz w:val="24"/>
          <w:szCs w:val="24"/>
        </w:rPr>
        <w:t xml:space="preserve"> range partitioning per facility per instrument</w:t>
      </w:r>
    </w:p>
    <w:p w14:paraId="05A8CEFE"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 xml:space="preserve">The 3-digit </w:t>
      </w:r>
      <w:r w:rsidRPr="00A34F47">
        <w:rPr>
          <w:rStyle w:val="VerbatimChar"/>
          <w:rFonts w:ascii="Arial" w:hAnsi="Arial" w:cs="Arial"/>
          <w:color w:val="000000" w:themeColor="text1"/>
          <w:sz w:val="18"/>
          <w:szCs w:val="20"/>
        </w:rPr>
        <w:t>CASE_SEQ</w:t>
      </w:r>
      <w:r w:rsidRPr="00A34F47">
        <w:rPr>
          <w:rFonts w:ascii="Arial" w:hAnsi="Arial" w:cs="Arial"/>
          <w:color w:val="000000" w:themeColor="text1"/>
          <w:sz w:val="20"/>
          <w:szCs w:val="20"/>
        </w:rPr>
        <w:t xml:space="preserve"> is partitioned to operationalize the manual's existing replacement-protocol rule that </w:t>
      </w:r>
      <w:r w:rsidRPr="00A34F47">
        <w:rPr>
          <w:rFonts w:ascii="Arial" w:hAnsi="Arial" w:cs="Arial"/>
          <w:i/>
          <w:iCs/>
          <w:color w:val="000000" w:themeColor="text1"/>
          <w:sz w:val="20"/>
          <w:szCs w:val="20"/>
        </w:rPr>
        <w:t>"refused or cancelled cases are assigned a different number range"</w:t>
      </w:r>
      <w:r w:rsidRPr="00A34F47">
        <w:rPr>
          <w:rFonts w:ascii="Arial" w:hAnsi="Arial" w:cs="Arial"/>
          <w:color w:val="000000" w:themeColor="text1"/>
          <w:sz w:val="20"/>
          <w:szCs w:val="20"/>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8"/>
        <w:gridCol w:w="1993"/>
        <w:gridCol w:w="6725"/>
      </w:tblGrid>
      <w:tr w:rsidR="002D0647" w:rsidRPr="00A34F47" w14:paraId="6B6D28E2" w14:textId="77777777" w:rsidTr="00A34F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819928F"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Range</w:t>
            </w:r>
          </w:p>
        </w:tc>
        <w:tc>
          <w:tcPr>
            <w:tcW w:w="0" w:type="auto"/>
            <w:tcBorders>
              <w:bottom w:val="none" w:sz="0" w:space="0" w:color="auto"/>
            </w:tcBorders>
          </w:tcPr>
          <w:p w14:paraId="481838D6"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Use</w:t>
            </w:r>
          </w:p>
        </w:tc>
        <w:tc>
          <w:tcPr>
            <w:tcW w:w="0" w:type="auto"/>
            <w:tcBorders>
              <w:bottom w:val="none" w:sz="0" w:space="0" w:color="auto"/>
            </w:tcBorders>
          </w:tcPr>
          <w:p w14:paraId="64494F1E"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Notes</w:t>
            </w:r>
          </w:p>
        </w:tc>
      </w:tr>
      <w:tr w:rsidR="002D0647" w:rsidRPr="00A34F47" w14:paraId="42E19B6E" w14:textId="77777777" w:rsidTr="00A34F47">
        <w:tc>
          <w:tcPr>
            <w:tcW w:w="0" w:type="auto"/>
          </w:tcPr>
          <w:p w14:paraId="55C65106"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001–699</w:t>
            </w:r>
          </w:p>
        </w:tc>
        <w:tc>
          <w:tcPr>
            <w:tcW w:w="0" w:type="auto"/>
          </w:tcPr>
          <w:p w14:paraId="341F34D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b/>
                <w:bCs/>
                <w:color w:val="000000" w:themeColor="text1"/>
                <w:sz w:val="20"/>
                <w:szCs w:val="20"/>
              </w:rPr>
              <w:t>Active cases</w:t>
            </w:r>
          </w:p>
        </w:tc>
        <w:tc>
          <w:tcPr>
            <w:tcW w:w="0" w:type="auto"/>
          </w:tcPr>
          <w:p w14:paraId="2C39DD0A"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Sub-allocated by the STL across enumerators (e.g., Enumerator 1: 001–050; Enumerator 2: 051–100)</w:t>
            </w:r>
          </w:p>
        </w:tc>
      </w:tr>
      <w:tr w:rsidR="002D0647" w:rsidRPr="00A34F47" w14:paraId="77798DCB" w14:textId="77777777" w:rsidTr="00A34F47">
        <w:tc>
          <w:tcPr>
            <w:tcW w:w="0" w:type="auto"/>
          </w:tcPr>
          <w:p w14:paraId="641499C9"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700–899</w:t>
            </w:r>
          </w:p>
        </w:tc>
        <w:tc>
          <w:tcPr>
            <w:tcW w:w="0" w:type="auto"/>
          </w:tcPr>
          <w:p w14:paraId="055C9129"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b/>
                <w:bCs/>
                <w:color w:val="000000" w:themeColor="text1"/>
                <w:sz w:val="20"/>
                <w:szCs w:val="20"/>
              </w:rPr>
              <w:t>Replacement cases</w:t>
            </w:r>
          </w:p>
        </w:tc>
        <w:tc>
          <w:tcPr>
            <w:tcW w:w="0" w:type="auto"/>
          </w:tcPr>
          <w:p w14:paraId="4B397CE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Drawn from the alternative-respondent list per the Annex D Replacement Protocol</w:t>
            </w:r>
          </w:p>
        </w:tc>
      </w:tr>
      <w:tr w:rsidR="002D0647" w:rsidRPr="00A34F47" w14:paraId="0FFCA988" w14:textId="77777777" w:rsidTr="00A34F47">
        <w:tc>
          <w:tcPr>
            <w:tcW w:w="0" w:type="auto"/>
          </w:tcPr>
          <w:p w14:paraId="0D41A9D2"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900–999</w:t>
            </w:r>
          </w:p>
        </w:tc>
        <w:tc>
          <w:tcPr>
            <w:tcW w:w="0" w:type="auto"/>
          </w:tcPr>
          <w:p w14:paraId="2B1CA78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b/>
                <w:bCs/>
                <w:color w:val="000000" w:themeColor="text1"/>
                <w:sz w:val="20"/>
                <w:szCs w:val="20"/>
              </w:rPr>
              <w:t>Refused / forfeited cases</w:t>
            </w:r>
          </w:p>
        </w:tc>
        <w:tc>
          <w:tcPr>
            <w:tcW w:w="0" w:type="auto"/>
          </w:tcPr>
          <w:p w14:paraId="0554599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 xml:space="preserve">For attempts that did not produce data — recorded for response-rate accounting; AAPOR disposition codes captured in </w:t>
            </w:r>
            <w:r w:rsidRPr="00A34F47">
              <w:rPr>
                <w:rStyle w:val="VerbatimChar"/>
                <w:rFonts w:ascii="Arial" w:hAnsi="Arial" w:cs="Arial"/>
                <w:color w:val="000000" w:themeColor="text1"/>
                <w:sz w:val="18"/>
                <w:szCs w:val="20"/>
              </w:rPr>
              <w:t>FIELD_CONTROL</w:t>
            </w:r>
          </w:p>
        </w:tc>
      </w:tr>
    </w:tbl>
    <w:p w14:paraId="0A651AE4" w14:textId="375F2B51" w:rsidR="002D0647" w:rsidRPr="00A34F47" w:rsidRDefault="00000000" w:rsidP="00A34F47">
      <w:pPr>
        <w:pStyle w:val="BodyText"/>
        <w:rPr>
          <w:rFonts w:ascii="Arial" w:hAnsi="Arial" w:cs="Arial"/>
          <w:color w:val="000000" w:themeColor="text1"/>
          <w:sz w:val="20"/>
          <w:szCs w:val="20"/>
        </w:rPr>
      </w:pPr>
      <w:r w:rsidRPr="00A34F47">
        <w:rPr>
          <w:rFonts w:ascii="Arial" w:hAnsi="Arial" w:cs="Arial"/>
          <w:color w:val="000000" w:themeColor="text1"/>
          <w:sz w:val="20"/>
          <w:szCs w:val="20"/>
        </w:rPr>
        <w:t>The partitioning is per facility and per instrument. So F3 at Magalang RHU has its own 001–699 / 700–899 / 900–999 set, distinct from F3 at Magalang District Hospital, distinct from F2 at either facility.</w:t>
      </w:r>
    </w:p>
    <w:p w14:paraId="63C55E17" w14:textId="77777777" w:rsidR="002D0647" w:rsidRPr="00A34F47" w:rsidRDefault="00000000">
      <w:pPr>
        <w:pStyle w:val="Heading2"/>
        <w:rPr>
          <w:rFonts w:ascii="Arial" w:hAnsi="Arial" w:cs="Arial"/>
          <w:color w:val="000000" w:themeColor="text1"/>
          <w:sz w:val="24"/>
          <w:szCs w:val="24"/>
        </w:rPr>
      </w:pPr>
      <w:bookmarkStart w:id="6" w:name="X783d458a59acdb99e9499eb23d917ac10fbb71a"/>
      <w:bookmarkEnd w:id="5"/>
      <w:r w:rsidRPr="00A34F47">
        <w:rPr>
          <w:rFonts w:ascii="Arial" w:hAnsi="Arial" w:cs="Arial"/>
          <w:color w:val="000000" w:themeColor="text1"/>
          <w:sz w:val="24"/>
          <w:szCs w:val="24"/>
        </w:rPr>
        <w:t>5. What enumerators actually do in the field</w:t>
      </w:r>
    </w:p>
    <w:p w14:paraId="25B77A37"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 xml:space="preserve">The 12-digit case-ID is </w:t>
      </w:r>
      <w:r w:rsidRPr="00A34F47">
        <w:rPr>
          <w:rFonts w:ascii="Arial" w:hAnsi="Arial" w:cs="Arial"/>
          <w:b/>
          <w:bCs/>
          <w:color w:val="000000" w:themeColor="text1"/>
          <w:sz w:val="20"/>
          <w:szCs w:val="20"/>
        </w:rPr>
        <w:t>generated by the application</w:t>
      </w:r>
      <w:r w:rsidRPr="00A34F47">
        <w:rPr>
          <w:rFonts w:ascii="Arial" w:hAnsi="Arial" w:cs="Arial"/>
          <w:color w:val="000000" w:themeColor="text1"/>
          <w:sz w:val="20"/>
          <w:szCs w:val="20"/>
        </w:rPr>
        <w:t>, not typed by the enumerator. Enumerators do not memorize or type 12 digits. The flow is:</w:t>
      </w:r>
    </w:p>
    <w:p w14:paraId="0AD84C00" w14:textId="77777777" w:rsidR="002D0647" w:rsidRPr="00A34F47" w:rsidRDefault="00000000">
      <w:pPr>
        <w:pStyle w:val="Compact"/>
        <w:numPr>
          <w:ilvl w:val="0"/>
          <w:numId w:val="3"/>
        </w:numPr>
        <w:rPr>
          <w:rFonts w:ascii="Arial" w:hAnsi="Arial" w:cs="Arial"/>
          <w:color w:val="000000" w:themeColor="text1"/>
          <w:sz w:val="20"/>
          <w:szCs w:val="20"/>
        </w:rPr>
      </w:pPr>
      <w:r w:rsidRPr="00A34F47">
        <w:rPr>
          <w:rFonts w:ascii="Arial" w:hAnsi="Arial" w:cs="Arial"/>
          <w:b/>
          <w:bCs/>
          <w:color w:val="000000" w:themeColor="text1"/>
          <w:sz w:val="20"/>
          <w:szCs w:val="20"/>
        </w:rPr>
        <w:t>Open a new case in CSPro CAPI (or the F2 PWA).</w:t>
      </w:r>
    </w:p>
    <w:p w14:paraId="26E8626F" w14:textId="77777777" w:rsidR="002D0647" w:rsidRPr="00A34F47" w:rsidRDefault="00000000">
      <w:pPr>
        <w:pStyle w:val="Compact"/>
        <w:numPr>
          <w:ilvl w:val="0"/>
          <w:numId w:val="3"/>
        </w:numPr>
        <w:rPr>
          <w:rFonts w:ascii="Arial" w:hAnsi="Arial" w:cs="Arial"/>
          <w:color w:val="000000" w:themeColor="text1"/>
          <w:sz w:val="20"/>
          <w:szCs w:val="20"/>
        </w:rPr>
      </w:pPr>
      <w:r w:rsidRPr="00A34F47">
        <w:rPr>
          <w:rFonts w:ascii="Arial" w:hAnsi="Arial" w:cs="Arial"/>
          <w:b/>
          <w:bCs/>
          <w:color w:val="000000" w:themeColor="text1"/>
          <w:sz w:val="20"/>
          <w:szCs w:val="20"/>
        </w:rPr>
        <w:t>Select the facility</w:t>
      </w:r>
      <w:r w:rsidRPr="00A34F47">
        <w:rPr>
          <w:rFonts w:ascii="Arial" w:hAnsi="Arial" w:cs="Arial"/>
          <w:color w:val="000000" w:themeColor="text1"/>
          <w:sz w:val="20"/>
          <w:szCs w:val="20"/>
        </w:rPr>
        <w:t xml:space="preserve"> from a cascading geographic lookup: Region → Province/HUC → City/Municipality → Facility. The lookup is pre-loaded with the ASPSI sample-frame master facility list.</w:t>
      </w:r>
    </w:p>
    <w:p w14:paraId="3C150C46" w14:textId="77777777" w:rsidR="002D0647" w:rsidRPr="00A34F47" w:rsidRDefault="00000000">
      <w:pPr>
        <w:pStyle w:val="Compact"/>
        <w:numPr>
          <w:ilvl w:val="0"/>
          <w:numId w:val="3"/>
        </w:numPr>
        <w:rPr>
          <w:rFonts w:ascii="Arial" w:hAnsi="Arial" w:cs="Arial"/>
          <w:color w:val="000000" w:themeColor="text1"/>
          <w:sz w:val="20"/>
          <w:szCs w:val="20"/>
        </w:rPr>
      </w:pPr>
      <w:r w:rsidRPr="00A34F47">
        <w:rPr>
          <w:rFonts w:ascii="Arial" w:hAnsi="Arial" w:cs="Arial"/>
          <w:b/>
          <w:bCs/>
          <w:color w:val="000000" w:themeColor="text1"/>
          <w:sz w:val="20"/>
          <w:szCs w:val="20"/>
        </w:rPr>
        <w:t xml:space="preserve">The application auto-populates </w:t>
      </w:r>
      <w:r w:rsidRPr="00A34F47">
        <w:rPr>
          <w:rStyle w:val="VerbatimChar"/>
          <w:rFonts w:ascii="Arial" w:hAnsi="Arial" w:cs="Arial"/>
          <w:b/>
          <w:bCs/>
          <w:color w:val="000000" w:themeColor="text1"/>
          <w:sz w:val="18"/>
          <w:szCs w:val="20"/>
        </w:rPr>
        <w:t>RR</w:t>
      </w:r>
      <w:r w:rsidRPr="00A34F47">
        <w:rPr>
          <w:rFonts w:ascii="Arial" w:hAnsi="Arial" w:cs="Arial"/>
          <w:b/>
          <w:bCs/>
          <w:color w:val="000000" w:themeColor="text1"/>
          <w:sz w:val="20"/>
          <w:szCs w:val="20"/>
        </w:rPr>
        <w:t xml:space="preserve">, </w:t>
      </w:r>
      <w:r w:rsidRPr="00A34F47">
        <w:rPr>
          <w:rStyle w:val="VerbatimChar"/>
          <w:rFonts w:ascii="Arial" w:hAnsi="Arial" w:cs="Arial"/>
          <w:b/>
          <w:bCs/>
          <w:color w:val="000000" w:themeColor="text1"/>
          <w:sz w:val="18"/>
          <w:szCs w:val="20"/>
        </w:rPr>
        <w:t>PP</w:t>
      </w:r>
      <w:r w:rsidRPr="00A34F47">
        <w:rPr>
          <w:rFonts w:ascii="Arial" w:hAnsi="Arial" w:cs="Arial"/>
          <w:b/>
          <w:bCs/>
          <w:color w:val="000000" w:themeColor="text1"/>
          <w:sz w:val="20"/>
          <w:szCs w:val="20"/>
        </w:rPr>
        <w:t xml:space="preserve">, </w:t>
      </w:r>
      <w:r w:rsidRPr="00A34F47">
        <w:rPr>
          <w:rStyle w:val="VerbatimChar"/>
          <w:rFonts w:ascii="Arial" w:hAnsi="Arial" w:cs="Arial"/>
          <w:b/>
          <w:bCs/>
          <w:color w:val="000000" w:themeColor="text1"/>
          <w:sz w:val="18"/>
          <w:szCs w:val="20"/>
        </w:rPr>
        <w:t>MM</w:t>
      </w:r>
      <w:r w:rsidRPr="00A34F47">
        <w:rPr>
          <w:rFonts w:ascii="Arial" w:hAnsi="Arial" w:cs="Arial"/>
          <w:b/>
          <w:bCs/>
          <w:color w:val="000000" w:themeColor="text1"/>
          <w:sz w:val="20"/>
          <w:szCs w:val="20"/>
        </w:rPr>
        <w:t xml:space="preserve">, and </w:t>
      </w:r>
      <w:r w:rsidRPr="00A34F47">
        <w:rPr>
          <w:rStyle w:val="VerbatimChar"/>
          <w:rFonts w:ascii="Arial" w:hAnsi="Arial" w:cs="Arial"/>
          <w:b/>
          <w:bCs/>
          <w:color w:val="000000" w:themeColor="text1"/>
          <w:sz w:val="18"/>
          <w:szCs w:val="20"/>
        </w:rPr>
        <w:t>FF</w:t>
      </w:r>
      <w:r w:rsidRPr="00A34F47">
        <w:rPr>
          <w:rFonts w:ascii="Arial" w:hAnsi="Arial" w:cs="Arial"/>
          <w:color w:val="000000" w:themeColor="text1"/>
          <w:sz w:val="20"/>
          <w:szCs w:val="20"/>
        </w:rPr>
        <w:t xml:space="preserve"> from that selection — four of the five ID items are filled in by lookup.</w:t>
      </w:r>
    </w:p>
    <w:p w14:paraId="0E84AC01" w14:textId="77777777" w:rsidR="002D0647" w:rsidRPr="00A34F47" w:rsidRDefault="00000000">
      <w:pPr>
        <w:pStyle w:val="Compact"/>
        <w:numPr>
          <w:ilvl w:val="0"/>
          <w:numId w:val="3"/>
        </w:numPr>
        <w:rPr>
          <w:rFonts w:ascii="Arial" w:hAnsi="Arial" w:cs="Arial"/>
          <w:color w:val="000000" w:themeColor="text1"/>
          <w:sz w:val="20"/>
          <w:szCs w:val="20"/>
        </w:rPr>
      </w:pPr>
      <w:r w:rsidRPr="00A34F47">
        <w:rPr>
          <w:rFonts w:ascii="Arial" w:hAnsi="Arial" w:cs="Arial"/>
          <w:b/>
          <w:bCs/>
          <w:color w:val="000000" w:themeColor="text1"/>
          <w:sz w:val="20"/>
          <w:szCs w:val="20"/>
        </w:rPr>
        <w:t xml:space="preserve">The application auto-increments </w:t>
      </w:r>
      <w:r w:rsidRPr="00A34F47">
        <w:rPr>
          <w:rStyle w:val="VerbatimChar"/>
          <w:rFonts w:ascii="Arial" w:hAnsi="Arial" w:cs="Arial"/>
          <w:b/>
          <w:bCs/>
          <w:color w:val="000000" w:themeColor="text1"/>
          <w:sz w:val="18"/>
          <w:szCs w:val="20"/>
        </w:rPr>
        <w:t>CCC</w:t>
      </w:r>
      <w:r w:rsidRPr="00A34F47">
        <w:rPr>
          <w:rFonts w:ascii="Arial" w:hAnsi="Arial" w:cs="Arial"/>
          <w:color w:val="000000" w:themeColor="text1"/>
          <w:sz w:val="20"/>
          <w:szCs w:val="20"/>
        </w:rPr>
        <w:t xml:space="preserve"> within the active sub-range pre-assigned to that enumerator by the STL. For replacement or refused cases, the enumerator selects the case type and the application picks the next number from the 700–899 or 900–999 band instead.</w:t>
      </w:r>
    </w:p>
    <w:p w14:paraId="12C75C49" w14:textId="77777777" w:rsidR="002D0647" w:rsidRPr="00A34F47" w:rsidRDefault="00000000">
      <w:pPr>
        <w:pStyle w:val="Compact"/>
        <w:numPr>
          <w:ilvl w:val="0"/>
          <w:numId w:val="3"/>
        </w:numPr>
        <w:rPr>
          <w:rFonts w:ascii="Arial" w:hAnsi="Arial" w:cs="Arial"/>
          <w:color w:val="000000" w:themeColor="text1"/>
          <w:sz w:val="20"/>
          <w:szCs w:val="20"/>
        </w:rPr>
      </w:pPr>
      <w:r w:rsidRPr="00A34F47">
        <w:rPr>
          <w:rFonts w:ascii="Arial" w:hAnsi="Arial" w:cs="Arial"/>
          <w:b/>
          <w:bCs/>
          <w:color w:val="000000" w:themeColor="text1"/>
          <w:sz w:val="20"/>
          <w:szCs w:val="20"/>
        </w:rPr>
        <w:lastRenderedPageBreak/>
        <w:t>The full 12-digit case-ID is displayed for the enumerator's reference</w:t>
      </w:r>
      <w:r w:rsidRPr="00A34F47">
        <w:rPr>
          <w:rFonts w:ascii="Arial" w:hAnsi="Arial" w:cs="Arial"/>
          <w:color w:val="000000" w:themeColor="text1"/>
          <w:sz w:val="20"/>
          <w:szCs w:val="20"/>
        </w:rPr>
        <w:t xml:space="preserve"> on the case header, and is recorded on the printed case envelope for paper backup.</w:t>
      </w:r>
    </w:p>
    <w:p w14:paraId="08C74048" w14:textId="4D50D841" w:rsidR="002D0647" w:rsidRPr="00A34F47" w:rsidRDefault="00000000" w:rsidP="00A34F47">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 xml:space="preserve">The Survey Manual should describe this flow in the </w:t>
      </w:r>
      <w:r w:rsidRPr="00A34F47">
        <w:rPr>
          <w:rFonts w:ascii="Arial" w:hAnsi="Arial" w:cs="Arial"/>
          <w:i/>
          <w:iCs/>
          <w:color w:val="000000" w:themeColor="text1"/>
          <w:sz w:val="20"/>
          <w:szCs w:val="20"/>
        </w:rPr>
        <w:t>Initial Health Facility Visit</w:t>
      </w:r>
      <w:r w:rsidRPr="00A34F47">
        <w:rPr>
          <w:rFonts w:ascii="Arial" w:hAnsi="Arial" w:cs="Arial"/>
          <w:color w:val="000000" w:themeColor="text1"/>
          <w:sz w:val="20"/>
          <w:szCs w:val="20"/>
        </w:rPr>
        <w:t xml:space="preserve"> and </w:t>
      </w:r>
      <w:r w:rsidRPr="00A34F47">
        <w:rPr>
          <w:rFonts w:ascii="Arial" w:hAnsi="Arial" w:cs="Arial"/>
          <w:i/>
          <w:iCs/>
          <w:color w:val="000000" w:themeColor="text1"/>
          <w:sz w:val="20"/>
          <w:szCs w:val="20"/>
        </w:rPr>
        <w:t>Survey Questionnaire</w:t>
      </w:r>
      <w:r w:rsidRPr="00A34F47">
        <w:rPr>
          <w:rFonts w:ascii="Arial" w:hAnsi="Arial" w:cs="Arial"/>
          <w:color w:val="000000" w:themeColor="text1"/>
          <w:sz w:val="20"/>
          <w:szCs w:val="20"/>
        </w:rPr>
        <w:t xml:space="preserve"> sections so enumerators understand what the case-ID is and why they should not attempt to enter or modify it manually.</w:t>
      </w:r>
    </w:p>
    <w:p w14:paraId="5EF9D23C" w14:textId="77777777" w:rsidR="002D0647" w:rsidRPr="00A34F47" w:rsidRDefault="00000000">
      <w:pPr>
        <w:pStyle w:val="Heading2"/>
        <w:rPr>
          <w:rFonts w:ascii="Arial" w:hAnsi="Arial" w:cs="Arial"/>
          <w:color w:val="000000" w:themeColor="text1"/>
          <w:sz w:val="24"/>
          <w:szCs w:val="24"/>
        </w:rPr>
      </w:pPr>
      <w:bookmarkStart w:id="7" w:name="Xabc7f8e0296afa0fe543effe0392918ed35e6e4"/>
      <w:bookmarkEnd w:id="6"/>
      <w:r w:rsidRPr="00A34F47">
        <w:rPr>
          <w:rFonts w:ascii="Arial" w:hAnsi="Arial" w:cs="Arial"/>
          <w:color w:val="000000" w:themeColor="text1"/>
          <w:sz w:val="24"/>
          <w:szCs w:val="24"/>
        </w:rPr>
        <w:t>6. Cross-instrument linkage</w:t>
      </w:r>
    </w:p>
    <w:p w14:paraId="31033DF6"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Because the first 9 digits of every case-ID at a given facility are identical, the case-ID itself functions as the join key across instruments at the same facility: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0"/>
        <w:gridCol w:w="1569"/>
        <w:gridCol w:w="2056"/>
        <w:gridCol w:w="4001"/>
      </w:tblGrid>
      <w:tr w:rsidR="002D0647" w:rsidRPr="00A34F47" w14:paraId="30BE979E" w14:textId="77777777" w:rsidTr="00A34F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6CCB0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Instrument</w:t>
            </w:r>
          </w:p>
        </w:tc>
        <w:tc>
          <w:tcPr>
            <w:tcW w:w="0" w:type="auto"/>
            <w:tcBorders>
              <w:bottom w:val="none" w:sz="0" w:space="0" w:color="auto"/>
            </w:tcBorders>
          </w:tcPr>
          <w:p w14:paraId="3CB4A78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Example case ID</w:t>
            </w:r>
          </w:p>
        </w:tc>
        <w:tc>
          <w:tcPr>
            <w:tcW w:w="0" w:type="auto"/>
            <w:tcBorders>
              <w:bottom w:val="none" w:sz="0" w:space="0" w:color="auto"/>
            </w:tcBorders>
          </w:tcPr>
          <w:p w14:paraId="798BA86D"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Shared facility key (first 9 digits)</w:t>
            </w:r>
          </w:p>
        </w:tc>
        <w:tc>
          <w:tcPr>
            <w:tcW w:w="0" w:type="auto"/>
            <w:tcBorders>
              <w:bottom w:val="none" w:sz="0" w:space="0" w:color="auto"/>
            </w:tcBorders>
          </w:tcPr>
          <w:p w14:paraId="7DC95B40"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Tail (</w:t>
            </w:r>
            <w:r w:rsidRPr="00A34F47">
              <w:rPr>
                <w:rStyle w:val="VerbatimChar"/>
                <w:rFonts w:ascii="Arial" w:hAnsi="Arial" w:cs="Arial"/>
                <w:color w:val="000000" w:themeColor="text1"/>
                <w:sz w:val="18"/>
                <w:szCs w:val="20"/>
              </w:rPr>
              <w:t>CCC</w:t>
            </w:r>
            <w:r w:rsidRPr="00A34F47">
              <w:rPr>
                <w:rFonts w:ascii="Arial" w:hAnsi="Arial" w:cs="Arial"/>
                <w:color w:val="000000" w:themeColor="text1"/>
                <w:sz w:val="20"/>
                <w:szCs w:val="20"/>
              </w:rPr>
              <w:t>)</w:t>
            </w:r>
          </w:p>
        </w:tc>
      </w:tr>
      <w:tr w:rsidR="002D0647" w:rsidRPr="00A34F47" w14:paraId="1E7A564B" w14:textId="77777777" w:rsidTr="00A34F47">
        <w:tc>
          <w:tcPr>
            <w:tcW w:w="0" w:type="auto"/>
          </w:tcPr>
          <w:p w14:paraId="1ACB5B7F"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F1 Facility Head</w:t>
            </w:r>
          </w:p>
        </w:tc>
        <w:tc>
          <w:tcPr>
            <w:tcW w:w="0" w:type="auto"/>
          </w:tcPr>
          <w:p w14:paraId="0681DB7A"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030541101001</w:t>
            </w:r>
          </w:p>
        </w:tc>
        <w:tc>
          <w:tcPr>
            <w:tcW w:w="0" w:type="auto"/>
          </w:tcPr>
          <w:p w14:paraId="3ECD7D9C"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w:t>
            </w:r>
          </w:p>
        </w:tc>
        <w:tc>
          <w:tcPr>
            <w:tcW w:w="0" w:type="auto"/>
          </w:tcPr>
          <w:p w14:paraId="6C589C8A"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001</w:t>
            </w:r>
          </w:p>
        </w:tc>
      </w:tr>
      <w:tr w:rsidR="002D0647" w:rsidRPr="00A34F47" w14:paraId="6C7B790A" w14:textId="77777777" w:rsidTr="00A34F47">
        <w:tc>
          <w:tcPr>
            <w:tcW w:w="0" w:type="auto"/>
          </w:tcPr>
          <w:p w14:paraId="564D2DF9"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F2 Healthcare Worker (1st)</w:t>
            </w:r>
          </w:p>
        </w:tc>
        <w:tc>
          <w:tcPr>
            <w:tcW w:w="0" w:type="auto"/>
          </w:tcPr>
          <w:p w14:paraId="69E9822B"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030541101001</w:t>
            </w:r>
          </w:p>
        </w:tc>
        <w:tc>
          <w:tcPr>
            <w:tcW w:w="0" w:type="auto"/>
          </w:tcPr>
          <w:p w14:paraId="3E33AE39"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w:t>
            </w:r>
          </w:p>
        </w:tc>
        <w:tc>
          <w:tcPr>
            <w:tcW w:w="0" w:type="auto"/>
          </w:tcPr>
          <w:p w14:paraId="5FAF8B2F"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001</w:t>
            </w:r>
          </w:p>
        </w:tc>
      </w:tr>
      <w:tr w:rsidR="002D0647" w:rsidRPr="00A34F47" w14:paraId="7CA90040" w14:textId="77777777" w:rsidTr="00A34F47">
        <w:tc>
          <w:tcPr>
            <w:tcW w:w="0" w:type="auto"/>
          </w:tcPr>
          <w:p w14:paraId="57DF7535"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F2 Healthcare Worker (12th)</w:t>
            </w:r>
          </w:p>
        </w:tc>
        <w:tc>
          <w:tcPr>
            <w:tcW w:w="0" w:type="auto"/>
          </w:tcPr>
          <w:p w14:paraId="32A066C5"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030541101012</w:t>
            </w:r>
          </w:p>
        </w:tc>
        <w:tc>
          <w:tcPr>
            <w:tcW w:w="0" w:type="auto"/>
          </w:tcPr>
          <w:p w14:paraId="4E93585A"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w:t>
            </w:r>
          </w:p>
        </w:tc>
        <w:tc>
          <w:tcPr>
            <w:tcW w:w="0" w:type="auto"/>
          </w:tcPr>
          <w:p w14:paraId="05B144CC"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012</w:t>
            </w:r>
          </w:p>
        </w:tc>
      </w:tr>
      <w:tr w:rsidR="002D0647" w:rsidRPr="00A34F47" w14:paraId="342C0983" w14:textId="77777777" w:rsidTr="00A34F47">
        <w:tc>
          <w:tcPr>
            <w:tcW w:w="0" w:type="auto"/>
          </w:tcPr>
          <w:p w14:paraId="7A7B95A7"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F3 Patient (27th)</w:t>
            </w:r>
          </w:p>
        </w:tc>
        <w:tc>
          <w:tcPr>
            <w:tcW w:w="0" w:type="auto"/>
          </w:tcPr>
          <w:p w14:paraId="722911FD"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030541101027</w:t>
            </w:r>
          </w:p>
        </w:tc>
        <w:tc>
          <w:tcPr>
            <w:tcW w:w="0" w:type="auto"/>
          </w:tcPr>
          <w:p w14:paraId="2CA40D86"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w:t>
            </w:r>
          </w:p>
        </w:tc>
        <w:tc>
          <w:tcPr>
            <w:tcW w:w="0" w:type="auto"/>
          </w:tcPr>
          <w:p w14:paraId="2CA795D6"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027</w:t>
            </w:r>
          </w:p>
        </w:tc>
      </w:tr>
      <w:tr w:rsidR="002D0647" w:rsidRPr="00A34F47" w14:paraId="4D492FA7" w14:textId="77777777" w:rsidTr="00A34F47">
        <w:tc>
          <w:tcPr>
            <w:tcW w:w="0" w:type="auto"/>
          </w:tcPr>
          <w:p w14:paraId="1875A71B" w14:textId="77777777" w:rsidR="002D0647" w:rsidRPr="00A34F47" w:rsidRDefault="00000000">
            <w:pPr>
              <w:pStyle w:val="Compact"/>
              <w:rPr>
                <w:rFonts w:ascii="Arial" w:hAnsi="Arial" w:cs="Arial"/>
                <w:color w:val="000000" w:themeColor="text1"/>
                <w:sz w:val="20"/>
                <w:szCs w:val="20"/>
              </w:rPr>
            </w:pPr>
            <w:r w:rsidRPr="00A34F47">
              <w:rPr>
                <w:rFonts w:ascii="Arial" w:hAnsi="Arial" w:cs="Arial"/>
                <w:color w:val="000000" w:themeColor="text1"/>
                <w:sz w:val="20"/>
                <w:szCs w:val="20"/>
              </w:rPr>
              <w:t>F4 Household (34th)</w:t>
            </w:r>
          </w:p>
        </w:tc>
        <w:tc>
          <w:tcPr>
            <w:tcW w:w="0" w:type="auto"/>
          </w:tcPr>
          <w:p w14:paraId="74987958"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030541101034</w:t>
            </w:r>
          </w:p>
        </w:tc>
        <w:tc>
          <w:tcPr>
            <w:tcW w:w="0" w:type="auto"/>
          </w:tcPr>
          <w:p w14:paraId="18740A33"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030541101</w:t>
            </w:r>
          </w:p>
        </w:tc>
        <w:tc>
          <w:tcPr>
            <w:tcW w:w="0" w:type="auto"/>
          </w:tcPr>
          <w:p w14:paraId="36B8094A" w14:textId="77777777" w:rsidR="002D0647" w:rsidRPr="00A34F47" w:rsidRDefault="00000000">
            <w:pPr>
              <w:pStyle w:val="Compact"/>
              <w:rPr>
                <w:rFonts w:ascii="Arial" w:hAnsi="Arial" w:cs="Arial"/>
                <w:color w:val="000000" w:themeColor="text1"/>
                <w:sz w:val="20"/>
                <w:szCs w:val="20"/>
              </w:rPr>
            </w:pPr>
            <w:r w:rsidRPr="00A34F47">
              <w:rPr>
                <w:rStyle w:val="VerbatimChar"/>
                <w:rFonts w:ascii="Arial" w:hAnsi="Arial" w:cs="Arial"/>
                <w:color w:val="000000" w:themeColor="text1"/>
                <w:sz w:val="18"/>
                <w:szCs w:val="20"/>
              </w:rPr>
              <w:t>034</w:t>
            </w:r>
            <w:r w:rsidRPr="00A34F47">
              <w:rPr>
                <w:rFonts w:ascii="Arial" w:hAnsi="Arial" w:cs="Arial"/>
                <w:color w:val="000000" w:themeColor="text1"/>
                <w:sz w:val="20"/>
                <w:szCs w:val="20"/>
              </w:rPr>
              <w:t xml:space="preserve"> (linked to F3 case </w:t>
            </w:r>
            <w:r w:rsidRPr="00A34F47">
              <w:rPr>
                <w:rStyle w:val="VerbatimChar"/>
                <w:rFonts w:ascii="Arial" w:hAnsi="Arial" w:cs="Arial"/>
                <w:color w:val="000000" w:themeColor="text1"/>
                <w:sz w:val="18"/>
                <w:szCs w:val="20"/>
              </w:rPr>
              <w:t>027</w:t>
            </w:r>
            <w:r w:rsidRPr="00A34F47">
              <w:rPr>
                <w:rFonts w:ascii="Arial" w:hAnsi="Arial" w:cs="Arial"/>
                <w:color w:val="000000" w:themeColor="text1"/>
                <w:sz w:val="20"/>
                <w:szCs w:val="20"/>
              </w:rPr>
              <w:t xml:space="preserve"> via </w:t>
            </w:r>
            <w:r w:rsidRPr="00A34F47">
              <w:rPr>
                <w:rStyle w:val="VerbatimChar"/>
                <w:rFonts w:ascii="Arial" w:hAnsi="Arial" w:cs="Arial"/>
                <w:color w:val="000000" w:themeColor="text1"/>
                <w:sz w:val="18"/>
                <w:szCs w:val="20"/>
              </w:rPr>
              <w:t>F4_PARENT_F3_CASE_SEQ</w:t>
            </w:r>
            <w:r w:rsidRPr="00A34F47">
              <w:rPr>
                <w:rFonts w:ascii="Arial" w:hAnsi="Arial" w:cs="Arial"/>
                <w:color w:val="000000" w:themeColor="text1"/>
                <w:sz w:val="20"/>
                <w:szCs w:val="20"/>
              </w:rPr>
              <w:t>)</w:t>
            </w:r>
          </w:p>
        </w:tc>
      </w:tr>
    </w:tbl>
    <w:p w14:paraId="0BB5F65C" w14:textId="77777777" w:rsidR="002D0647" w:rsidRPr="00A34F47" w:rsidRDefault="00000000">
      <w:pPr>
        <w:pStyle w:val="BodyText"/>
        <w:rPr>
          <w:rFonts w:ascii="Arial" w:hAnsi="Arial" w:cs="Arial"/>
          <w:color w:val="000000" w:themeColor="text1"/>
          <w:sz w:val="20"/>
          <w:szCs w:val="20"/>
        </w:rPr>
      </w:pPr>
      <w:r w:rsidRPr="00A34F47">
        <w:rPr>
          <w:rFonts w:ascii="Arial" w:hAnsi="Arial" w:cs="Arial"/>
          <w:color w:val="000000" w:themeColor="text1"/>
          <w:sz w:val="20"/>
          <w:szCs w:val="20"/>
        </w:rPr>
        <w:t xml:space="preserve">To find every case at this facility across all 4 instruments at analysis time, an analyst filters on </w:t>
      </w:r>
      <w:r w:rsidRPr="00A34F47">
        <w:rPr>
          <w:rStyle w:val="VerbatimChar"/>
          <w:rFonts w:ascii="Arial" w:hAnsi="Arial" w:cs="Arial"/>
          <w:color w:val="000000" w:themeColor="text1"/>
          <w:sz w:val="18"/>
          <w:szCs w:val="20"/>
        </w:rPr>
        <w:t>LEFT(case_id, 9) = '030541101'</w:t>
      </w:r>
      <w:r w:rsidRPr="00A34F47">
        <w:rPr>
          <w:rFonts w:ascii="Arial" w:hAnsi="Arial" w:cs="Arial"/>
          <w:color w:val="000000" w:themeColor="text1"/>
          <w:sz w:val="20"/>
          <w:szCs w:val="20"/>
        </w:rPr>
        <w:t>. No external lookup table is required.</w:t>
      </w:r>
    </w:p>
    <w:p w14:paraId="72E96FC9" w14:textId="25D64D46" w:rsidR="002D0647" w:rsidRPr="00A34F47" w:rsidRDefault="00000000" w:rsidP="00A34F47">
      <w:pPr>
        <w:pStyle w:val="BodyText"/>
        <w:rPr>
          <w:rFonts w:ascii="Arial" w:hAnsi="Arial" w:cs="Arial"/>
          <w:color w:val="000000" w:themeColor="text1"/>
          <w:sz w:val="20"/>
          <w:szCs w:val="20"/>
        </w:rPr>
      </w:pPr>
      <w:r w:rsidRPr="00A34F47">
        <w:rPr>
          <w:rFonts w:ascii="Arial" w:hAnsi="Arial" w:cs="Arial"/>
          <w:color w:val="000000" w:themeColor="text1"/>
          <w:sz w:val="20"/>
          <w:szCs w:val="20"/>
        </w:rPr>
        <w:t xml:space="preserve">The F4↔F3 link (which household was interval-walked from which patient) is </w:t>
      </w:r>
      <w:r w:rsidRPr="00A34F47">
        <w:rPr>
          <w:rFonts w:ascii="Arial" w:hAnsi="Arial" w:cs="Arial"/>
          <w:b/>
          <w:bCs/>
          <w:color w:val="000000" w:themeColor="text1"/>
          <w:sz w:val="20"/>
          <w:szCs w:val="20"/>
        </w:rPr>
        <w:t>not derivable from the case-ID alone</w:t>
      </w:r>
      <w:r w:rsidRPr="00A34F47">
        <w:rPr>
          <w:rFonts w:ascii="Arial" w:hAnsi="Arial" w:cs="Arial"/>
          <w:color w:val="000000" w:themeColor="text1"/>
          <w:sz w:val="20"/>
          <w:szCs w:val="20"/>
        </w:rPr>
        <w:t xml:space="preserve">, because F4 households are not anchored on the facility's geography in the same way. Instead, F4 carries a dedicated 3-digit data item, </w:t>
      </w:r>
      <w:r w:rsidRPr="00A34F47">
        <w:rPr>
          <w:rStyle w:val="VerbatimChar"/>
          <w:rFonts w:ascii="Arial" w:hAnsi="Arial" w:cs="Arial"/>
          <w:color w:val="000000" w:themeColor="text1"/>
          <w:sz w:val="18"/>
          <w:szCs w:val="20"/>
        </w:rPr>
        <w:t>F4_PARENT_F3_CASE_SEQ</w:t>
      </w:r>
      <w:r w:rsidRPr="00A34F47">
        <w:rPr>
          <w:rFonts w:ascii="Arial" w:hAnsi="Arial" w:cs="Arial"/>
          <w:color w:val="000000" w:themeColor="text1"/>
          <w:sz w:val="20"/>
          <w:szCs w:val="20"/>
        </w:rPr>
        <w:t xml:space="preserve">, which records the </w:t>
      </w:r>
      <w:r w:rsidRPr="00A34F47">
        <w:rPr>
          <w:rStyle w:val="VerbatimChar"/>
          <w:rFonts w:ascii="Arial" w:hAnsi="Arial" w:cs="Arial"/>
          <w:color w:val="000000" w:themeColor="text1"/>
          <w:sz w:val="18"/>
          <w:szCs w:val="20"/>
        </w:rPr>
        <w:t>CCC</w:t>
      </w:r>
      <w:r w:rsidRPr="00A34F47">
        <w:rPr>
          <w:rFonts w:ascii="Arial" w:hAnsi="Arial" w:cs="Arial"/>
          <w:color w:val="000000" w:themeColor="text1"/>
          <w:sz w:val="20"/>
          <w:szCs w:val="20"/>
        </w:rPr>
        <w:t xml:space="preserve"> of the parent F3 patient at the same facility. This is exactly how DHS handles the equivalent linkage in its standard recode files.</w:t>
      </w:r>
    </w:p>
    <w:p w14:paraId="007274D9" w14:textId="77777777" w:rsidR="002D0647" w:rsidRPr="00A34F47" w:rsidRDefault="00000000">
      <w:pPr>
        <w:pStyle w:val="Heading2"/>
        <w:rPr>
          <w:rFonts w:ascii="Arial" w:hAnsi="Arial" w:cs="Arial"/>
          <w:color w:val="000000" w:themeColor="text1"/>
          <w:sz w:val="24"/>
          <w:szCs w:val="24"/>
        </w:rPr>
      </w:pPr>
      <w:bookmarkStart w:id="8" w:name="X6069e82ae7baf890a430493419e026e4ea7177a"/>
      <w:bookmarkEnd w:id="7"/>
      <w:r w:rsidRPr="00A34F47">
        <w:rPr>
          <w:rFonts w:ascii="Arial" w:hAnsi="Arial" w:cs="Arial"/>
          <w:color w:val="000000" w:themeColor="text1"/>
          <w:sz w:val="24"/>
          <w:szCs w:val="24"/>
        </w:rPr>
        <w:t>7. Drop-in addendum for the Survey Manual</w:t>
      </w:r>
    </w:p>
    <w:p w14:paraId="41F96201"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 xml:space="preserve">The following paragraph can be inserted directly into the </w:t>
      </w:r>
      <w:r w:rsidRPr="00A34F47">
        <w:rPr>
          <w:rFonts w:ascii="Arial" w:hAnsi="Arial" w:cs="Arial"/>
          <w:i/>
          <w:iCs/>
          <w:color w:val="000000" w:themeColor="text1"/>
          <w:sz w:val="20"/>
          <w:szCs w:val="20"/>
        </w:rPr>
        <w:t>Survey Questionnaire → Questionnaire Number</w:t>
      </w:r>
      <w:r w:rsidRPr="00A34F47">
        <w:rPr>
          <w:rFonts w:ascii="Arial" w:hAnsi="Arial" w:cs="Arial"/>
          <w:color w:val="000000" w:themeColor="text1"/>
          <w:sz w:val="20"/>
          <w:szCs w:val="20"/>
        </w:rPr>
        <w:t xml:space="preserve"> section of the master Survey Manual, replacing the existing 9-digit text:</w:t>
      </w:r>
    </w:p>
    <w:p w14:paraId="629CD50E" w14:textId="7BAB94C6" w:rsidR="002D0647" w:rsidRPr="00A34F47" w:rsidRDefault="00000000" w:rsidP="00A34F47">
      <w:pPr>
        <w:pStyle w:val="BlockText"/>
        <w:rPr>
          <w:rFonts w:ascii="Arial" w:hAnsi="Arial" w:cs="Arial"/>
          <w:color w:val="000000" w:themeColor="text1"/>
          <w:sz w:val="20"/>
          <w:szCs w:val="20"/>
        </w:rPr>
      </w:pPr>
      <w:r w:rsidRPr="00A34F47">
        <w:rPr>
          <w:rFonts w:ascii="Arial" w:hAnsi="Arial" w:cs="Arial"/>
          <w:color w:val="000000" w:themeColor="text1"/>
          <w:sz w:val="20"/>
          <w:szCs w:val="20"/>
        </w:rPr>
        <w:t xml:space="preserve">The questionnaire number is a </w:t>
      </w:r>
      <w:r w:rsidRPr="00A34F47">
        <w:rPr>
          <w:rFonts w:ascii="Arial" w:hAnsi="Arial" w:cs="Arial"/>
          <w:b/>
          <w:bCs/>
          <w:color w:val="000000" w:themeColor="text1"/>
          <w:sz w:val="20"/>
          <w:szCs w:val="20"/>
        </w:rPr>
        <w:t>12-digit numeric identifier</w:t>
      </w:r>
      <w:r w:rsidRPr="00A34F47">
        <w:rPr>
          <w:rFonts w:ascii="Arial" w:hAnsi="Arial" w:cs="Arial"/>
          <w:color w:val="000000" w:themeColor="text1"/>
          <w:sz w:val="20"/>
          <w:szCs w:val="20"/>
        </w:rPr>
        <w:t xml:space="preserve"> anchored to the </w:t>
      </w:r>
      <w:r w:rsidRPr="00A34F47">
        <w:rPr>
          <w:rFonts w:ascii="Arial" w:hAnsi="Arial" w:cs="Arial"/>
          <w:b/>
          <w:bCs/>
          <w:color w:val="000000" w:themeColor="text1"/>
          <w:sz w:val="20"/>
          <w:szCs w:val="20"/>
        </w:rPr>
        <w:t>Philippine Standard Geographic Code (PSGC), 1Q 2026 publication</w:t>
      </w:r>
      <w:r w:rsidRPr="00A34F47">
        <w:rPr>
          <w:rFonts w:ascii="Arial" w:hAnsi="Arial" w:cs="Arial"/>
          <w:color w:val="000000" w:themeColor="text1"/>
          <w:sz w:val="20"/>
          <w:szCs w:val="20"/>
        </w:rPr>
        <w:t xml:space="preserve">. The first seven digits are the PSGC code (Region, 2 digits; Province or HUC slot within region, 2 digits; City or Municipality slot within province, 3 digits), the next two digits are the facility number assigned by ASPSI within that municipality, and the last three digits are the per-facility, per-instrument case sequence assigned by the STL. Example: </w:t>
      </w:r>
      <w:r w:rsidRPr="00A34F47">
        <w:rPr>
          <w:rStyle w:val="VerbatimChar"/>
          <w:rFonts w:ascii="Arial" w:hAnsi="Arial" w:cs="Arial"/>
          <w:color w:val="000000" w:themeColor="text1"/>
          <w:sz w:val="18"/>
          <w:szCs w:val="20"/>
        </w:rPr>
        <w:t>030541101012</w:t>
      </w:r>
      <w:r w:rsidRPr="00A34F47">
        <w:rPr>
          <w:rFonts w:ascii="Arial" w:hAnsi="Arial" w:cs="Arial"/>
          <w:color w:val="000000" w:themeColor="text1"/>
          <w:sz w:val="20"/>
          <w:szCs w:val="20"/>
        </w:rPr>
        <w:t xml:space="preserve"> = Region III (</w:t>
      </w:r>
      <w:r w:rsidRPr="00A34F47">
        <w:rPr>
          <w:rStyle w:val="VerbatimChar"/>
          <w:rFonts w:ascii="Arial" w:hAnsi="Arial" w:cs="Arial"/>
          <w:color w:val="000000" w:themeColor="text1"/>
          <w:sz w:val="18"/>
          <w:szCs w:val="20"/>
        </w:rPr>
        <w:t>03</w:t>
      </w:r>
      <w:r w:rsidRPr="00A34F47">
        <w:rPr>
          <w:rFonts w:ascii="Arial" w:hAnsi="Arial" w:cs="Arial"/>
          <w:color w:val="000000" w:themeColor="text1"/>
          <w:sz w:val="20"/>
          <w:szCs w:val="20"/>
        </w:rPr>
        <w:t>), Pampanga (</w:t>
      </w:r>
      <w:r w:rsidRPr="00A34F47">
        <w:rPr>
          <w:rStyle w:val="VerbatimChar"/>
          <w:rFonts w:ascii="Arial" w:hAnsi="Arial" w:cs="Arial"/>
          <w:color w:val="000000" w:themeColor="text1"/>
          <w:sz w:val="18"/>
          <w:szCs w:val="20"/>
        </w:rPr>
        <w:t>05</w:t>
      </w:r>
      <w:r w:rsidRPr="00A34F47">
        <w:rPr>
          <w:rFonts w:ascii="Arial" w:hAnsi="Arial" w:cs="Arial"/>
          <w:color w:val="000000" w:themeColor="text1"/>
          <w:sz w:val="20"/>
          <w:szCs w:val="20"/>
        </w:rPr>
        <w:t>), Magalang (</w:t>
      </w:r>
      <w:r w:rsidRPr="00A34F47">
        <w:rPr>
          <w:rStyle w:val="VerbatimChar"/>
          <w:rFonts w:ascii="Arial" w:hAnsi="Arial" w:cs="Arial"/>
          <w:color w:val="000000" w:themeColor="text1"/>
          <w:sz w:val="18"/>
          <w:szCs w:val="20"/>
        </w:rPr>
        <w:t>411</w:t>
      </w:r>
      <w:r w:rsidRPr="00A34F47">
        <w:rPr>
          <w:rFonts w:ascii="Arial" w:hAnsi="Arial" w:cs="Arial"/>
          <w:color w:val="000000" w:themeColor="text1"/>
          <w:sz w:val="20"/>
          <w:szCs w:val="20"/>
        </w:rPr>
        <w:t>), 1st sampled facility (</w:t>
      </w:r>
      <w:r w:rsidRPr="00A34F47">
        <w:rPr>
          <w:rStyle w:val="VerbatimChar"/>
          <w:rFonts w:ascii="Arial" w:hAnsi="Arial" w:cs="Arial"/>
          <w:color w:val="000000" w:themeColor="text1"/>
          <w:sz w:val="18"/>
          <w:szCs w:val="20"/>
        </w:rPr>
        <w:t>01</w:t>
      </w:r>
      <w:r w:rsidRPr="00A34F47">
        <w:rPr>
          <w:rFonts w:ascii="Arial" w:hAnsi="Arial" w:cs="Arial"/>
          <w:color w:val="000000" w:themeColor="text1"/>
          <w:sz w:val="20"/>
          <w:szCs w:val="20"/>
        </w:rPr>
        <w:t>), 12th case at that facility (</w:t>
      </w:r>
      <w:r w:rsidRPr="00A34F47">
        <w:rPr>
          <w:rStyle w:val="VerbatimChar"/>
          <w:rFonts w:ascii="Arial" w:hAnsi="Arial" w:cs="Arial"/>
          <w:color w:val="000000" w:themeColor="text1"/>
          <w:sz w:val="18"/>
          <w:szCs w:val="20"/>
        </w:rPr>
        <w:t>012</w:t>
      </w:r>
      <w:r w:rsidRPr="00A34F47">
        <w:rPr>
          <w:rFonts w:ascii="Arial" w:hAnsi="Arial" w:cs="Arial"/>
          <w:color w:val="000000" w:themeColor="text1"/>
          <w:sz w:val="20"/>
          <w:szCs w:val="20"/>
        </w:rPr>
        <w:t>). Within each facility, sequence ranges 001–699 are reserved for active cases (sub-allocated by the STL across enumerators), 700–899 for replacement cases drawn from the alternative-respondent list, and 900–999 for refused or forfeited attempts. The questionnaire number is generated automatically by the CAPI application from the facility selection and the case type — enumerators do not type the questionnaire number manually.</w:t>
      </w:r>
    </w:p>
    <w:p w14:paraId="35A65CC4" w14:textId="77777777" w:rsidR="002D0647" w:rsidRPr="00A34F47" w:rsidRDefault="00000000">
      <w:pPr>
        <w:pStyle w:val="Heading2"/>
        <w:rPr>
          <w:rFonts w:ascii="Arial" w:hAnsi="Arial" w:cs="Arial"/>
          <w:color w:val="000000" w:themeColor="text1"/>
          <w:sz w:val="24"/>
          <w:szCs w:val="24"/>
        </w:rPr>
      </w:pPr>
      <w:bookmarkStart w:id="9" w:name="X102a455066f1d5bfbba6e4204abf8652e9e7e41"/>
      <w:bookmarkEnd w:id="8"/>
      <w:r w:rsidRPr="00A34F47">
        <w:rPr>
          <w:rFonts w:ascii="Arial" w:hAnsi="Arial" w:cs="Arial"/>
          <w:color w:val="000000" w:themeColor="text1"/>
          <w:sz w:val="24"/>
          <w:szCs w:val="24"/>
        </w:rPr>
        <w:t>8. Items that need your input</w:t>
      </w:r>
    </w:p>
    <w:p w14:paraId="4A41AD82" w14:textId="77777777" w:rsidR="002D0647" w:rsidRPr="00A34F47" w:rsidRDefault="00000000">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A few decisions are sensible for ASPSI's field-operations team to weigh in on, rather than the Data Programmer deciding unilaterally:</w:t>
      </w:r>
    </w:p>
    <w:p w14:paraId="54AA3A0E" w14:textId="77777777" w:rsidR="002D0647" w:rsidRPr="00A34F47" w:rsidRDefault="00000000">
      <w:pPr>
        <w:pStyle w:val="Compact"/>
        <w:numPr>
          <w:ilvl w:val="0"/>
          <w:numId w:val="4"/>
        </w:numPr>
        <w:rPr>
          <w:rFonts w:ascii="Arial" w:hAnsi="Arial" w:cs="Arial"/>
          <w:color w:val="000000" w:themeColor="text1"/>
          <w:sz w:val="20"/>
          <w:szCs w:val="20"/>
        </w:rPr>
      </w:pPr>
      <w:r w:rsidRPr="00A34F47">
        <w:rPr>
          <w:rStyle w:val="VerbatimChar"/>
          <w:rFonts w:ascii="Arial" w:hAnsi="Arial" w:cs="Arial"/>
          <w:b/>
          <w:bCs/>
          <w:color w:val="000000" w:themeColor="text1"/>
          <w:sz w:val="18"/>
          <w:szCs w:val="20"/>
        </w:rPr>
        <w:lastRenderedPageBreak/>
        <w:t>CASE_SEQ</w:t>
      </w:r>
      <w:r w:rsidRPr="00A34F47">
        <w:rPr>
          <w:rFonts w:ascii="Arial" w:hAnsi="Arial" w:cs="Arial"/>
          <w:b/>
          <w:bCs/>
          <w:color w:val="000000" w:themeColor="text1"/>
          <w:sz w:val="20"/>
          <w:szCs w:val="20"/>
        </w:rPr>
        <w:t xml:space="preserve"> band sizes.</w:t>
      </w:r>
      <w:r w:rsidRPr="00A34F47">
        <w:rPr>
          <w:rFonts w:ascii="Arial" w:hAnsi="Arial" w:cs="Arial"/>
          <w:color w:val="000000" w:themeColor="text1"/>
          <w:sz w:val="20"/>
          <w:szCs w:val="20"/>
        </w:rPr>
        <w:t xml:space="preserve"> The proposed split is 001–699 / 700–899 / 900–999. Are these reasonable for the expected per-facility case volumes (F2 target 4–53/facility; F3 ceiling ≈ 67 OP + 45 IP; F4 driven by patient-walk multipliers), or do you want a different cut point?</w:t>
      </w:r>
    </w:p>
    <w:p w14:paraId="2181FF28" w14:textId="77777777" w:rsidR="002D0647" w:rsidRPr="00A34F47" w:rsidRDefault="00000000">
      <w:pPr>
        <w:pStyle w:val="Compact"/>
        <w:numPr>
          <w:ilvl w:val="0"/>
          <w:numId w:val="4"/>
        </w:numPr>
        <w:rPr>
          <w:rFonts w:ascii="Arial" w:hAnsi="Arial" w:cs="Arial"/>
          <w:color w:val="000000" w:themeColor="text1"/>
          <w:sz w:val="20"/>
          <w:szCs w:val="20"/>
        </w:rPr>
      </w:pPr>
      <w:r w:rsidRPr="00A34F47">
        <w:rPr>
          <w:rFonts w:ascii="Arial" w:hAnsi="Arial" w:cs="Arial"/>
          <w:b/>
          <w:bCs/>
          <w:color w:val="000000" w:themeColor="text1"/>
          <w:sz w:val="20"/>
          <w:szCs w:val="20"/>
        </w:rPr>
        <w:t>STL sub-allocation policy.</w:t>
      </w:r>
      <w:r w:rsidRPr="00A34F47">
        <w:rPr>
          <w:rFonts w:ascii="Arial" w:hAnsi="Arial" w:cs="Arial"/>
          <w:color w:val="000000" w:themeColor="text1"/>
          <w:sz w:val="20"/>
          <w:szCs w:val="20"/>
        </w:rPr>
        <w:t xml:space="preserve"> Within the 001–699 active range, how should the STL pre-divide the band across enumerators at a facility? The convention supports any partitioning (e.g., 50 per enumerator, equal share, or proportional to expected effort) — the ASPSI field-operations team owns this rule.</w:t>
      </w:r>
    </w:p>
    <w:p w14:paraId="132673BB" w14:textId="77777777" w:rsidR="002D0647" w:rsidRPr="00A34F47" w:rsidRDefault="00000000">
      <w:pPr>
        <w:pStyle w:val="Compact"/>
        <w:numPr>
          <w:ilvl w:val="0"/>
          <w:numId w:val="4"/>
        </w:numPr>
        <w:rPr>
          <w:rFonts w:ascii="Arial" w:hAnsi="Arial" w:cs="Arial"/>
          <w:color w:val="000000" w:themeColor="text1"/>
          <w:sz w:val="20"/>
          <w:szCs w:val="20"/>
        </w:rPr>
      </w:pPr>
      <w:r w:rsidRPr="00A34F47">
        <w:rPr>
          <w:rFonts w:ascii="Arial" w:hAnsi="Arial" w:cs="Arial"/>
          <w:b/>
          <w:bCs/>
          <w:color w:val="000000" w:themeColor="text1"/>
          <w:sz w:val="20"/>
          <w:szCs w:val="20"/>
        </w:rPr>
        <w:t>Refused-case disposition.</w:t>
      </w:r>
      <w:r w:rsidRPr="00A34F47">
        <w:rPr>
          <w:rFonts w:ascii="Arial" w:hAnsi="Arial" w:cs="Arial"/>
          <w:color w:val="000000" w:themeColor="text1"/>
          <w:sz w:val="20"/>
          <w:szCs w:val="20"/>
        </w:rPr>
        <w:t xml:space="preserve"> Should every refused attempt get a </w:t>
      </w:r>
      <w:r w:rsidRPr="00A34F47">
        <w:rPr>
          <w:rStyle w:val="VerbatimChar"/>
          <w:rFonts w:ascii="Arial" w:hAnsi="Arial" w:cs="Arial"/>
          <w:color w:val="000000" w:themeColor="text1"/>
          <w:sz w:val="18"/>
          <w:szCs w:val="20"/>
        </w:rPr>
        <w:t>CCC</w:t>
      </w:r>
      <w:r w:rsidRPr="00A34F47">
        <w:rPr>
          <w:rFonts w:ascii="Arial" w:hAnsi="Arial" w:cs="Arial"/>
          <w:color w:val="000000" w:themeColor="text1"/>
          <w:sz w:val="20"/>
          <w:szCs w:val="20"/>
        </w:rPr>
        <w:t xml:space="preserve"> in the 900–999 band, or only those with completed AAPOR disposition codes? This is a small operational choice that affects how response rates are computed.</w:t>
      </w:r>
    </w:p>
    <w:p w14:paraId="3EF35C9E" w14:textId="37F47266" w:rsidR="002D0647" w:rsidRPr="00A34F47" w:rsidRDefault="00000000" w:rsidP="00A34F47">
      <w:pPr>
        <w:pStyle w:val="Compact"/>
        <w:numPr>
          <w:ilvl w:val="0"/>
          <w:numId w:val="4"/>
        </w:numPr>
        <w:rPr>
          <w:rFonts w:ascii="Arial" w:hAnsi="Arial" w:cs="Arial"/>
          <w:color w:val="000000" w:themeColor="text1"/>
          <w:sz w:val="20"/>
          <w:szCs w:val="20"/>
        </w:rPr>
      </w:pPr>
      <w:r w:rsidRPr="00A34F47">
        <w:rPr>
          <w:rFonts w:ascii="Arial" w:hAnsi="Arial" w:cs="Arial"/>
          <w:b/>
          <w:bCs/>
          <w:color w:val="000000" w:themeColor="text1"/>
          <w:sz w:val="20"/>
          <w:szCs w:val="20"/>
        </w:rPr>
        <w:t>Survey Manual placement.</w:t>
      </w:r>
      <w:r w:rsidRPr="00A34F47">
        <w:rPr>
          <w:rFonts w:ascii="Arial" w:hAnsi="Arial" w:cs="Arial"/>
          <w:color w:val="000000" w:themeColor="text1"/>
          <w:sz w:val="20"/>
          <w:szCs w:val="20"/>
        </w:rPr>
        <w:t xml:space="preserve"> The drop-in addendum in §7 is written for the </w:t>
      </w:r>
      <w:r w:rsidRPr="00A34F47">
        <w:rPr>
          <w:rFonts w:ascii="Arial" w:hAnsi="Arial" w:cs="Arial"/>
          <w:i/>
          <w:iCs/>
          <w:color w:val="000000" w:themeColor="text1"/>
          <w:sz w:val="20"/>
          <w:szCs w:val="20"/>
        </w:rPr>
        <w:t>Survey Questionnaire → Questionnaire Number</w:t>
      </w:r>
      <w:r w:rsidRPr="00A34F47">
        <w:rPr>
          <w:rFonts w:ascii="Arial" w:hAnsi="Arial" w:cs="Arial"/>
          <w:color w:val="000000" w:themeColor="text1"/>
          <w:sz w:val="20"/>
          <w:szCs w:val="20"/>
        </w:rPr>
        <w:t xml:space="preserve"> section. Let me know if you'd prefer it placed elsewhere (e.g., in a dedicated </w:t>
      </w:r>
      <w:r w:rsidRPr="00A34F47">
        <w:rPr>
          <w:rFonts w:ascii="Arial" w:hAnsi="Arial" w:cs="Arial"/>
          <w:i/>
          <w:iCs/>
          <w:color w:val="000000" w:themeColor="text1"/>
          <w:sz w:val="20"/>
          <w:szCs w:val="20"/>
        </w:rPr>
        <w:t>CAPI Conventions</w:t>
      </w:r>
      <w:r w:rsidRPr="00A34F47">
        <w:rPr>
          <w:rFonts w:ascii="Arial" w:hAnsi="Arial" w:cs="Arial"/>
          <w:color w:val="000000" w:themeColor="text1"/>
          <w:sz w:val="20"/>
          <w:szCs w:val="20"/>
        </w:rPr>
        <w:t xml:space="preserve"> annex), and I'll adjust the framing.</w:t>
      </w:r>
    </w:p>
    <w:p w14:paraId="1934E7C7" w14:textId="77777777" w:rsidR="002D0647" w:rsidRPr="00A34F47" w:rsidRDefault="00000000">
      <w:pPr>
        <w:pStyle w:val="Heading2"/>
        <w:rPr>
          <w:rFonts w:ascii="Arial" w:hAnsi="Arial" w:cs="Arial"/>
          <w:color w:val="000000" w:themeColor="text1"/>
          <w:sz w:val="24"/>
          <w:szCs w:val="24"/>
        </w:rPr>
      </w:pPr>
      <w:bookmarkStart w:id="10" w:name="X431d35d8e86d8def10ce2465979c46a8c3b7bb5"/>
      <w:bookmarkEnd w:id="9"/>
      <w:r w:rsidRPr="00A34F47">
        <w:rPr>
          <w:rFonts w:ascii="Arial" w:hAnsi="Arial" w:cs="Arial"/>
          <w:color w:val="000000" w:themeColor="text1"/>
          <w:sz w:val="24"/>
          <w:szCs w:val="24"/>
        </w:rPr>
        <w:t>9. Implementation status</w:t>
      </w:r>
    </w:p>
    <w:p w14:paraId="7B69477E" w14:textId="01653FB4" w:rsidR="002D0647" w:rsidRPr="00A34F47" w:rsidRDefault="00000000" w:rsidP="00A34F47">
      <w:pPr>
        <w:pStyle w:val="FirstParagraph"/>
        <w:rPr>
          <w:rFonts w:ascii="Arial" w:hAnsi="Arial" w:cs="Arial"/>
          <w:color w:val="000000" w:themeColor="text1"/>
          <w:sz w:val="20"/>
          <w:szCs w:val="20"/>
        </w:rPr>
      </w:pPr>
      <w:r w:rsidRPr="00A34F47">
        <w:rPr>
          <w:rFonts w:ascii="Arial" w:hAnsi="Arial" w:cs="Arial"/>
          <w:color w:val="000000" w:themeColor="text1"/>
          <w:sz w:val="20"/>
          <w:szCs w:val="20"/>
        </w:rPr>
        <w:t>The CAPI dictionaries (F1, F3, F4) and the F2 PWA case-ID issuer will be updated to match this convention once the open items in §8 are resolved. The change is contained — the existing geographic data items and PSGC value sets remain unchanged — and is expected to be completed within the current sprint. The Survey Manual addendum in §7 can be incorporated independently of the CAPI build update; both will be in place before the next pilot.</w:t>
      </w:r>
      <w:bookmarkEnd w:id="0"/>
      <w:bookmarkEnd w:id="10"/>
    </w:p>
    <w:sectPr w:rsidR="002D0647" w:rsidRPr="00A34F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FC55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B1E03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6356955">
    <w:abstractNumId w:val="0"/>
  </w:num>
  <w:num w:numId="2" w16cid:durableId="1122043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0275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7161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D0647"/>
    <w:rsid w:val="002D0647"/>
    <w:rsid w:val="003E591D"/>
    <w:rsid w:val="00A34F47"/>
    <w:rsid w:val="00D31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08FB"/>
  <w15:docId w15:val="{8CF32525-2D61-4563-89C7-5790B2BDC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1794</Words>
  <Characters>10228</Characters>
  <Application>Microsoft Office Word</Application>
  <DocSecurity>0</DocSecurity>
  <Lines>85</Lines>
  <Paragraphs>23</Paragraphs>
  <ScaleCrop>false</ScaleCrop>
  <Company/>
  <LinksUpToDate>false</LinksUpToDate>
  <CharactersWithSpaces>11999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 Patrick Reyes</cp:lastModifiedBy>
  <cp:revision>3</cp:revision>
  <dcterms:created xsi:type="dcterms:W3CDTF">2026-05-05T09:44:00Z</dcterms:created>
  <dcterms:modified xsi:type="dcterms:W3CDTF">2026-05-05T09:49:00Z</dcterms:modified>
</cp:coreProperties>
</file>