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928bdcf8860e459a55fc9b6f6ad7be011874e7"/>
    <w:p>
      <w:pPr>
        <w:pStyle w:val="Heading1"/>
      </w:pPr>
      <w:r>
        <w:t xml:space="preserve">UHC Survey Year 2 — Tabulation Findings (plain brief)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Ms. Myra + team — 3:00 PM meeting, 2026-07-06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Carl (Data Programmer)</w:t>
      </w:r>
      <w:r>
        <w:t xml:space="preserve"> </w:t>
      </w:r>
      <w:r>
        <w:rPr>
          <w:b/>
          <w:bCs/>
        </w:rPr>
        <w:t xml:space="preserve">Based on:</w:t>
      </w:r>
      <w:r>
        <w:t xml:space="preserve"> </w:t>
      </w:r>
      <w:r>
        <w:t xml:space="preserve">the PSA-approved list of 197 tables (SSRCS Form 1, §II-9, signed 2026-06-15)</w:t>
      </w:r>
    </w:p>
    <w:p>
      <w:pPr>
        <w:pStyle w:val="BlockText"/>
      </w:pPr>
      <w:r>
        <w:rPr>
          <w:b/>
          <w:bCs/>
        </w:rPr>
        <w:t xml:space="preserve">What I did:</w:t>
      </w:r>
      <w:r>
        <w:t xml:space="preserve"> </w:t>
      </w:r>
      <w:r>
        <w:t xml:space="preserve">I checked all</w:t>
      </w:r>
      <w:r>
        <w:t xml:space="preserve"> </w:t>
      </w:r>
      <w:r>
        <w:rPr>
          <w:b/>
          <w:bCs/>
        </w:rPr>
        <w:t xml:space="preserve">197 tables PSA expects us to produce</w:t>
      </w:r>
      <w:r>
        <w:t xml:space="preserve"> </w:t>
      </w:r>
      <w:r>
        <w:t xml:space="preserve">against the actual questions in our F1/F3/F4/F2 questionnaires — to see which ones we can build straight from the interview, and which ones need a decision or extra data first.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no interviews have happened yet (pre-test not run), so the sample tables below are</w:t>
      </w:r>
      <w:r>
        <w:t xml:space="preserve"> </w:t>
      </w:r>
      <w:r>
        <w:rPr>
          <w:b/>
          <w:bCs/>
        </w:rPr>
        <w:t xml:space="preserve">examples of the layout only</w:t>
      </w:r>
      <w:r>
        <w:t xml:space="preserve"> </w:t>
      </w:r>
      <w:r>
        <w:t xml:space="preserve">— the numbers are made up.</w:t>
      </w:r>
    </w:p>
    <w:p>
      <w:r>
        <w:pict>
          <v:rect style="width:0;height:1.5pt" o:hralign="center" o:hrstd="t" o:hr="t"/>
        </w:pict>
      </w:r>
    </w:p>
    <w:bookmarkStart w:id="9" w:name="the-short-version"/>
    <w:p>
      <w:pPr>
        <w:pStyle w:val="Heading2"/>
      </w:pPr>
      <w:r>
        <w:t xml:space="preserve">1. The short version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Annex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🟡 Needs a decision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⛔ Can’t collect as-is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Facility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Patient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Household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Health worker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147 tables (75%) are ready</w:t>
      </w:r>
      <w:r>
        <w:t xml:space="preserve"> </w:t>
      </w:r>
      <w:r>
        <w:t xml:space="preserve">— the question is in the form; we can build these the moment data comes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47 tables (24%) need one decision each</w:t>
      </w:r>
      <w:r>
        <w:t xml:space="preserve"> </w:t>
      </w:r>
      <w:r>
        <w:t xml:space="preserve">— we can build them, but I used the closest question we asked, or I need us to agree how to compute or who to count. I just need a yes/no so the numbers mean what DOH wants.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tables can’t be built from the forms as they are</w:t>
      </w:r>
      <w:r>
        <w:t xml:space="preserve"> </w:t>
      </w:r>
      <w:r>
        <w:t xml:space="preserve">— the questionnaire simply doesn’t ask for it.</w:t>
      </w:r>
    </w:p>
    <w:p>
      <w:pPr>
        <w:pStyle w:val="FirstParagraph"/>
      </w:pPr>
      <w:r>
        <w:rPr>
          <w:b/>
          <w:bCs/>
        </w:rPr>
        <w:t xml:space="preserve">None of this holds up the pre-test.</w:t>
      </w:r>
      <w:r>
        <w:t xml:space="preserve"> </w:t>
      </w:r>
      <w:r>
        <w:t xml:space="preserve">It’s about locking the analysis so the final tables are defensible.</w:t>
      </w:r>
    </w:p>
    <w:p>
      <w:r>
        <w:pict>
          <v:rect style="width:0;height:1.5pt" o:hralign="center" o:hrstd="t" o:hr="t"/>
        </w:pict>
      </w:r>
    </w:p>
    <w:bookmarkEnd w:id="9"/>
    <w:bookmarkStart w:id="10" w:name="to-decide-faster-my-recommendation"/>
    <w:p>
      <w:pPr>
        <w:pStyle w:val="Heading2"/>
      </w:pPr>
      <w:r>
        <w:t xml:space="preserve">⭐ To decide faster — my recommendation</w:t>
      </w:r>
    </w:p>
    <w:p>
      <w:pPr>
        <w:pStyle w:val="FirstParagraph"/>
      </w:pPr>
      <w:r>
        <w:t xml:space="preserve">I’ve put a</w:t>
      </w:r>
      <w:r>
        <w:t xml:space="preserve"> </w:t>
      </w:r>
      <w:r>
        <w:rPr>
          <w:b/>
          <w:bCs/>
        </w:rPr>
        <w:t xml:space="preserve">recommended choice on every item below.</w:t>
      </w:r>
      <w:r>
        <w:t xml:space="preserve"> </w:t>
      </w:r>
      <w:r>
        <w:t xml:space="preserve">If you’re happy with them, you can</w:t>
      </w:r>
      <w:r>
        <w:t xml:space="preserve"> </w:t>
      </w:r>
      <w:r>
        <w:rPr>
          <w:b/>
          <w:bCs/>
        </w:rPr>
        <w:t xml:space="preserve">approve them as a batch and only flag the ones you’d do differently</w:t>
      </w:r>
      <w:r>
        <w:t xml:space="preserve"> </w:t>
      </w:r>
      <w:r>
        <w:t xml:space="preserve">— that settles all 50 in one pass. In short: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3 can’t-build tables:</w:t>
      </w:r>
      <w:r>
        <w:t xml:space="preserve"> </w:t>
      </w:r>
      <w:r>
        <w:t xml:space="preserve">keep 2 as clearly-relabeled substitutes, and get the 3rd from DOH HR records.</w:t>
      </w:r>
      <w:r>
        <w:t xml:space="preserve"> </w:t>
      </w:r>
      <w:r>
        <w:rPr>
          <w:i/>
          <w:iCs/>
        </w:rPr>
        <w:t xml:space="preserve">(§2)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47 decisions:</w:t>
      </w:r>
      <w:r>
        <w:t xml:space="preserve"> </w:t>
      </w:r>
      <w:r>
        <w:t xml:space="preserve">accept the closest-question stand-ins (relabeled), adopt the standard computation methods I list, and use the plain group definitions I propose.</w:t>
      </w:r>
      <w:r>
        <w:t xml:space="preserve"> </w:t>
      </w:r>
      <w:r>
        <w:rPr>
          <w:i/>
          <w:iCs/>
        </w:rPr>
        <w:t xml:space="preserve">(§3)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3 duplicated tables:</w:t>
      </w:r>
      <w:r>
        <w:t xml:space="preserve"> </w:t>
      </w:r>
      <w:r>
        <w:t xml:space="preserve">produce once.</w:t>
      </w:r>
      <w:r>
        <w:t xml:space="preserve"> </w:t>
      </w:r>
      <w:r>
        <w:rPr>
          <w:i/>
          <w:iCs/>
        </w:rPr>
        <w:t xml:space="preserve">(§4)</w:t>
      </w:r>
    </w:p>
    <w:p>
      <w:pPr>
        <w:pStyle w:val="BodyText"/>
      </w:pPr>
      <w:r>
        <w:t xml:space="preserve">The Excel tracker (separate file) lists all 50 with my recommendation and a blank column for your decision.</w:t>
      </w:r>
    </w:p>
    <w:p>
      <w:r>
        <w:pict>
          <v:rect style="width:0;height:1.5pt" o:hralign="center" o:hrstd="t" o:hr="t"/>
        </w:pict>
      </w:r>
    </w:p>
    <w:bookmarkEnd w:id="10"/>
    <w:bookmarkStart w:id="11" w:name="the-3-tables-we-cant-build-as-is"/>
    <w:p>
      <w:pPr>
        <w:pStyle w:val="Heading2"/>
      </w:pPr>
      <w:r>
        <w:t xml:space="preserve">2. The 3 tables we can’t build as-is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What it asks</w:t>
            </w:r>
          </w:p>
        </w:tc>
        <w:tc>
          <w:tcPr/>
          <w:p>
            <w:pPr>
              <w:pStyle w:val="Compact"/>
            </w:pPr>
            <w:r>
              <w:t xml:space="preserve">Why we can’t</w:t>
            </w:r>
          </w:p>
        </w:tc>
        <w:tc>
          <w:tcPr/>
          <w:p>
            <w:pPr>
              <w:pStyle w:val="Compact"/>
            </w:pPr>
            <w:r>
              <w:t xml:space="preserve">⭐ My 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% of facility heads who have</w:t>
            </w:r>
            <w:r>
              <w:t xml:space="preserve"> </w:t>
            </w:r>
            <w:r>
              <w:rPr>
                <w:b/>
                <w:bCs/>
              </w:rPr>
              <w:t xml:space="preserve">heard of how to apply for DOH licensing</w:t>
            </w:r>
          </w:p>
        </w:tc>
        <w:tc>
          <w:tcPr/>
          <w:p>
            <w:pPr>
              <w:pStyle w:val="Compact"/>
            </w:pPr>
            <w:r>
              <w:t xml:space="preserve">We never asked this. Closest: Q118 (are they licensed) and Q121 (which requirements are hard).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Relabel to Q121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“facilities that find licensing requirements difficult”</w:t>
            </w:r>
            <w:r>
              <w:t xml:space="preserve"> </w:t>
            </w:r>
            <w:r>
              <w:t xml:space="preserve">— a usable, related figure. (Fallback: drop.)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2.51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  <w:r>
              <w:t xml:space="preserve"> </w:t>
            </w:r>
            <w:r>
              <w:rPr>
                <w:b/>
                <w:bCs/>
              </w:rPr>
              <w:t xml:space="preserve">out-of-pocket paid for the room</w:t>
            </w:r>
            <w:r>
              <w:t xml:space="preserve"> </w:t>
            </w:r>
            <w:r>
              <w:t xml:space="preserve">(inpatient + outpatient)</w:t>
            </w:r>
          </w:p>
        </w:tc>
        <w:tc>
          <w:tcPr/>
          <w:p>
            <w:pPr>
              <w:pStyle w:val="Compact"/>
            </w:pPr>
            <w:r>
              <w:t xml:space="preserve">The bill questions have no separate</w:t>
            </w:r>
            <w:r>
              <w:t xml:space="preserve"> </w:t>
            </w:r>
            <w:r>
              <w:t xml:space="preserve">“room”</w:t>
            </w:r>
            <w:r>
              <w:t xml:space="preserve"> </w:t>
            </w:r>
            <w:r>
              <w:t xml:space="preserve">line — expenses are recorded by who paid, not by item.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 with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“total confinement out-of-pocket”</w:t>
            </w:r>
            <w:r>
              <w:t xml:space="preserve"> </w:t>
            </w:r>
            <w:r>
              <w:t xml:space="preserve">— we have this and it’s more useful than nothing. (Fallback: drop.)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  <w:r>
              <w:t xml:space="preserve"> </w:t>
            </w:r>
            <w:r>
              <w:rPr>
                <w:b/>
                <w:bCs/>
              </w:rPr>
              <w:t xml:space="preserve">staffing shortage %</w:t>
            </w:r>
            <w:r>
              <w:t xml:space="preserve"> </w:t>
            </w:r>
            <w:r>
              <w:t xml:space="preserve">per facility (vacant vs. required posts)</w:t>
            </w:r>
          </w:p>
        </w:tc>
        <w:tc>
          <w:tcPr/>
          <w:p>
            <w:pPr>
              <w:pStyle w:val="Compact"/>
            </w:pPr>
            <w:r>
              <w:t xml:space="preserve">Neither F2 nor F1 asks how many posts are required vs. filled.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 headcount only (Table 4.1) from the survey; compute the shortage % separately from DOH HR / plantilla records.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753ad5073f9d216c70fbfe474ff55f45f2d5db8"/>
    <w:p>
      <w:pPr>
        <w:pStyle w:val="Heading2"/>
      </w:pPr>
      <w:r>
        <w:t xml:space="preserve">3. The 47 tables that need one decision each</w:t>
      </w:r>
    </w:p>
    <w:p>
      <w:pPr>
        <w:pStyle w:val="FirstParagraph"/>
      </w:pPr>
      <w:r>
        <w:t xml:space="preserve">Every table here</w:t>
      </w:r>
      <w:r>
        <w:t xml:space="preserve"> </w:t>
      </w:r>
      <w:r>
        <w:rPr>
          <w:b/>
          <w:bCs/>
        </w:rPr>
        <w:t xml:space="preserve">can be built</w:t>
      </w:r>
      <w:r>
        <w:t xml:space="preserve"> </w:t>
      </w:r>
      <w:r>
        <w:t xml:space="preserve">— it just needs one thing agreed. Full list in the appendix.</w:t>
      </w:r>
    </w:p>
    <w:bookmarkStart w:id="12" w:name="X42ca8ff678139cde595f9983df86135cff1d73f"/>
    <w:p>
      <w:pPr>
        <w:pStyle w:val="Heading3"/>
      </w:pPr>
      <w:r>
        <w:t xml:space="preserve">Group A —</w:t>
      </w:r>
      <w:r>
        <w:t xml:space="preserve"> </w:t>
      </w:r>
      <w:r>
        <w:t xml:space="preserve">“I used the closest question we asked — is that OK?”</w:t>
      </w:r>
      <w:r>
        <w:t xml:space="preserve"> </w:t>
      </w:r>
      <w:r>
        <w:t xml:space="preserve">(~17 tables)</w:t>
      </w:r>
    </w:p>
    <w:p>
      <w:pPr>
        <w:pStyle w:val="FirstParagraph"/>
      </w:pPr>
      <w:r>
        <w:t xml:space="preserve">The table asks for something a little different from what the form actually asks, so I used the nearest question.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Examples:</w:t>
      </w:r>
      <w:r>
        <w:t xml:space="preserve"> </w:t>
      </w:r>
      <w:r>
        <w:t xml:space="preserve">1.1 (used</w:t>
      </w:r>
      <w:r>
        <w:t xml:space="preserve"> </w:t>
      </w:r>
      <w:r>
        <w:t xml:space="preserve">“knows how to start applying”</w:t>
      </w:r>
      <w:r>
        <w:t xml:space="preserve"> </w:t>
      </w:r>
      <w:r>
        <w:t xml:space="preserve">— we never asked</w:t>
      </w:r>
      <w:r>
        <w:t xml:space="preserve"> </w:t>
      </w:r>
      <w:r>
        <w:t xml:space="preserve">“heard of the process”</w:t>
      </w:r>
      <w:r>
        <w:t xml:space="preserve">) · 1.15 (used</w:t>
      </w:r>
      <w:r>
        <w:t xml:space="preserve"> </w:t>
      </w:r>
      <w:r>
        <w:t xml:space="preserve">“why not satisfied”</w:t>
      </w:r>
      <w:r>
        <w:t xml:space="preserve"> </w:t>
      </w:r>
      <w:r>
        <w:t xml:space="preserve">— but only unhappy people were asked, so the base is skewed) · 2.18 &amp; 3.15 (people</w:t>
      </w:r>
      <w:r>
        <w:t xml:space="preserve"> </w:t>
      </w:r>
      <w:r>
        <w:rPr>
          <w:b/>
          <w:bCs/>
        </w:rPr>
        <w:t xml:space="preserve">said</w:t>
      </w:r>
      <w:r>
        <w:t xml:space="preserve"> </w:t>
      </w:r>
      <w:r>
        <w:t xml:space="preserve">they know what a generic drug is — we didn’t test if they’re right) · 4.17 / 4.18 (we asked if they plan to leave — but not specifically</w:t>
      </w:r>
      <w:r>
        <w:t xml:space="preserve"> </w:t>
      </w:r>
      <w:r>
        <w:t xml:space="preserve">“within one year”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 need:</w:t>
      </w:r>
      <w:r>
        <w:t xml:space="preserve"> </w:t>
      </w:r>
      <w:r>
        <w:t xml:space="preserve">a yes/no on whether the stand-in is acceptable (and I’ll rename the table to match what we really asked), or tell me to drop it.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My recommendation:</w:t>
      </w:r>
      <w:r>
        <w:t xml:space="preserve"> </w:t>
      </w:r>
      <w:r>
        <w:rPr>
          <w:b/>
          <w:bCs/>
        </w:rPr>
        <w:t xml:space="preserve">accept all the stand-ins and let me relabel each table to what we actually asked</w:t>
      </w:r>
      <w:r>
        <w:t xml:space="preserve"> </w:t>
      </w:r>
      <w:r>
        <w:t xml:space="preserve">(e.g. 1.1 →</w:t>
      </w:r>
      <w:r>
        <w:t xml:space="preserve"> </w:t>
      </w:r>
      <w:r>
        <w:t xml:space="preserve">“knows how to start applying”</w:t>
      </w:r>
      <w:r>
        <w:t xml:space="preserve">). Keeps all 17 tables, honestly labeled — flag only any you’d rather drop.</w:t>
      </w:r>
    </w:p>
    <w:bookmarkEnd w:id="12"/>
    <w:bookmarkStart w:id="13" w:name="Xe2c3b24a609b2b51d407cb2d6b449afb56316b8"/>
    <w:p>
      <w:pPr>
        <w:pStyle w:val="Heading3"/>
      </w:pPr>
      <w:r>
        <w:t xml:space="preserve">Group B —</w:t>
      </w:r>
      <w:r>
        <w:t xml:space="preserve"> </w:t>
      </w:r>
      <w:r>
        <w:t xml:space="preserve">“We need to agree how to compute it”</w:t>
      </w:r>
      <w:r>
        <w:t xml:space="preserve"> </w:t>
      </w:r>
      <w:r>
        <w:t xml:space="preserve">(~25 tables)</w:t>
      </w:r>
    </w:p>
    <w:p>
      <w:pPr>
        <w:pStyle w:val="FirstParagraph"/>
      </w:pPr>
      <w:r>
        <w:t xml:space="preserve">These are combined scores or totals where</w:t>
      </w:r>
      <w:r>
        <w:t xml:space="preserve"> </w:t>
      </w:r>
      <w:r>
        <w:rPr>
          <w:b/>
          <w:bCs/>
        </w:rPr>
        <w:t xml:space="preserve">the exact method changes the answer.</w:t>
      </w:r>
      <w:r>
        <w:t xml:space="preserve"> </w:t>
      </w:r>
      <w:r>
        <w:t xml:space="preserve">- Money-related: 2.22–2.25 and 3.19–3.22 (free/subsidized medicine, sources of subsidy, financial assistance) ·</w:t>
      </w:r>
      <w:r>
        <w:t xml:space="preserve"> </w:t>
      </w:r>
      <w:r>
        <w:rPr>
          <w:b/>
          <w:bCs/>
        </w:rPr>
        <w:t xml:space="preserve">2.29 — catastrophic health spending</w:t>
      </w:r>
      <w:r>
        <w:t xml:space="preserve"> </w:t>
      </w:r>
      <w:r>
        <w:t xml:space="preserve">(how much OOP counts as</w:t>
      </w:r>
      <w:r>
        <w:t xml:space="preserve"> </w:t>
      </w:r>
      <w:r>
        <w:t xml:space="preserve">“catastrophic,”</w:t>
      </w:r>
      <w:r>
        <w:t xml:space="preserve"> </w:t>
      </w:r>
      <w:r>
        <w:t xml:space="preserve">at 25% and 40% of income) · 2.26 / 2.27 (No Balance Billing / Zero Balance Billing).</w:t>
      </w:r>
      <w:r>
        <w:t xml:space="preserve"> </w:t>
      </w:r>
      <w:r>
        <w:t xml:space="preserve">- Patient-experience scores: 2.47 (responsiveness) · 2.48 / 2.49 (dignity, autonomy, confidentiality) · 2.50 (overall experience).</w:t>
      </w:r>
      <w:r>
        <w:t xml:space="preserve"> </w:t>
      </w:r>
      <w:r>
        <w:t xml:space="preserve">- Health-worker tables: 4.1 (staff count per facility) · 4.12 (facilities offering enough training) · 4.15 / 4.16 (job satisfaction, top satisfaction factors).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 need:</w:t>
      </w:r>
      <w:r>
        <w:t xml:space="preserve"> </w:t>
      </w:r>
      <w:r>
        <w:t xml:space="preserve">DOH/ASPSI to confirm the exact method — which answers count as</w:t>
      </w:r>
      <w:r>
        <w:t xml:space="preserve"> </w:t>
      </w:r>
      <w:r>
        <w:t xml:space="preserve">“free,”</w:t>
      </w:r>
      <w:r>
        <w:t xml:space="preserve"> </w:t>
      </w:r>
      <w:r>
        <w:t xml:space="preserve">the catastrophic-spending cut-offs, which questions make up each score, and how we roll health-worker answers up to the facility.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My recommendation (standard methods — approve as a set):</w:t>
      </w:r>
      <w:r>
        <w:t xml:space="preserve"> </w:t>
      </w:r>
      <w:r>
        <w:t xml:space="preserve">catastrophic spending = out-of-pocket ÷ total household income, reported at</w:t>
      </w:r>
      <w:r>
        <w:t xml:space="preserve"> </w:t>
      </w:r>
      <w:r>
        <w:rPr>
          <w:b/>
          <w:bCs/>
        </w:rPr>
        <w:t xml:space="preserve">both 25% and 40%</w:t>
      </w:r>
      <w:r>
        <w:t xml:space="preserve"> </w:t>
      </w:r>
      <w:r>
        <w:t xml:space="preserve">(the usual thresholds) ·</w:t>
      </w:r>
      <w:r>
        <w:t xml:space="preserve"> </w:t>
      </w:r>
      <w:r>
        <w:rPr>
          <w:b/>
          <w:bCs/>
        </w:rPr>
        <w:t xml:space="preserve">“free/subsidized”</w:t>
      </w:r>
      <w:r>
        <w:t xml:space="preserve"> </w:t>
      </w:r>
      <w:r>
        <w:t xml:space="preserve">= the free / donation /</w:t>
      </w:r>
      <w:r>
        <w:t xml:space="preserve"> </w:t>
      </w:r>
      <w:r>
        <w:t xml:space="preserve">“got it free”</w:t>
      </w:r>
      <w:r>
        <w:t xml:space="preserve"> </w:t>
      </w:r>
      <w:r>
        <w:t xml:space="preserve">answer codes · each</w:t>
      </w:r>
      <w:r>
        <w:t xml:space="preserve"> </w:t>
      </w:r>
      <w:r>
        <w:rPr>
          <w:b/>
          <w:bCs/>
        </w:rPr>
        <w:t xml:space="preserve">experience score</w:t>
      </w:r>
      <w:r>
        <w:t xml:space="preserve"> </w:t>
      </w:r>
      <w:r>
        <w:t xml:space="preserve">= simple average of its Section-J questions (1–5) ·</w:t>
      </w:r>
      <w:r>
        <w:t xml:space="preserve"> </w:t>
      </w:r>
      <w:r>
        <w:rPr>
          <w:b/>
          <w:bCs/>
        </w:rPr>
        <w:t xml:space="preserve">staff-per-facility</w:t>
      </w:r>
      <w:r>
        <w:t xml:space="preserve"> </w:t>
      </w:r>
      <w:r>
        <w:t xml:space="preserve">= average number of workers we interviewed per facility. Flag any where DOH wants a specific formula.</w:t>
      </w:r>
    </w:p>
    <w:bookmarkEnd w:id="13"/>
    <w:bookmarkStart w:id="14" w:name="X727680fdd7aec6633e5f170f9de9a935af850e0"/>
    <w:p>
      <w:pPr>
        <w:pStyle w:val="Heading3"/>
      </w:pPr>
      <w:r>
        <w:t xml:space="preserve">Group C —</w:t>
      </w:r>
      <w:r>
        <w:t xml:space="preserve"> </w:t>
      </w:r>
      <w:r>
        <w:t xml:space="preserve">“We need to agree who to count”</w:t>
      </w:r>
      <w:r>
        <w:t xml:space="preserve"> </w:t>
      </w:r>
      <w:r>
        <w:t xml:space="preserve">(~5 tables)</w:t>
      </w:r>
    </w:p>
    <w:p>
      <w:pPr>
        <w:pStyle w:val="FirstParagraph"/>
      </w:pPr>
      <w:r>
        <w:t xml:space="preserve">The table names a group the form doesn’t tag.</w:t>
      </w:r>
      <w:r>
        <w:t xml:space="preserve"> </w:t>
      </w:r>
      <w:r>
        <w:t xml:space="preserve">-</w:t>
      </w:r>
      <w:r>
        <w:t xml:space="preserve"> </w:t>
      </w:r>
      <w:r>
        <w:t xml:space="preserve">“In the HCPN network”</w:t>
      </w:r>
      <w:r>
        <w:t xml:space="preserve"> </w:t>
      </w:r>
      <w:r>
        <w:t xml:space="preserve">(2.14, 3.11) ·</w:t>
      </w:r>
      <w:r>
        <w:t xml:space="preserve"> </w:t>
      </w:r>
      <w:r>
        <w:t xml:space="preserve">“was billed”</w:t>
      </w:r>
      <w:r>
        <w:t xml:space="preserve"> </w:t>
      </w:r>
      <w:r>
        <w:t xml:space="preserve">(2.25, 3.22) ·</w:t>
      </w:r>
      <w:r>
        <w:t xml:space="preserve"> </w:t>
      </w:r>
      <w:r>
        <w:t xml:space="preserve">“went through registration, even if unsuccessful”</w:t>
      </w:r>
      <w:r>
        <w:t xml:space="preserve"> </w:t>
      </w:r>
      <w:r>
        <w:t xml:space="preserve">(3.9). The form never marks who belongs to these groups, so we have to define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I need:</w:t>
      </w:r>
      <w:r>
        <w:t xml:space="preserve"> </w:t>
      </w:r>
      <w:r>
        <w:t xml:space="preserve">agree the plain definition of each group so the totals are consistent.</w:t>
      </w:r>
      <w:r>
        <w:t xml:space="preserve"> </w:t>
      </w:r>
      <w:r>
        <w:t xml:space="preserve">- ⭐</w:t>
      </w:r>
      <w:r>
        <w:t xml:space="preserve"> </w:t>
      </w:r>
      <w:r>
        <w:rPr>
          <w:b/>
          <w:bCs/>
        </w:rPr>
        <w:t xml:space="preserve">My recommendation (practical definitions — approve unless DOH has official ones):</w:t>
      </w:r>
      <w:r>
        <w:t xml:space="preserve"> </w:t>
      </w:r>
      <w:r>
        <w:t xml:space="preserve">“in HCPN”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referred from a primary-care provider / Konsulta</w:t>
      </w:r>
      <w:r>
        <w:t xml:space="preserve"> </w:t>
      </w:r>
      <w:r>
        <w:t xml:space="preserve">·</w:t>
      </w:r>
      <w:r>
        <w:t xml:space="preserve"> </w:t>
      </w:r>
      <w:r>
        <w:t xml:space="preserve">“was billed”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final bill greater than zero</w:t>
      </w:r>
      <w:r>
        <w:t xml:space="preserve"> </w:t>
      </w:r>
      <w:r>
        <w:t xml:space="preserve">·</w:t>
      </w:r>
      <w:r>
        <w:t xml:space="preserve"> </w:t>
      </w:r>
      <w:r>
        <w:t xml:space="preserve">“went through registration”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has a registration date on record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6ced60187aa4606275f25bd4d8ce23183ad8a9f"/>
    <w:p>
      <w:pPr>
        <w:pStyle w:val="Heading2"/>
      </w:pPr>
      <w:r>
        <w:t xml:space="preserve">4. A few data-handling notes (for the data manager)</w:t>
      </w:r>
    </w:p>
    <w:p>
      <w:pPr>
        <w:pStyle w:val="FirstParagraph"/>
      </w:pPr>
      <w:r>
        <w:t xml:space="preserve">These affect how the tables are built, separate from the decisions above: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Multiple-answer questions</w:t>
      </w:r>
      <w:r>
        <w:t xml:space="preserve"> </w:t>
      </w:r>
      <w:r>
        <w:t xml:space="preserve">(e.g. </w:t>
      </w:r>
      <w:r>
        <w:t xml:space="preserve">“where did you get the medicine — tick all”</w:t>
      </w:r>
      <w:r>
        <w:t xml:space="preserve">) have to be split into one yes/no per option before counting. Please confirm the option/code lists per question.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Expenses are entered line by line</w:t>
      </w:r>
      <w:r>
        <w:t xml:space="preserve"> </w:t>
      </w:r>
      <w:r>
        <w:t xml:space="preserve">(a mini-table per person); we add them up per person to get total out-of-pocket. We need one rule for blanks vs. zero vs. </w:t>
      </w:r>
      <w:r>
        <w:t xml:space="preserve">“don’t know.”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Group C’s</w:t>
      </w:r>
      <w:r>
        <w:rPr>
          <w:b/>
          <w:bCs/>
        </w:rPr>
        <w:t xml:space="preserve"> </w:t>
      </w:r>
      <w:r>
        <w:rPr>
          <w:b/>
          <w:bCs/>
        </w:rPr>
        <w:t xml:space="preserve">“who to count”</w:t>
      </w:r>
      <w:r>
        <w:t xml:space="preserve"> </w:t>
      </w:r>
      <w:r>
        <w:t xml:space="preserve">groups (HCPN, billed, registered) are worked out, not asked — one agreed rule, applied once.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Facility type and level</w:t>
      </w:r>
      <w:r>
        <w:t xml:space="preserve"> </w:t>
      </w:r>
      <w:r>
        <w:t xml:space="preserve">on patient/household tables come from the</w:t>
      </w:r>
      <w:r>
        <w:t xml:space="preserve"> </w:t>
      </w:r>
      <w:r>
        <w:rPr>
          <w:b/>
          <w:bCs/>
        </w:rPr>
        <w:t xml:space="preserve">facility master list</w:t>
      </w:r>
      <w:r>
        <w:t xml:space="preserve">, not from the interview — so we need a clean, complete facility list to match 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Inpatient vs. outpatient won’t always match</w:t>
      </w:r>
      <w:r>
        <w:t xml:space="preserve"> </w:t>
      </w:r>
      <w:r>
        <w:t xml:space="preserve">— some questions only apply to one (e.g. </w:t>
      </w:r>
      <w:r>
        <w:t xml:space="preserve">“rooms”</w:t>
      </w:r>
      <w:r>
        <w:t xml:space="preserve"> </w:t>
      </w:r>
      <w:r>
        <w:t xml:space="preserve">is inpatient only;</w:t>
      </w:r>
      <w:r>
        <w:t xml:space="preserve"> </w:t>
      </w:r>
      <w:r>
        <w:t xml:space="preserve">“sold assets to pay”</w:t>
      </w:r>
      <w:r>
        <w:t xml:space="preserve"> </w:t>
      </w:r>
      <w:r>
        <w:t xml:space="preserve">is outpatient only), so a/b table pairs may differ.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 few tables are printed twice</w:t>
      </w:r>
      <w:r>
        <w:t xml:space="preserve"> </w:t>
      </w:r>
      <w:r>
        <w:t xml:space="preserve">in the PSA list with identical wording (2.49 = 2.48, 3.25 = 3.24, 4.5 = 4.4). ⭐</w:t>
      </w:r>
      <w:r>
        <w:t xml:space="preserve"> </w:t>
      </w:r>
      <w:r>
        <w:rPr>
          <w:b/>
          <w:bCs/>
        </w:rPr>
        <w:t xml:space="preserve">Recommend: produce once</w:t>
      </w:r>
      <w:r>
        <w:t xml:space="preserve"> </w:t>
      </w:r>
      <w:r>
        <w:t xml:space="preserve">(drop the identical reprints).</w:t>
      </w:r>
    </w:p>
    <w:p>
      <w:r>
        <w:pict>
          <v:rect style="width:0;height:1.5pt" o:hralign="center" o:hrstd="t" o:hr="t"/>
        </w:pict>
      </w:r>
    </w:p>
    <w:bookmarkEnd w:id="16"/>
    <w:bookmarkStart w:id="21" w:name="X67f8adfdac8d8d3c4f1abbd41a151999ce26f77"/>
    <w:p>
      <w:pPr>
        <w:pStyle w:val="Heading2"/>
      </w:pPr>
      <w:r>
        <w:t xml:space="preserve">5. Sample tables (layout only — numbers are made up)</w:t>
      </w:r>
    </w:p>
    <w:p>
      <w:pPr>
        <w:pStyle w:val="FirstParagraph"/>
      </w:pPr>
      <w:r>
        <w:t xml:space="preserve">What the finished tables will look like. All are</w:t>
      </w:r>
      <w:r>
        <w:t xml:space="preserve"> </w:t>
      </w:r>
      <w:r>
        <w:rPr>
          <w:b/>
          <w:bCs/>
        </w:rPr>
        <w:t xml:space="preserve">weighted to represent the population</w:t>
      </w:r>
      <w:r>
        <w:t xml:space="preserve">.</w:t>
      </w:r>
    </w:p>
    <w:bookmarkStart w:id="17" w:name="sample-1-facility-f1-a-ready-table"/>
    <w:p>
      <w:pPr>
        <w:pStyle w:val="Heading3"/>
      </w:pPr>
      <w:r>
        <w:t xml:space="preserve">Sample 1 — Facility (F1) · a</w:t>
      </w:r>
      <w:r>
        <w:t xml:space="preserve"> </w:t>
      </w:r>
      <w:r>
        <w:t xml:space="preserve">“ready”</w:t>
      </w:r>
      <w:r>
        <w:t xml:space="preserve"> </w:t>
      </w:r>
      <w:r>
        <w:t xml:space="preserve">table</w:t>
      </w:r>
    </w:p>
    <w:p>
      <w:pPr>
        <w:pStyle w:val="FirstParagraph"/>
      </w:pPr>
      <w:r>
        <w:rPr>
          <w:b/>
          <w:bCs/>
        </w:rPr>
        <w:t xml:space="preserve">Percentage of facility heads, by facility type</w:t>
      </w:r>
      <w:r>
        <w:t xml:space="preserve"> </w:t>
      </w:r>
      <w:r>
        <w:rPr>
          <w:i/>
          <w:iCs/>
        </w:rPr>
        <w:t xml:space="preserve">(example)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Gov’t 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Private hospital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100.0</w:t>
            </w:r>
          </w:p>
        </w:tc>
      </w:tr>
    </w:tbl>
    <w:p>
      <w:pPr>
        <w:pStyle w:val="BodyText"/>
      </w:pPr>
      <w:r>
        <w:t xml:space="preserve">Facility type comes from the facility list. Made-up figures.</w:t>
      </w:r>
    </w:p>
    <w:bookmarkEnd w:id="17"/>
    <w:bookmarkStart w:id="18" w:name="Xb3abcb27ddbf7cb9e0dcf109284d97bfeed4574"/>
    <w:p>
      <w:pPr>
        <w:pStyle w:val="Heading3"/>
      </w:pPr>
      <w:r>
        <w:t xml:space="preserve">Sample 2 — Patient (F3) · a</w:t>
      </w:r>
      <w:r>
        <w:t xml:space="preserve"> </w:t>
      </w:r>
      <w:r>
        <w:t xml:space="preserve">“how to compute”</w:t>
      </w:r>
      <w:r>
        <w:t xml:space="preserve"> </w:t>
      </w:r>
      <w:r>
        <w:t xml:space="preserve">table (Group B)</w:t>
      </w:r>
    </w:p>
    <w:p>
      <w:pPr>
        <w:pStyle w:val="FirstParagraph"/>
      </w:pPr>
      <w:r>
        <w:rPr>
          <w:b/>
          <w:bCs/>
        </w:rPr>
        <w:t xml:space="preserve">Catastrophic health spending, by income group</w:t>
      </w:r>
      <w:r>
        <w:t xml:space="preserve"> </w:t>
      </w:r>
      <w:r>
        <w:rPr>
          <w:i/>
          <w:iCs/>
        </w:rPr>
        <w:t xml:space="preserve">(example)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Income 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Spent ≥25% of income · UHC-IS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≥25% · Non-UHC-IS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Spent ≥40% · UHC-IS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 · Non-UHC-IS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Poorest fifth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 fifth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Richest fifth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8.4</w:t>
            </w:r>
          </w:p>
        </w:tc>
      </w:tr>
    </w:tbl>
    <w:p>
      <w:pPr>
        <w:pStyle w:val="BodyText"/>
      </w:pPr>
      <w:r>
        <w:t xml:space="preserve">⚠ Need to agree the method: what out-of-pocket counts, and the 25% / 40% cut-offs. Made-up figures.</w:t>
      </w:r>
    </w:p>
    <w:bookmarkEnd w:id="18"/>
    <w:bookmarkStart w:id="19" w:name="X97501f598ae8d2299db4de0b725a9419feccfa3"/>
    <w:p>
      <w:pPr>
        <w:pStyle w:val="Heading3"/>
      </w:pPr>
      <w:r>
        <w:t xml:space="preserve">Sample 3 — Patient (F3) · a</w:t>
      </w:r>
      <w:r>
        <w:t xml:space="preserve"> </w:t>
      </w:r>
      <w:r>
        <w:t xml:space="preserve">“closest question”</w:t>
      </w:r>
      <w:r>
        <w:t xml:space="preserve"> </w:t>
      </w:r>
      <w:r>
        <w:t xml:space="preserve">table (Group A)</w:t>
      </w:r>
    </w:p>
    <w:p>
      <w:pPr>
        <w:pStyle w:val="FirstParagraph"/>
      </w:pPr>
      <w:r>
        <w:rPr>
          <w:b/>
          <w:bCs/>
        </w:rPr>
        <w:t xml:space="preserve">% who would go to YAKAP/Konsulta first, by province</w:t>
      </w:r>
      <w:r>
        <w:t xml:space="preserve"> </w:t>
      </w:r>
      <w:r>
        <w:rPr>
          <w:i/>
          <w:iCs/>
        </w:rPr>
        <w:t xml:space="preserve">(example)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Inpatient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Laguna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Cavite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53.1</w:t>
            </w:r>
          </w:p>
        </w:tc>
      </w:tr>
    </w:tbl>
    <w:p>
      <w:pPr>
        <w:pStyle w:val="BodyText"/>
      </w:pPr>
      <w:r>
        <w:t xml:space="preserve">⚠ We didn’t ask this directly — used</w:t>
      </w:r>
      <w:r>
        <w:t xml:space="preserve"> </w:t>
      </w:r>
      <w:r>
        <w:t xml:space="preserve">“knows to book Konsulta when sick”</w:t>
      </w:r>
      <w:r>
        <w:t xml:space="preserve"> </w:t>
      </w:r>
      <w:r>
        <w:t xml:space="preserve">+</w:t>
      </w:r>
      <w:r>
        <w:t xml:space="preserve"> </w:t>
      </w:r>
      <w:r>
        <w:t xml:space="preserve">“has a primary care provider.”</w:t>
      </w:r>
      <w:r>
        <w:t xml:space="preserve"> </w:t>
      </w:r>
      <w:r>
        <w:t xml:space="preserve">Made-up figures.</w:t>
      </w:r>
    </w:p>
    <w:bookmarkEnd w:id="19"/>
    <w:bookmarkStart w:id="20" w:name="X5c6759ec08261b4162813981c8a441d85dc8eea"/>
    <w:p>
      <w:pPr>
        <w:pStyle w:val="Heading3"/>
      </w:pPr>
      <w:r>
        <w:t xml:space="preserve">Sample 4 — Health worker (F2) · a</w:t>
      </w:r>
      <w:r>
        <w:t xml:space="preserve"> </w:t>
      </w:r>
      <w:r>
        <w:t xml:space="preserve">“how to compute”</w:t>
      </w:r>
      <w:r>
        <w:t xml:space="preserve"> </w:t>
      </w:r>
      <w:r>
        <w:t xml:space="preserve">table (Group B)</w:t>
      </w:r>
    </w:p>
    <w:p>
      <w:pPr>
        <w:pStyle w:val="FirstParagraph"/>
      </w:pPr>
      <w:r>
        <w:rPr>
          <w:b/>
          <w:bCs/>
        </w:rPr>
        <w:t xml:space="preserve">Average number of health workers per facility, by facility level</w:t>
      </w:r>
      <w:r>
        <w:t xml:space="preserve"> </w:t>
      </w:r>
      <w:r>
        <w:rPr>
          <w:i/>
          <w:iCs/>
        </w:rPr>
        <w:t xml:space="preserve">(example)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Facility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Nurses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Midwives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Allied health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Provincial 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hospital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62.0</w:t>
            </w:r>
          </w:p>
        </w:tc>
      </w:tr>
    </w:tbl>
    <w:p>
      <w:pPr>
        <w:pStyle w:val="BodyText"/>
      </w:pPr>
      <w:r>
        <w:t xml:space="preserve">⚠ Counted from how many workers we interviewed per facility (F2 covers all workers in the chosen facilities). Need to confirm this counting rule. Made-up figures.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i-need-from-the-meeting"/>
    <w:p>
      <w:pPr>
        <w:pStyle w:val="Heading2"/>
      </w:pPr>
      <w:r>
        <w:t xml:space="preserve">6. What I need from the meeting</w:t>
      </w:r>
    </w:p>
    <w:p>
      <w:pPr>
        <w:pStyle w:val="FirstParagraph"/>
      </w:pPr>
      <w:r>
        <w:rPr>
          <w:b/>
          <w:bCs/>
        </w:rPr>
        <w:t xml:space="preserve">Decisions (DOH / ASPSI):</w:t>
      </w:r>
      <w:r>
        <w:t xml:space="preserve"> </w:t>
      </w:r>
      <w:r>
        <w:t xml:space="preserve">1. The</w:t>
      </w:r>
      <w:r>
        <w:t xml:space="preserve"> </w:t>
      </w:r>
      <w:r>
        <w:rPr>
          <w:b/>
          <w:bCs/>
        </w:rPr>
        <w:t xml:space="preserve">3 can’t-build tables</w:t>
      </w:r>
      <w:r>
        <w:t xml:space="preserve"> </w:t>
      </w:r>
      <w:r>
        <w:t xml:space="preserve">(1.6, 2.51, 4.2) — stand-in, drop, or get outside data?</w:t>
      </w:r>
      <w:r>
        <w:t xml:space="preserve"> </w:t>
      </w:r>
      <w:r>
        <w:t xml:space="preserve">2. The</w:t>
      </w:r>
      <w:r>
        <w:t xml:space="preserve"> </w:t>
      </w:r>
      <w:r>
        <w:rPr>
          <w:b/>
          <w:bCs/>
        </w:rPr>
        <w:t xml:space="preserve">~17</w:t>
      </w:r>
      <w:r>
        <w:rPr>
          <w:b/>
          <w:bCs/>
        </w:rPr>
        <w:t xml:space="preserve"> </w:t>
      </w:r>
      <w:r>
        <w:rPr>
          <w:b/>
          <w:bCs/>
        </w:rPr>
        <w:t xml:space="preserve">“closest question”</w:t>
      </w:r>
      <w:r>
        <w:rPr>
          <w:b/>
          <w:bCs/>
        </w:rP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— is each stand-in OK (I’ll rename to match), or drop?</w:t>
      </w:r>
      <w:r>
        <w:t xml:space="preserve"> </w:t>
      </w:r>
      <w:r>
        <w:t xml:space="preserve">3. The</w:t>
      </w:r>
      <w:r>
        <w:t xml:space="preserve"> </w:t>
      </w:r>
      <w:r>
        <w:rPr>
          <w:b/>
          <w:bCs/>
        </w:rPr>
        <w:t xml:space="preserve">~25</w:t>
      </w:r>
      <w:r>
        <w:rPr>
          <w:b/>
          <w:bCs/>
        </w:rPr>
        <w:t xml:space="preserve"> </w:t>
      </w:r>
      <w:r>
        <w:rPr>
          <w:b/>
          <w:bCs/>
        </w:rPr>
        <w:t xml:space="preserve">“how to compute”</w:t>
      </w:r>
      <w:r>
        <w:rPr>
          <w:b/>
          <w:bCs/>
        </w:rP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— confirm the methods (free-medicine codes, catastrophic-spending cut-offs, the experience-score questions, the worker-to-facility count).</w:t>
      </w:r>
      <w:r>
        <w:t xml:space="preserve"> </w:t>
      </w:r>
      <w:r>
        <w:t xml:space="preserve">4. The</w:t>
      </w:r>
      <w:r>
        <w:t xml:space="preserve"> </w:t>
      </w:r>
      <w:r>
        <w:rPr>
          <w:b/>
          <w:bCs/>
        </w:rPr>
        <w:t xml:space="preserve">~5</w:t>
      </w:r>
      <w:r>
        <w:rPr>
          <w:b/>
          <w:bCs/>
        </w:rPr>
        <w:t xml:space="preserve"> </w:t>
      </w:r>
      <w:r>
        <w:rPr>
          <w:b/>
          <w:bCs/>
        </w:rPr>
        <w:t xml:space="preserve">“who to count”</w:t>
      </w:r>
      <w:r>
        <w:rPr>
          <w:b/>
          <w:bCs/>
        </w:rPr>
        <w:t xml:space="preserve"> </w:t>
      </w:r>
      <w:r>
        <w:rPr>
          <w:b/>
          <w:bCs/>
        </w:rPr>
        <w:t xml:space="preserve">tables</w:t>
      </w:r>
      <w:r>
        <w:t xml:space="preserve"> </w:t>
      </w:r>
      <w:r>
        <w:t xml:space="preserve">— agree the definition of HCPN / billed / registered.</w:t>
      </w:r>
      <w:r>
        <w:t xml:space="preserve"> </w:t>
      </w:r>
      <w:r>
        <w:t xml:space="preserve">5. The</w:t>
      </w:r>
      <w:r>
        <w:t xml:space="preserve"> </w:t>
      </w:r>
      <w:r>
        <w:rPr>
          <w:b/>
          <w:bCs/>
        </w:rPr>
        <w:t xml:space="preserve">duplicated tables</w:t>
      </w:r>
      <w:r>
        <w:t xml:space="preserve"> </w:t>
      </w:r>
      <w:r>
        <w:t xml:space="preserve">(2.49, 3.25, 4.5) — one or both?</w:t>
      </w:r>
    </w:p>
    <w:p>
      <w:pPr>
        <w:pStyle w:val="BodyText"/>
      </w:pPr>
      <w:r>
        <w:rPr>
          <w:b/>
          <w:bCs/>
        </w:rPr>
        <w:t xml:space="preserve">Data to give me:</w:t>
      </w:r>
      <w:r>
        <w:t xml:space="preserve"> </w:t>
      </w:r>
      <w:r>
        <w:t xml:space="preserve">6. The</w:t>
      </w:r>
      <w:r>
        <w:t xml:space="preserve"> </w:t>
      </w:r>
      <w:r>
        <w:rPr>
          <w:b/>
          <w:bCs/>
        </w:rPr>
        <w:t xml:space="preserve">facility master list</w:t>
      </w:r>
      <w:r>
        <w:t xml:space="preserve"> </w:t>
      </w:r>
      <w:r>
        <w:t xml:space="preserve">(clean IDs, type, level) — used for every</w:t>
      </w:r>
      <w:r>
        <w:t xml:space="preserve"> </w:t>
      </w:r>
      <w:r>
        <w:t xml:space="preserve">“by facility type/level”</w:t>
      </w:r>
      <w:r>
        <w:t xml:space="preserve"> </w:t>
      </w:r>
      <w:r>
        <w:t xml:space="preserve">table.</w:t>
      </w:r>
      <w:r>
        <w:t xml:space="preserve"> </w:t>
      </w:r>
      <w:r>
        <w:t xml:space="preserve">7. The</w:t>
      </w:r>
      <w:r>
        <w:t xml:space="preserve"> </w:t>
      </w:r>
      <w:r>
        <w:rPr>
          <w:b/>
          <w:bCs/>
        </w:rPr>
        <w:t xml:space="preserve">option/code lists</w:t>
      </w:r>
      <w:r>
        <w:t xml:space="preserve"> </w:t>
      </w:r>
      <w:r>
        <w:t xml:space="preserve">for the tick-all questions.</w:t>
      </w:r>
      <w:r>
        <w:t xml:space="preserve"> </w:t>
      </w:r>
      <w:r>
        <w:t xml:space="preserve">8. For</w:t>
      </w:r>
      <w:r>
        <w:t xml:space="preserve"> </w:t>
      </w:r>
      <w:r>
        <w:rPr>
          <w:b/>
          <w:bCs/>
        </w:rPr>
        <w:t xml:space="preserve">4.2</w:t>
      </w:r>
      <w:r>
        <w:t xml:space="preserve"> </w:t>
      </w:r>
      <w:r>
        <w:t xml:space="preserve">(if we keep it): DOH HR / plantilla figures.</w:t>
      </w:r>
      <w:r>
        <w:t xml:space="preserve"> </w:t>
      </w:r>
      <w:r>
        <w:t xml:space="preserve">9. Confirmation of the</w:t>
      </w:r>
      <w:r>
        <w:t xml:space="preserve"> </w:t>
      </w:r>
      <w:r>
        <w:rPr>
          <w:b/>
          <w:bCs/>
        </w:rPr>
        <w:t xml:space="preserve">weights</w:t>
      </w:r>
      <w:r>
        <w:t xml:space="preserve"> </w:t>
      </w:r>
      <w:r>
        <w:t xml:space="preserve">(how each interview is scaled to the population).</w:t>
      </w:r>
    </w:p>
    <w:p>
      <w:pPr>
        <w:pStyle w:val="BodyText"/>
      </w:pPr>
      <w:r>
        <w:rPr>
          <w:b/>
          <w:bCs/>
        </w:rPr>
        <w:t xml:space="preserve">For the data manager to note:</w:t>
      </w:r>
      <w:r>
        <w:t xml:space="preserve"> </w:t>
      </w:r>
      <w:r>
        <w:t xml:space="preserve">10. Rule for adding up expenses (blank vs. zero vs. </w:t>
      </w:r>
      <w:r>
        <w:t xml:space="preserve">“don’t know”</w:t>
      </w:r>
      <w:r>
        <w:t xml:space="preserve">).</w:t>
      </w:r>
      <w:r>
        <w:t xml:space="preserve"> </w:t>
      </w:r>
      <w:r>
        <w:t xml:space="preserve">11. Keep the</w:t>
      </w:r>
      <w:r>
        <w:t xml:space="preserve"> </w:t>
      </w:r>
      <w:r>
        <w:t xml:space="preserve">“don’t know / refused”</w:t>
      </w:r>
      <w:r>
        <w:t xml:space="preserve"> </w:t>
      </w:r>
      <w:r>
        <w:t xml:space="preserve">codes consistent across forms.</w:t>
      </w:r>
      <w:r>
        <w:t xml:space="preserve"> </w:t>
      </w:r>
      <w:r>
        <w:t xml:space="preserve">12. Data file must open in</w:t>
      </w:r>
      <w:r>
        <w:t xml:space="preserve"> </w:t>
      </w:r>
      <w:r>
        <w:rPr>
          <w:b/>
          <w:bCs/>
        </w:rPr>
        <w:t xml:space="preserve">Stata 12</w:t>
      </w:r>
      <w:r>
        <w:t xml:space="preserve"> </w:t>
      </w:r>
      <w:r>
        <w:t xml:space="preserve">(already set on my side).</w:t>
      </w:r>
    </w:p>
    <w:p>
      <w:r>
        <w:pict>
          <v:rect style="width:0;height:1.5pt" o:hralign="center" o:hrstd="t" o:hr="t"/>
        </w:pict>
      </w:r>
    </w:p>
    <w:bookmarkEnd w:id="22"/>
    <w:bookmarkStart w:id="23" w:name="X08560b627b02810135a56f3093626569526cef6"/>
    <w:p>
      <w:pPr>
        <w:pStyle w:val="Heading2"/>
      </w:pPr>
      <w:r>
        <w:t xml:space="preserve">Appendix — all 47 tables that need a decision</w:t>
      </w:r>
    </w:p>
    <w:p>
      <w:pPr>
        <w:pStyle w:val="FirstParagraph"/>
      </w:pPr>
      <w:r>
        <w:rPr>
          <w:i/>
          <w:iCs/>
        </w:rPr>
        <w:t xml:space="preserve">Needs: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[Q]</w:t>
      </w:r>
      <w:r>
        <w:rPr>
          <w:i/>
          <w:iCs/>
        </w:rPr>
        <w:t xml:space="preserve"> </w:t>
      </w:r>
      <w:r>
        <w:rPr>
          <w:i/>
          <w:iCs/>
        </w:rPr>
        <w:t xml:space="preserve">confirm the closest question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[M]</w:t>
      </w:r>
      <w:r>
        <w:rPr>
          <w:i/>
          <w:iCs/>
        </w:rPr>
        <w:t xml:space="preserve"> </w:t>
      </w:r>
      <w:r>
        <w:rPr>
          <w:i/>
          <w:iCs/>
        </w:rPr>
        <w:t xml:space="preserve">agree how to compute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[W]</w:t>
      </w:r>
      <w:r>
        <w:rPr>
          <w:i/>
          <w:iCs/>
        </w:rPr>
        <w:t xml:space="preserve"> </w:t>
      </w:r>
      <w:r>
        <w:rPr>
          <w:i/>
          <w:iCs/>
        </w:rPr>
        <w:t xml:space="preserve">agree who to count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[L]</w:t>
      </w:r>
      <w:r>
        <w:rPr>
          <w:i/>
          <w:iCs/>
        </w:rPr>
        <w:t xml:space="preserve"> </w:t>
      </w:r>
      <w:r>
        <w:rPr>
          <w:i/>
          <w:iCs/>
        </w:rPr>
        <w:t xml:space="preserve">from the facility list</w:t>
      </w:r>
    </w:p>
    <w:p>
      <w:pPr>
        <w:pStyle w:val="BodyText"/>
      </w:pPr>
      <w:r>
        <w:rPr>
          <w:i/>
          <w:iCs/>
        </w:rPr>
        <w:t xml:space="preserve">⭐ My recommendation follows the tag: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Q</w:t>
      </w:r>
      <w:r>
        <w:rPr>
          <w:i/>
          <w:iCs/>
        </w:rPr>
        <w:t xml:space="preserve"> </w:t>
      </w:r>
      <w:r>
        <w:rPr>
          <w:i/>
          <w:iCs/>
        </w:rPr>
        <w:t xml:space="preserve">→ accept the stand-in + relabel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</w:t>
      </w:r>
      <w:r>
        <w:rPr>
          <w:i/>
          <w:iCs/>
        </w:rPr>
        <w:t xml:space="preserve"> </w:t>
      </w:r>
      <w:r>
        <w:rPr>
          <w:i/>
          <w:iCs/>
        </w:rPr>
        <w:t xml:space="preserve">→ adopt the standard method (§3B)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W</w:t>
      </w:r>
      <w:r>
        <w:rPr>
          <w:i/>
          <w:iCs/>
        </w:rPr>
        <w:t xml:space="preserve"> </w:t>
      </w:r>
      <w:r>
        <w:rPr>
          <w:i/>
          <w:iCs/>
        </w:rPr>
        <w:t xml:space="preserve">→ use the agreed definition (§3C)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</w:t>
      </w:r>
      <w:r>
        <w:rPr>
          <w:i/>
          <w:iCs/>
        </w:rPr>
        <w:t xml:space="preserve"> </w:t>
      </w:r>
      <w:r>
        <w:rPr>
          <w:i/>
          <w:iCs/>
        </w:rPr>
        <w:t xml:space="preserve">→ build once the facility list is supplied. Per-row recommendations are in the Excel tracker.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What it needs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“heard of the process”</w:t>
            </w:r>
            <w:r>
              <w:t xml:space="preserve"> </w:t>
            </w:r>
            <w:r>
              <w:t xml:space="preserve">question; used</w:t>
            </w:r>
            <w:r>
              <w:t xml:space="preserve"> </w:t>
            </w:r>
            <w:r>
              <w:t xml:space="preserve">“knows how to start”</w:t>
            </w:r>
            <w:r>
              <w:t xml:space="preserve"> </w:t>
            </w:r>
            <w:r>
              <w:t xml:space="preserve">(non-accredited only)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  <w:r>
              <w:t xml:space="preserve"> </w:t>
            </w:r>
            <w:r>
              <w:t xml:space="preserve">“where patients go”</w:t>
            </w:r>
            <w:r>
              <w:t xml:space="preserve"> </w:t>
            </w:r>
            <w:r>
              <w:t xml:space="preserve">for services not offered; no 6-month window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Used</w:t>
            </w:r>
            <w:r>
              <w:t xml:space="preserve"> </w:t>
            </w:r>
            <w:r>
              <w:t xml:space="preserve">“why not satisfied”</w:t>
            </w:r>
            <w:r>
              <w:t xml:space="preserve"> </w:t>
            </w:r>
            <w:r>
              <w:t xml:space="preserve">— only unhappy people were asked (skewed base)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1.22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F1 only counts referrals sent out; the success outcome is on the patient form</w:t>
            </w:r>
          </w:p>
        </w:tc>
        <w:tc>
          <w:tcPr/>
          <w:p>
            <w:pPr>
              <w:pStyle w:val="Compact"/>
            </w:pPr>
            <w:r>
              <w:t xml:space="preserve">Q·W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No direct</w:t>
            </w:r>
            <w:r>
              <w:t xml:space="preserve"> </w:t>
            </w:r>
            <w:r>
              <w:t xml:space="preserve">“first place you’d go”</w:t>
            </w:r>
            <w:r>
              <w:t xml:space="preserve">; used</w:t>
            </w:r>
            <w:r>
              <w:t xml:space="preserve"> </w:t>
            </w:r>
            <w:r>
              <w:t xml:space="preserve">“knows to book Konsulta”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“has a provider”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No direct</w:t>
            </w:r>
            <w:r>
              <w:t xml:space="preserve"> </w:t>
            </w:r>
            <w:r>
              <w:t xml:space="preserve">“first place you’d go”</w:t>
            </w:r>
            <w:r>
              <w:t xml:space="preserve">; used</w:t>
            </w:r>
            <w:r>
              <w:t xml:space="preserve"> </w:t>
            </w:r>
            <w:r>
              <w:t xml:space="preserve">“knows to book Konsulta”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“has a provider”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No marker for</w:t>
            </w:r>
            <w:r>
              <w:t xml:space="preserve"> </w:t>
            </w:r>
            <w:r>
              <w:t xml:space="preserve">“in the HCPN network”</w:t>
            </w:r>
            <w:r>
              <w:t xml:space="preserve"> </w:t>
            </w:r>
            <w:r>
              <w:t xml:space="preserve">— must define it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People said they know a generic drug; not tested for correctness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2.22a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“Free/subsidized medicine”</w:t>
            </w:r>
            <w:r>
              <w:t xml:space="preserve"> </w:t>
            </w:r>
            <w:r>
              <w:t xml:space="preserve">pieced together from payment-source answers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2.22b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“Free/subsidized medicine”</w:t>
            </w:r>
            <w:r>
              <w:t xml:space="preserve"> </w:t>
            </w:r>
            <w:r>
              <w:t xml:space="preserve">pieced together from payment-source answers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2.23a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Subsidy source from</w:t>
            </w:r>
            <w:r>
              <w:t xml:space="preserve"> </w:t>
            </w:r>
            <w:r>
              <w:t xml:space="preserve">“got it free”</w:t>
            </w:r>
            <w:r>
              <w:t xml:space="preserve"> </w:t>
            </w:r>
            <w:r>
              <w:t xml:space="preserve">codes; no LGU/employer option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2.23b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Subsidy source from</w:t>
            </w:r>
            <w:r>
              <w:t xml:space="preserve"> </w:t>
            </w:r>
            <w:r>
              <w:t xml:space="preserve">“got it free”</w:t>
            </w:r>
            <w:r>
              <w:t xml:space="preserve"> </w:t>
            </w:r>
            <w:r>
              <w:t xml:space="preserve">codes; no LGU/employer option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2.24a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Financial assistance pieced from assistance codes + MAIFIP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2.24b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Financial assistance pieced from assistance codes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2.25a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Same as 2.24a;</w:t>
            </w:r>
            <w:r>
              <w:t xml:space="preserve"> </w:t>
            </w:r>
            <w:r>
              <w:t xml:space="preserve">“was billed”</w:t>
            </w:r>
            <w:r>
              <w:t xml:space="preserve"> </w:t>
            </w:r>
            <w:r>
              <w:t xml:space="preserve">group has to be worked out</w:t>
            </w:r>
          </w:p>
        </w:tc>
        <w:tc>
          <w:tcPr/>
          <w:p>
            <w:pPr>
              <w:pStyle w:val="Compact"/>
            </w:pPr>
            <w:r>
              <w:t xml:space="preserve">M·W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2.25b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Same as 2.24b;</w:t>
            </w:r>
            <w:r>
              <w:t xml:space="preserve"> </w:t>
            </w:r>
            <w:r>
              <w:t xml:space="preserve">“was billed”</w:t>
            </w:r>
            <w:r>
              <w:t xml:space="preserve"> </w:t>
            </w:r>
            <w:r>
              <w:t xml:space="preserve">group has to be worked out</w:t>
            </w:r>
          </w:p>
        </w:tc>
        <w:tc>
          <w:tcPr/>
          <w:p>
            <w:pPr>
              <w:pStyle w:val="Compact"/>
            </w:pPr>
            <w:r>
              <w:t xml:space="preserve">M·W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No Balance Billing — eligibility and receipt both worked out</w:t>
            </w:r>
          </w:p>
        </w:tc>
        <w:tc>
          <w:tcPr/>
          <w:p>
            <w:pPr>
              <w:pStyle w:val="Compact"/>
            </w:pPr>
            <w:r>
              <w:t xml:space="preserve">M·W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2.27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Zero Balance Billing — no direct</w:t>
            </w:r>
            <w:r>
              <w:t xml:space="preserve"> </w:t>
            </w:r>
            <w:r>
              <w:t xml:space="preserve">“received it”</w:t>
            </w:r>
            <w:r>
              <w:t xml:space="preserve">; inferred</w:t>
            </w:r>
          </w:p>
        </w:tc>
        <w:tc>
          <w:tcPr/>
          <w:p>
            <w:pPr>
              <w:pStyle w:val="Compact"/>
            </w:pPr>
            <w:r>
              <w:t xml:space="preserve">M·W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2.29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Catastrophic spending — need the out-of-pocket rule + 25%/40% cut-offs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2.31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“Sold assets to pay”</w:t>
            </w:r>
            <w:r>
              <w:t xml:space="preserve"> </w:t>
            </w:r>
            <w:r>
              <w:t xml:space="preserve">is outpatient only (not asked of inpatients)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2.32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No direct</w:t>
            </w:r>
            <w:r>
              <w:t xml:space="preserve"> </w:t>
            </w:r>
            <w:r>
              <w:t xml:space="preserve">“cut back on care”</w:t>
            </w:r>
            <w:r>
              <w:t xml:space="preserve">; used</w:t>
            </w:r>
            <w:r>
              <w:t xml:space="preserve"> </w:t>
            </w:r>
            <w:r>
              <w:t xml:space="preserve">“reduced essential spending”</w:t>
            </w:r>
            <w:r>
              <w:t xml:space="preserve"> </w:t>
            </w:r>
            <w:r>
              <w:t xml:space="preserve">+ cost reasons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2.33a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Add up inpatient expenses; facility type from the facility list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2.33b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Add up outpatient expenses; facility type from the facility list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2.35a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Used visit-transport cost as stand-in; level of care from the facility list</w:t>
            </w:r>
          </w:p>
        </w:tc>
        <w:tc>
          <w:tcPr/>
          <w:p>
            <w:pPr>
              <w:pStyle w:val="Compact"/>
            </w:pPr>
            <w:r>
              <w:t xml:space="preserve">Q·L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2.35b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Used travel-cost rows as stand-in; level of care from the facility list</w:t>
            </w:r>
          </w:p>
        </w:tc>
        <w:tc>
          <w:tcPr/>
          <w:p>
            <w:pPr>
              <w:pStyle w:val="Compact"/>
            </w:pPr>
            <w:r>
              <w:t xml:space="preserve">Q·L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2.47a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Responsiveness score from Section J (</w:t>
            </w:r>
            <w:r>
              <w:t xml:space="preserve">“rooms”</w:t>
            </w:r>
            <w:r>
              <w:t xml:space="preserve"> </w:t>
            </w:r>
            <w:r>
              <w:t xml:space="preserve">is inpatient only)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2.47b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Responsiveness score from Section J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2.48a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Dignity / autonomy / confidentiality score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2.48b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Dignity / autonomy / confidentiality score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2.49a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Printed the same as 2.48a — keep both or just one?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2.49b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Printed the same as 2.48b — keep both or just one?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2.50a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Overall experience score; broken down by status, sex, residence, facility level</w:t>
            </w:r>
          </w:p>
        </w:tc>
        <w:tc>
          <w:tcPr/>
          <w:p>
            <w:pPr>
              <w:pStyle w:val="Compact"/>
            </w:pPr>
            <w:r>
              <w:t xml:space="preserve">M·L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2.50b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Overall experience score; broken down by status, sex, residence, facility level</w:t>
            </w:r>
          </w:p>
        </w:tc>
        <w:tc>
          <w:tcPr/>
          <w:p>
            <w:pPr>
              <w:pStyle w:val="Compact"/>
            </w:pPr>
            <w:r>
              <w:t xml:space="preserve">M·L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Consultation out-of-pocket from OPD rows + inpatient doctor’s fee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t xml:space="preserve">“went through registration (even if unsuccessful)”</w:t>
            </w:r>
            <w:r>
              <w:t xml:space="preserve"> </w:t>
            </w:r>
            <w:r>
              <w:t xml:space="preserve">marker; approximated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No HCPN marker; used referral-from-primary-care; YAKAP not separated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Said they know a generic drug; not tested for correctness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3.19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Free/subsidized medicine from</w:t>
            </w:r>
            <w:r>
              <w:t xml:space="preserve"> </w:t>
            </w:r>
            <w:r>
              <w:t xml:space="preserve">“got GAMOT”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“got it free”</w:t>
            </w:r>
            <w:r>
              <w:t xml:space="preserve"> </w:t>
            </w:r>
            <w:r>
              <w:t xml:space="preserve">codes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3.20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Subsidy source; no employer/dedicated-source option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3.21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Financial assistance from</w:t>
            </w:r>
            <w:r>
              <w:t xml:space="preserve"> </w:t>
            </w:r>
            <w:r>
              <w:t xml:space="preserve">“how paid”</w:t>
            </w:r>
            <w:r>
              <w:t xml:space="preserve"> </w:t>
            </w:r>
            <w:r>
              <w:t xml:space="preserve">codes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3.22</w:t>
            </w:r>
          </w:p>
        </w:tc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Same as 3.21;</w:t>
            </w:r>
            <w:r>
              <w:t xml:space="preserve"> </w:t>
            </w:r>
            <w:r>
              <w:t xml:space="preserve">“was billed”</w:t>
            </w:r>
            <w:r>
              <w:t xml:space="preserve"> </w:t>
            </w:r>
            <w:r>
              <w:t xml:space="preserve">group worked out from the bill amount</w:t>
            </w:r>
          </w:p>
        </w:tc>
        <w:tc>
          <w:tcPr/>
          <w:p>
            <w:pPr>
              <w:pStyle w:val="Compact"/>
            </w:pPr>
            <w:r>
              <w:t xml:space="preserve">M·W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Staff count = how many workers we interviewed per facility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Facility-level % rolled up from worker answers — need the rule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Job satisfaction combined from the agreement-grid questions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Top satisfaction factors from the two grids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4.17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Asked if they plan to leave — but not specifically</w:t>
            </w:r>
            <w:r>
              <w:t xml:space="preserve"> </w:t>
            </w:r>
            <w:r>
              <w:t xml:space="preserve">“within a year”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4.18</w:t>
            </w:r>
          </w:p>
        </w:tc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Reasons for leaving;</w:t>
            </w:r>
            <w:r>
              <w:t xml:space="preserve"> </w:t>
            </w:r>
            <w:r>
              <w:t xml:space="preserve">“within a year”</w:t>
            </w:r>
            <w:r>
              <w:t xml:space="preserve"> </w:t>
            </w:r>
            <w:r>
              <w:t xml:space="preserve">not captured</w:t>
            </w:r>
          </w:p>
        </w:tc>
        <w:tc>
          <w:tcPr/>
          <w:p>
            <w:pPr>
              <w:pStyle w:val="Compact"/>
            </w:pPr>
            <w:r>
              <w:t xml:space="preserve">Q·W</w:t>
            </w:r>
          </w:p>
        </w:tc>
      </w:tr>
    </w:tbl>
    <w:p>
      <w:pPr>
        <w:pStyle w:val="BodyText"/>
      </w:pPr>
      <w:r>
        <w:rPr>
          <w:i/>
          <w:iCs/>
        </w:rPr>
        <w:t xml:space="preserve">Prepared 2026-07-06 from the tabulation plan (</w:t>
      </w:r>
      <w:r>
        <w:rPr>
          <w:rStyle w:val="VerbatimChar"/>
          <w:i/>
          <w:iCs/>
        </w:rPr>
        <w:t xml:space="preserve">deliverables/tabulation-plan/</w:t>
      </w:r>
      <w:r>
        <w:rPr>
          <w:i/>
          <w:iCs/>
        </w:rPr>
        <w:t xml:space="preserve">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2026-07-06T06:19:39Z</dcterms:created>
  <dcterms:modified xsi:type="dcterms:W3CDTF">2026-07-06T06:19:39Z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