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080" w:right="1080" w:bottom="1080" w:left="1080" w:header="720" w:footer="720" w:gutter="0"/>
    </w:sectPr>
    <w:p>
      <w:pPr>
        <w:spacing w:before="0" w:after="0"/>
        <w:shd w:val="clear" w:color="auto" w:fill="F27A7D"/>
        <w:jc w:val="center"/>
      </w:pPr>
      <w:r>
        <w:rPr>
          <w:rFonts w:ascii="Gotham" w:hAnsi="Gotham" w:cs="Gotham"/>
          <w:sz w:val="22"/>
          <w:szCs w:val="22"/>
          <w:color w:val="FFFFFF"/>
          <w:b/>
        </w:rPr>
        <w:t xml:space="preserve">INTERCEPTLY</w:t>
      </w:r>
    </w:p>
    <w:p>
      <w:pPr>
        <w:spacing w:before="160" w:after="40"/>
        <w:jc w:val="center"/>
      </w:pPr>
      <w:r>
        <w:rPr>
          <w:rFonts w:ascii="Gotham" w:hAnsi="Gotham" w:cs="Gotham"/>
          <w:sz w:val="40"/>
          <w:szCs w:val="40"/>
          <w:color w:val="1F2937"/>
          <w:b/>
        </w:rPr>
        <w:t xml:space="preserve">Customer Success Call Scorecard</w:t>
      </w:r>
    </w:p>
    <w:p>
      <w:pPr>
        <w:spacing w:before="0" w:after="200"/>
        <w:jc w:val="center"/>
        <w:pBdr>
          <w:bottom w:val="single" w:sz="4" w:color="F27A7D"/>
        </w:pBdr>
      </w:pPr>
      <w:r>
        <w:rPr>
          <w:rFonts w:ascii="Inter" w:hAnsi="Inter" w:cs="Inter"/>
          <w:sz w:val="26"/>
          <w:szCs w:val="26"/>
          <w:color w:val="4B5563"/>
        </w:rPr>
        <w:t xml:space="preserve">Drummond Group LLC  x  Alison | Interceptly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560"/>
        <w:gridCol w:w="3120"/>
        <w:gridCol w:w="1560"/>
        <w:gridCol w:w="3120"/>
      </w:tblGrid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DATE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16 March 2026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CSM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Alison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DURATION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28 minutes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CUSTOMER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Drummond Group LLC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CALL TYPE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Account Transition — User Handover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CONTACTS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Michael Henry, Lucy Railton, Peyton Kirkley, Carl LB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PACKAGE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Lead Intercept + Campaign Management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SEGMENT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SMB — Active / Multi-Campaign</w:t>
            </w:r>
          </w:p>
        </w:tc>
      </w:tr>
    </w:tbl>
    <w:p>
      <w:pPr>
        <w:spacing w:before="0" w:after="24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4B5563"/>
          <w:b/>
        </w:rPr>
        <w:t xml:space="preserve">Attendees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000"/>
        <w:gridCol w:w="2160"/>
        <w:gridCol w:w="4200"/>
      </w:tblGrid>
      <w:tr>
        <w:trPr/>
        <w:tc>
          <w:tcPr>
            <w:tcW w:w="30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NAME</w:t>
            </w:r>
          </w:p>
        </w:tc>
        <w:tc>
          <w:tcPr>
            <w:tcW w:w="21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ORG</w:t>
            </w:r>
          </w:p>
        </w:tc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ROLE / CONTEXT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Michael Henry</w:t>
            </w:r>
          </w:p>
        </w:tc>
        <w:tc>
          <w:tcPr>
            <w:tcW w:w="2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Drummond Group LLC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Primary decision-maker. Owns outreach strategy. Previously managed Sunitha.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Lucy Railton</w:t>
            </w:r>
          </w:p>
        </w:tc>
        <w:tc>
          <w:tcPr>
            <w:tcW w:w="2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Drummond Group LLC</w:t>
            </w:r>
          </w:p>
        </w:tc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Senior stakeholder. Active in strategic decisions (campaign sequencing, ICP).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Peyton Kirkley</w:t>
            </w:r>
          </w:p>
        </w:tc>
        <w:tc>
          <w:tcPr>
            <w:tcW w:w="2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Drummond Group LLC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New outreach rep replacing Sunitha. Experienced with voicemail drops. First contact with Interceptly platform.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Carl LB</w:t>
            </w:r>
          </w:p>
        </w:tc>
        <w:tc>
          <w:tcPr>
            <w:tcW w:w="2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Drummond Group LLC</w:t>
            </w:r>
          </w:p>
        </w:tc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Internal ops/campaign owner. Holds the PCI campaign brief. Liaising with Alison on campaign launch.</w:t>
            </w:r>
          </w:p>
        </w:tc>
      </w:tr>
    </w:tbl>
    <w:p>
      <w:pPr>
        <w:spacing w:before="0" w:after="240"/>
      </w:pPr>
    </w:p>
    <w:p>
      <w:pPr>
        <w:spacing w:before="80" w:after="80"/>
        <w:shd w:val="clear" w:color="auto" w:fill="F27A7D"/>
        <w:jc w:val="center"/>
      </w:pPr>
      <w:r>
        <w:rPr>
          <w:rFonts w:ascii="Gotham" w:hAnsi="Gotham" w:cs="Gotham"/>
          <w:sz w:val="26"/>
          <w:szCs w:val="26"/>
          <w:color w:val="FFFFFF"/>
          <w:b/>
        </w:rPr>
        <w:t xml:space="preserve">Overall CS Call Health Score</w:t>
      </w:r>
      <w:r>
        <w:rPr>
          <w:rFonts w:ascii="Inter" w:hAnsi="Inter" w:cs="Inter"/>
          <w:sz w:val="22"/>
          <w:szCs w:val="22"/>
          <w:color w:val="FFFFFF"/>
        </w:rPr>
        <w:t xml:space="preserve">      </w:t>
      </w:r>
      <w:r>
        <w:rPr>
          <w:rFonts w:ascii="Gotham" w:hAnsi="Gotham" w:cs="Gotham"/>
          <w:sz w:val="40"/>
          <w:szCs w:val="40"/>
          <w:color w:val="FFFFFF"/>
          <w:b/>
        </w:rPr>
        <w:t xml:space="preserve">72 / 100</w:t>
      </w:r>
      <w:r>
        <w:rPr>
          <w:rFonts w:ascii="Inter" w:hAnsi="Inter" w:cs="Inter"/>
          <w:sz w:val="22"/>
          <w:szCs w:val="22"/>
          <w:color w:val="FFFFFF"/>
        </w:rPr>
        <w:t xml:space="preserve">    </w:t>
      </w:r>
      <w:r>
        <w:rPr>
          <w:rFonts w:ascii="Gotham" w:hAnsi="Gotham" w:cs="Gotham"/>
          <w:sz w:val="24"/>
          <w:szCs w:val="24"/>
          <w:color w:val="FFFFFF"/>
          <w:b/>
        </w:rPr>
        <w:t xml:space="preserve">🟡  YELLOW — Needs Attention</w:t>
      </w:r>
    </w:p>
    <w:p>
      <w:pPr>
        <w:spacing w:before="0" w:after="28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4B5563"/>
          <w:b/>
        </w:rPr>
        <w:t xml:space="preserve">Call Context</w:t>
      </w:r>
    </w:p>
    <w:p>
      <w:pPr>
        <w:spacing w:before="0" w:after="120"/>
      </w:pPr>
      <w:r>
        <w:rPr>
          <w:rFonts w:ascii="Inter" w:hAnsi="Inter" w:cs="Inter"/>
          <w:sz w:val="20"/>
          <w:szCs w:val="20"/>
          <w:color w:val="4B5563"/>
        </w:rPr>
        <w:t xml:space="preserve">Drummond Group LLC is transitioning their outreach rep from Sunitha (departing) to Peyton Kirkley (incoming). Two active campaigns are in play: a mental health care clinic outreach (email + LinkedIn + voicemail drops) and a Lead Intercept program (LinkedIn only, weekly Drada-engagement signals). A third PCI campaign is on hold pending internal alignment. This call was a stakeholder alignment session to introduce Peyton, agree the transition plan, and unblock the Lead Intercept transfer.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1.  Account Transition Management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20 / 25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960"/>
        <w:gridCol w:w="720"/>
        <w:gridCol w:w="4680"/>
      </w:tblGrid>
      <w:tr>
        <w:trPr/>
        <w:tc>
          <w:tcPr>
            <w:tcW w:w="39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68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396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Clear transition sequence established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68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Prioritised Lead Intercept (LinkedIn only — no warm-up needed) immediately; paused HIPAA and email campaigns pending warm-up; PCI on hold pending Carl/Peyton alignment. Logical and risk-aware sequencing</w:t>
            </w:r>
          </w:p>
        </w:tc>
      </w:tr>
      <w:tr>
        <w:trPr/>
        <w:tc>
          <w:tcPr>
            <w:tcW w:w="396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Data export risk flagged proactively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68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Alison raised the need to export Sunitha's prospect data before removing her — before Michael realised it was needed. Strongest moment of the call. Identified what's included (labels, tags, status) and what isn't (conversation history)</w:t>
            </w:r>
          </w:p>
        </w:tc>
      </w:tr>
      <w:tr>
        <w:trPr/>
        <w:tc>
          <w:tcPr>
            <w:tcW w:w="396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Workspace duplication plan clear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68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Confirmed campaigns will be duplicated into Peyton's new workspace with updated sender/copy. Data saved before swap. Post-call email reinforced this</w:t>
            </w:r>
          </w:p>
        </w:tc>
      </w:tr>
      <w:tr>
        <w:trPr/>
        <w:tc>
          <w:tcPr>
            <w:tcW w:w="396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Bi-weekly training cadence proposed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68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Proactively suggested continuing Sunitha's bi-weekly training schedule with Peyton — continuity of support structure</w:t>
            </w:r>
          </w:p>
        </w:tc>
      </w:tr>
      <w:tr>
        <w:trPr/>
        <w:tc>
          <w:tcPr>
            <w:tcW w:w="3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Export ownership ambiguous during call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68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'I need to confirm with the team' — Alison hesitated on whether she could do the export herself. Michael ended up doing it himself after she walked him through the process. Ownership should have been clearer</w:t>
            </w:r>
          </w:p>
        </w:tc>
      </w:tr>
      <w:tr>
        <w:trPr/>
        <w:tc>
          <w:tcPr>
            <w:tcW w:w="396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Same-day Lead Intercept transfer committed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68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Committed to completing the switch before end of day so no further days are lost (campaigns had been cold since Wednesday)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Strong transition planning — proactively caught the data export risk before the customer did, established a logical campaign sequencing plan, and committed to a same-day transfer for the priority campaign. The only gap is some hesitancy on export ownership ('I need to confirm') which created brief ambiguity that Michael resolved himself.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2.  Platform Knowledge &amp; Feature Guidance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14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0"/>
        <w:gridCol w:w="1200"/>
        <w:gridCol w:w="4560"/>
      </w:tblGrid>
      <w:tr>
        <w:trPr/>
        <w:tc>
          <w:tcPr>
            <w:tcW w:w="36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TOPIC</w:t>
            </w:r>
          </w:p>
        </w:tc>
        <w:tc>
          <w:tcPr>
            <w:tcW w:w="1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DEPTH</w:t>
            </w:r>
          </w:p>
        </w:tc>
        <w:tc>
          <w:tcPr>
            <w:tcW w:w="45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NOTES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Duplicate lead in Lead Intercept explained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Accurate technical explanation: person appeared twice because they interacted with two tracked profiles. Different IDs triggered dual entry. Confirmed internal fix applied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Email warm-up requirements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identified: primary email (warm), 4-5 aliases (not warm, just created). LinkedIn-only suggested as interim — good risk management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Prospect CSV export — contents and process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Explained process (prospect section), what's included (labels, tags, status, all activity), what's excluded (conversation history). Walked Michael through in real-time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— initial recommendation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 Flip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Initially recommended against voicemail for PCI campaign without strong justification. When Michael pushed back, agreed to add 2 drops mid-sequence. Reversal was reasonable but the initial 'no' lacked conviction and created unnecessary friction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Data skewing from untracked voicemail activity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Correctly explained that off-platform calls aren't tracked, which skews engagement data. Framed clearly as a data awareness issue, not a blocker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Conversation history not included in export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Proactively flagged that conversation history stays with Sunitha's inbox — important data loss awareness before the swap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Lead Intercept weekly workflow mechanics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Understood and confirmed the Wednesday population process, signal assignment, and campaign add flow. Did not over-explain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re-recording process for Peyton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 Partial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Mentioned Peyton would need to re-record the HIPAA voicemail drop, and that she'd walk him through it at training — but no specifics given on the platform step or timing. Post-call email omitted this entirely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Solid technical knowledge demonstrated across export process, email warm-up, and Lead Intercept mechanics. Two gaps: the initial voicemail drop reversal undermined confidence, and the voicemail re-recording process was left vague and missing from the post-call email — a task Peyton needs to action before HIPAA can relaunch.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3.  Stakeholder Engagement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13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Michael — primary relationship managed well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Strong existing relationship evident. Alison deferred to Michael to introduce the context to Peyton — smart move that reinforced Michael's authority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Lucy — strategic contributions picked up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Lucy's campaign sequencing suggestion (voicemail first, then email) was acknowledged and built on. Alison looped Carl in correctly when Lucy raised the PCI question</w:t>
            </w:r>
          </w:p>
        </w:tc>
      </w:tr>
      <w:tr>
        <w:trPr/>
        <w:tc>
          <w:tcPr>
            <w:tcW w:w="420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Peyton — proactive onboarding to platform early in call</w:t>
            </w:r>
          </w:p>
        </w:tc>
        <w:tc>
          <w:tcPr>
            <w:tcW w:w="72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❌</w:t>
            </w:r>
          </w:p>
        </w:tc>
        <w:tc>
          <w:tcPr>
            <w:tcW w:w="44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Peyton said almost nothing for the first 12 minutes beyond pleasantries. Alison didn't draw him into the conversation or ask about his background/experience until near the end. For a handover call where Peyton is the new primary user, this is a missed opportunity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Carl — included appropriately when relevant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Carl only spoke when Lucy directly asked him a question (at 5:26). Alison didn't proactively address him or confirm his readiness. He's a key stakeholder for the PCI campaign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discussion managed well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When Michael pushed back on the voicemail recommendation, Alison handled it gracefully — validated his instinct, asked about his experience, adapted the strategy. Good collaborative problem-solving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Peyton's voicemail drop experience acknowledged and used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When Peyton shared his experience (voicemail + follow-up email), Lucy immediately used it to shape the campaign strategy. Alison didn't pick up on this and redirect it — Lucy did the work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Closing — Peyton welcomed and supported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Strong close with Peyton: 'feel free to reach out at any point, I always try to respond as soon as I can' — appropriate for a new contact who will need frequent support early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Strong management of the primary relationship (Michael and Lucy). The significant gap is Peyton — the incoming user and the person who matters most for platform adoption going forward — was essentially a passenger for the first half of the call. Alison should have drawn him out earlier: his experience, his current tools, his confidence level with outreach platforms. A user who feels engaged from the start is far more likely to self-serve and succeed.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4.  Action Items &amp; Accountability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15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5040"/>
        <w:gridCol w:w="4320"/>
      </w:tblGrid>
      <w:tr>
        <w:trPr/>
        <w:tc>
          <w:tcPr>
            <w:tcW w:w="50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ITEM</w:t>
            </w:r>
          </w:p>
        </w:tc>
        <w:tc>
          <w:tcPr>
            <w:tcW w:w="43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STATUS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Login links sent to Peyton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Confirmed in post-call email — sent same day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Platform walkthrough training session booked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Booked on the call — tomorrow 1pm Eastern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Lead Intercept campaign transferred to Peyton's workspace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Committed before end of day. Post-call email confirmed plan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HIPAA and email campaigns paused pending warm-up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Confirmed in call and post-call email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Prospect data export (replied prospects from Sunitha's workspace)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⚠️  Alison walked Michael through how to do it himself. Ownership stayed with Michael — not confirmed as a joint task or Alison-owned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Carl + Peyton to align on PCI campaign sequence by Monday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⚠️  Agreed on call, but not confirmed in post-call email — no paper trail for this deadline</w:t>
            </w:r>
          </w:p>
        </w:tc>
      </w:tr>
      <w:tr>
        <w:trPr/>
        <w:tc>
          <w:tcPr>
            <w:tcW w:w="5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re-recording for HIPAA campaign (Peyton)</w:t>
            </w:r>
          </w:p>
        </w:tc>
        <w:tc>
          <w:tcPr>
            <w:tcW w:w="432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❌  Mentioned verbally but no process steps given. Absent from post-call email entirely</w:t>
            </w:r>
          </w:p>
        </w:tc>
      </w:tr>
      <w:tr>
        <w:trPr/>
        <w:tc>
          <w:tcPr>
            <w:tcW w:w="5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Bi-weekly training cadence confirmed with Peyton</w:t>
            </w:r>
          </w:p>
        </w:tc>
        <w:tc>
          <w:tcPr>
            <w:tcW w:w="43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❌  Proposed on the call but not confirmed in post-call email — no calendar invite or written commitment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Post-call message sent to Michael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  <w:b/>
              </w:rPr>
              <w:t xml:space="preserve">✅  Sent same day — concise, covered key points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Core commitments were made and followed through (login links, training booked, campaigns paused, Lead Intercept transfer). The post-call email covered the essentials clearly. The gaps are three items that dropped off: voicemail re-recording (critical for HIPAA relaunch), the PCI Monday deadline (no written confirmation), and the bi-weekly cadence (proposed but not confirmed in writing). For a transition with a new user, the written trail matters — Peyton needs clarity on what to expect.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5.  Customer Relationship &amp; Communication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10 / 15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Trusted advisor dynamic with Michael and Lucy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Michael deferred to Alison on campaign decisions; Lucy engaged openly. Strong existing trust base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Peyton warmly welcomed and supported at close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Strong closing message — open availability, proactive support commitment. Good first impression for the new primary user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Platform described as 'Outreachly' in Fathom transcript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Fathom tagged Alison as 'Alison | Outreachly (Outreachly AI)' — a legacy branding alias. Worth ensuring the platform name is consistently Interceptly in all external-facing comms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drop reversal — brief credibility dip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Recommending no voicemail drops, then agreeing to include them when challenged, creates a perception that recommendations aren't fully conviction-driven. Minor but worth noting as a pattern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Michael's enthusiasm about platform results reinforced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Michael voluntarily praised Interceptly's consolidated dashboard and LinkedIn engagement results vs. prior year — Alison should have explicitly acknowledged this and linked it to the value of continuing with Peyton. Missed a quick win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Post-call email tone — professional and clear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Good tone, correctly addressed to Michael, referenced the key decisions. Appropriate length for a transition update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DC2626"/>
          <w:b/>
        </w:rPr>
        <w:t xml:space="preserve">Open Issues — Action Required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"/>
        <w:gridCol w:w="3240"/>
        <w:gridCol w:w="960"/>
        <w:gridCol w:w="2040"/>
        <w:gridCol w:w="2760"/>
      </w:tblGrid>
      <w:tr>
        <w:trPr/>
        <w:tc>
          <w:tcPr>
            <w:tcW w:w="3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#</w:t>
            </w:r>
          </w:p>
        </w:tc>
        <w:tc>
          <w:tcPr>
            <w:tcW w:w="32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ISSUE</w:t>
            </w:r>
          </w:p>
        </w:tc>
        <w:tc>
          <w:tcPr>
            <w:tcW w:w="9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PRIORITY</w:t>
            </w:r>
          </w:p>
        </w:tc>
        <w:tc>
          <w:tcPr>
            <w:tcW w:w="20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OWNER</w:t>
            </w:r>
          </w:p>
        </w:tc>
        <w:tc>
          <w:tcPr>
            <w:tcW w:w="27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DEADLINE</w:t>
            </w:r>
          </w:p>
        </w:tc>
      </w:tr>
      <w:tr>
        <w:trPr/>
        <w:tc>
          <w:tcPr>
            <w:tcW w:w="3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1</w:t>
            </w:r>
          </w:p>
        </w:tc>
        <w:tc>
          <w:tcPr>
            <w:tcW w:w="32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Voicemail re-recording for HIPAA campaign — Peyton must record in his own voice before HIPAA can relaunch. Walk Peyton through platform step at training session</w:t>
            </w:r>
          </w:p>
        </w:tc>
        <w:tc>
          <w:tcPr>
            <w:tcW w:w="9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C2626"/>
                <w:b/>
              </w:rPr>
              <w:t xml:space="preserve">🔴 High</w:t>
            </w:r>
          </w:p>
        </w:tc>
        <w:tc>
          <w:tcPr>
            <w:tcW w:w="2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Alison + Peyton</w:t>
            </w:r>
          </w:p>
        </w:tc>
        <w:tc>
          <w:tcPr>
            <w:tcW w:w="27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Training session (Mar 17)</w:t>
            </w:r>
          </w:p>
        </w:tc>
      </w:tr>
      <w:tr>
        <w:trPr/>
        <w:tc>
          <w:tcPr>
            <w:tcW w:w="3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2</w:t>
            </w:r>
          </w:p>
        </w:tc>
        <w:tc>
          <w:tcPr>
            <w:tcW w:w="32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Peyton's email aliases (4-5) need warm-up monitoring — confirm warm-up start date and estimated readiness for HIPAA and PCI email campaigns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C2626"/>
                <w:b/>
              </w:rPr>
              <w:t xml:space="preserve">🔴 High</w:t>
            </w:r>
          </w:p>
        </w:tc>
        <w:tc>
          <w:tcPr>
            <w:tcW w:w="2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Alison</w:t>
            </w:r>
          </w:p>
        </w:tc>
        <w:tc>
          <w:tcPr>
            <w:tcW w:w="27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Confirm this week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3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Carl + Peyton PCI campaign alignment — workflow brief due by Monday. Alison needs 48hr notice to prep strategy. No written confirmation of this deadline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Carl + Peyton → Alison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Monday (Mar 23)</w:t>
            </w:r>
          </w:p>
        </w:tc>
      </w:tr>
      <w:tr>
        <w:trPr/>
        <w:tc>
          <w:tcPr>
            <w:tcW w:w="3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4</w:t>
            </w:r>
          </w:p>
        </w:tc>
        <w:tc>
          <w:tcPr>
            <w:tcW w:w="32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Bi-weekly training cadence — confirm in writing with Peyton (recurring calendar invite)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Alison</w:t>
            </w:r>
          </w:p>
        </w:tc>
        <w:tc>
          <w:tcPr>
            <w:tcW w:w="27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This week</w:t>
            </w:r>
          </w:p>
        </w:tc>
      </w:tr>
      <w:tr>
        <w:trPr/>
        <w:tc>
          <w:tcPr>
            <w:tcW w:w="3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5</w:t>
            </w:r>
          </w:p>
        </w:tc>
        <w:tc>
          <w:tcPr>
            <w:tcW w:w="32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Sunitha's LinkedIn replied prospect export — confirm Michael completed this before workspace swap. If not, window to retrieve may have closed</w:t>
            </w:r>
          </w:p>
        </w:tc>
        <w:tc>
          <w:tcPr>
            <w:tcW w:w="9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C2626"/>
                <w:b/>
              </w:rPr>
              <w:t xml:space="preserve">🔴 High</w:t>
            </w:r>
          </w:p>
        </w:tc>
        <w:tc>
          <w:tcPr>
            <w:tcW w:w="2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Alison (confirm)</w:t>
            </w:r>
          </w:p>
        </w:tc>
        <w:tc>
          <w:tcPr>
            <w:tcW w:w="27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Immediate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065F46"/>
          <w:b/>
        </w:rPr>
        <w:t xml:space="preserve">What Went Well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Proactively flagged the data export risk before Michael realised — this was the most valuable CSM intervention of the call. Without Alison raising it, prospect data could have been lost at the workspace swap.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Clear, logical transition sequence: Lead Intercept first (LinkedIn only, no warm-up), HIPAA/email paused, PCI held. Reduced risk of email deliverability issues for Peyton's new accounts.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Duplicate lead technical explanation was accurate and reassuring — confirmed an internal fix had already been applied. Built confidence in the platform's reliability.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Training session booked in real time on the call — no back-and-forth needed post-call.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Strong relationship with Michael and Lucy evident — they trust Alison's guidance and openly defer to her on tactical decisions.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Warm, professional close with Peyton — 'feel free to reach out at any point' sets the right tone for a new user who will need support in the first few weeks.</w:t>
      </w:r>
    </w:p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Recommended Next Steps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440"/>
        <w:gridCol w:w="7920"/>
      </w:tblGrid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Today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Peyton successfully logged in and account connected. If any issues, resolve before end of day.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Today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Michael completed the Sunitha LinkedIn replied prospect export before the workspace swap was finalised. If the window has closed, escalate to the team.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Mar 17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At Peyton's training session: walk through the platform fully, show the voicemail drop recording step, and get the HIPAA voicemail recorded in his voice.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Mar 17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Send Peyton a written summary after his training session: what to do in the platform, how Lead Intercept works on Wednesdays, and the voicemail process.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Mar 17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Send Peyton a recurring calendar invite for bi-weekly check-ins (continuing the cadence from Sunitha's onboarding).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Mar 23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Chase Carl and Peyton for PCI campaign workflow brief. Give 48hr buffer before prep start — aim for brief by Monday to launch strategy session mid-week.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Ongoing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Monitor Peyton's 4-5 alias email warm-up. Confirm readiness date and update Michael/Lucy with an estimated relaunch timeline for HIPAA and email campaigns.</w:t>
            </w:r>
          </w:p>
        </w:tc>
      </w:tr>
    </w:tbl>
    <w:p>
      <w:pPr>
        <w:spacing w:before="0" w:after="320"/>
      </w:pPr>
    </w:p>
    <w:p>
      <w:pPr>
        <w:spacing w:before="80" w:after="0"/>
        <w:jc w:val="center"/>
        <w:pBdr>
          <w:top w:val="single" w:sz="6" w:color="E5E7EB"/>
        </w:pBdr>
      </w:pPr>
      <w:r>
        <w:rPr>
          <w:rFonts w:ascii="Inter" w:hAnsi="Inter" w:cs="Inter"/>
          <w:sz w:val="16"/>
          <w:szCs w:val="16"/>
          <w:color w:val="4B5563"/>
          <w:i/>
        </w:rPr>
        <w:t xml:space="preserve">Scored against Interceptly CSM success call framework.  |  Health: 🟡 Yellow (50-74)  |  Call type: Account Transition (user handover)  |  Generated 17 March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4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2"/>
        <w:szCs w:val="22"/>
        <w:color w:val="1F2937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