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FACTURA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535"/>
      </w:tblGrid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6" w:color="BFBFBF"/>
              <w:top w:val="single" w:sz="6" w:color="BFBFBF"/>
              <w:right w:val="single" w:sz="6" w:color="BFBFBF"/>
              <w:bottom w:val="single" w:sz="6" w:color="BFBFBF"/>
            </w:tcBorders>
          </w:tcPr>
          <w:p>
            <w:pPr>
              <w:spacing w:after="20"/>
            </w:pPr>
            <w:r>
              <w:rPr>
                <w:b/>
                <w:sz w:val="22"/>
              </w:rPr>
              <w:t>UNFUCK SL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  <w:t>Carrer del Carme, 16A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  <w:t>07003 Palma, Illes Balears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  <w:t>España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  <w:t>CIF/IVA: ESB75546648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6" w:color="BFBFBF"/>
              <w:top w:val="single" w:sz="6" w:color="BFBFBF"/>
              <w:right w:val="single" w:sz="6" w:color="BFBFBF"/>
              <w:bottom w:val="single" w:sz="6" w:color="BFBFBF"/>
            </w:tcBorders>
          </w:tcPr>
          <w:p>
            <w:pPr>
              <w:spacing w:after="20"/>
            </w:pPr>
            <w:r>
              <w:rPr>
                <w:b w:val="0"/>
                <w:sz w:val="21"/>
              </w:rPr>
              <w:t>Fecha Factura: 25 de marzo de 2026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  <w:t>Número Factura: 05_26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b/>
                <w:sz w:val="21"/>
              </w:rPr>
              <w:t>Natalie Lydia Condurache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  <w:t>NIF: Z0890460C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  <w:t>C. de Primavera, 8, 3-1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  <w:t>07010 Palma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  <w:t>Islas Baleares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  <w:t>EMAIL: natalia.condurache@cpm-globearound.com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2381"/>
        <w:gridCol w:w="2268"/>
      </w:tblGrid>
      <w:tr>
        <w:tc>
          <w:tcPr>
            <w:tcW w:type="dxa" w:w="3400"/>
            <w:shd w:fill="EDEDE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left w:val="single" w:sz="6" w:color="BFBFBF"/>
              <w:top w:val="single" w:sz="6" w:color="BFBFBF"/>
              <w:right w:val="single" w:sz="6" w:color="BFBFBF"/>
              <w:bottom w:val="single" w:sz="6" w:color="BFBFBF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HONORARIOS</w:t>
            </w:r>
          </w:p>
        </w:tc>
        <w:tc>
          <w:tcPr>
            <w:tcW w:type="dxa" w:w="3400"/>
            <w:shd w:fill="EDEDE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left w:val="single" w:sz="6" w:color="BFBFBF"/>
              <w:top w:val="single" w:sz="6" w:color="BFBFBF"/>
              <w:right w:val="single" w:sz="6" w:color="BFBFBF"/>
              <w:bottom w:val="single" w:sz="6" w:color="BFBFBF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IMPORTES</w:t>
            </w:r>
          </w:p>
        </w:tc>
        <w:tc>
          <w:tcPr>
            <w:tcW w:type="dxa" w:w="3400"/>
            <w:shd w:fill="EDEDE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left w:val="single" w:sz="6" w:color="BFBFBF"/>
              <w:top w:val="single" w:sz="6" w:color="BFBFBF"/>
              <w:right w:val="single" w:sz="6" w:color="BFBFBF"/>
              <w:bottom w:val="single" w:sz="6" w:color="BFBFBF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SUPLIDOS</w:t>
            </w:r>
          </w:p>
        </w:tc>
      </w:tr>
      <w:t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6" w:color="BFBFBF"/>
              <w:top w:val="single" w:sz="6" w:color="BFBFBF"/>
              <w:right w:val="single" w:sz="6" w:color="BFBFBF"/>
              <w:bottom w:val="single" w:sz="6" w:color="BFBFBF"/>
            </w:tcBorders>
          </w:tcPr>
          <w:p>
            <w:pPr>
              <w:spacing w:after="0"/>
              <w:jc w:val="left"/>
            </w:pPr>
            <w:r>
              <w:rPr>
                <w:sz w:val="21"/>
              </w:rPr>
              <w:t>Gastos de viaje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6" w:color="BFBFBF"/>
              <w:top w:val="single" w:sz="6" w:color="BFBFBF"/>
              <w:right w:val="single" w:sz="6" w:color="BFBFBF"/>
              <w:bottom w:val="single" w:sz="6" w:color="BFBFBF"/>
            </w:tcBorders>
          </w:tcPr>
          <w:p>
            <w:pPr>
              <w:spacing w:after="0"/>
              <w:jc w:val="right"/>
            </w:pPr>
            <w:r>
              <w:rPr>
                <w:sz w:val="21"/>
              </w:rPr>
              <w:t>807,41 €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6" w:color="BFBFBF"/>
              <w:top w:val="single" w:sz="6" w:color="BFBFBF"/>
              <w:right w:val="single" w:sz="6" w:color="BFBFBF"/>
              <w:bottom w:val="single" w:sz="6" w:color="BFBFBF"/>
            </w:tcBorders>
          </w:tcPr>
          <w:p>
            <w:pPr>
              <w:spacing w:after="0"/>
              <w:jc w:val="left"/>
            </w:pPr>
            <w:r>
              <w:rPr>
                <w:sz w:val="21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535"/>
      </w:tblGrid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6" w:color="BFBFBF"/>
              <w:top w:val="single" w:sz="6" w:color="BFBFBF"/>
              <w:right w:val="single" w:sz="6" w:color="BFBFBF"/>
              <w:bottom w:val="single" w:sz="6" w:color="BFBFBF"/>
            </w:tcBorders>
          </w:tcPr>
          <w:p>
            <w:pPr>
              <w:spacing w:after="20"/>
            </w:pPr>
            <w:r>
              <w:rPr>
                <w:b/>
                <w:sz w:val="21"/>
              </w:rPr>
              <w:t>FORMA DE PAGO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  <w:t>Transferencia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b/>
                <w:sz w:val="21"/>
              </w:rPr>
              <w:t>Nombre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  <w:t>Natalie Lydia Condurache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b/>
                <w:sz w:val="21"/>
              </w:rPr>
              <w:t>IBAN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  <w:t>ES78 1563 2626 3032 6502 2323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</w:r>
          </w:p>
          <w:p>
            <w:pPr>
              <w:spacing w:after="20"/>
            </w:pPr>
            <w:r>
              <w:rPr>
                <w:b/>
                <w:sz w:val="21"/>
              </w:rPr>
              <w:t>BIC</w:t>
            </w:r>
          </w:p>
          <w:p>
            <w:pPr>
              <w:spacing w:after="20"/>
            </w:pPr>
            <w:r>
              <w:rPr>
                <w:b w:val="0"/>
                <w:sz w:val="21"/>
              </w:rPr>
              <w:t>NTSBESM1XXX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left w:val="single" w:sz="6" w:color="BFBFBF"/>
              <w:top w:val="single" w:sz="6" w:color="BFBFBF"/>
              <w:right w:val="single" w:sz="6" w:color="BFBFBF"/>
              <w:bottom w:val="single" w:sz="6" w:color="BFBFBF"/>
            </w:tcBorders>
          </w:tcPr>
          <w:p>
            <w:pPr>
              <w:spacing w:after="0" w:before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665"/>
              <w:gridCol w:w="1531"/>
            </w:tblGrid>
            <w:tr>
              <w:tc>
                <w:tcPr>
                  <w:tcW w:type="dxa" w:w="2550"/>
                  <w:tcMar>
                    <w:top w:w="50" w:type="dxa"/>
                    <w:start w:w="50" w:type="dxa"/>
                    <w:bottom w:w="50" w:type="dxa"/>
                    <w:end w:w="50" w:type="dxa"/>
                  </w:tcMar>
                  <w:tcBorders>
                    <w:left w:val="nil"/>
                    <w:top w:val="nil"/>
                    <w:right w:val="nil"/>
                    <w:bottom w:val="nil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sz w:val="21"/>
                    </w:rPr>
                    <w:t>BASE IMPONIBLE</w:t>
                  </w:r>
                </w:p>
              </w:tc>
              <w:tc>
                <w:tcPr>
                  <w:tcW w:type="dxa" w:w="2550"/>
                  <w:tcMar>
                    <w:top w:w="50" w:type="dxa"/>
                    <w:start w:w="50" w:type="dxa"/>
                    <w:bottom w:w="50" w:type="dxa"/>
                    <w:end w:w="50" w:type="dxa"/>
                  </w:tcMar>
                  <w:tcBorders>
                    <w:left w:val="nil"/>
                    <w:top w:val="nil"/>
                    <w:right w:val="nil"/>
                    <w:bottom w:val="nil"/>
                  </w:tcBorders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sz w:val="21"/>
                    </w:rPr>
                    <w:t>807,41 €</w:t>
                  </w:r>
                </w:p>
              </w:tc>
            </w:tr>
            <w:tr>
              <w:tc>
                <w:tcPr>
                  <w:tcW w:type="dxa" w:w="2550"/>
                  <w:tcMar>
                    <w:top w:w="50" w:type="dxa"/>
                    <w:start w:w="50" w:type="dxa"/>
                    <w:bottom w:w="50" w:type="dxa"/>
                    <w:end w:w="50" w:type="dxa"/>
                  </w:tcMar>
                  <w:tcBorders>
                    <w:left w:val="nil"/>
                    <w:top w:val="nil"/>
                    <w:right w:val="nil"/>
                    <w:bottom w:val="nil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sz w:val="21"/>
                    </w:rPr>
                    <w:t>I.V.A. 21%</w:t>
                  </w:r>
                </w:p>
              </w:tc>
              <w:tc>
                <w:tcPr>
                  <w:tcW w:type="dxa" w:w="2550"/>
                  <w:tcMar>
                    <w:top w:w="50" w:type="dxa"/>
                    <w:start w:w="50" w:type="dxa"/>
                    <w:bottom w:w="50" w:type="dxa"/>
                    <w:end w:w="50" w:type="dxa"/>
                  </w:tcMar>
                  <w:tcBorders>
                    <w:left w:val="nil"/>
                    <w:top w:val="nil"/>
                    <w:right w:val="nil"/>
                    <w:bottom w:val="nil"/>
                  </w:tcBorders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sz w:val="21"/>
                    </w:rPr>
                    <w:t>169,56 €</w:t>
                  </w:r>
                </w:p>
              </w:tc>
            </w:tr>
            <w:tr>
              <w:tc>
                <w:tcPr>
                  <w:tcW w:type="dxa" w:w="2550"/>
                  <w:tcMar>
                    <w:top w:w="50" w:type="dxa"/>
                    <w:start w:w="50" w:type="dxa"/>
                    <w:bottom w:w="50" w:type="dxa"/>
                    <w:end w:w="50" w:type="dxa"/>
                  </w:tcMar>
                  <w:tcBorders>
                    <w:left w:val="nil"/>
                    <w:top w:val="nil"/>
                    <w:right w:val="nil"/>
                    <w:bottom w:val="nil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sz w:val="21"/>
                    </w:rPr>
                    <w:t>I.R.P.F. 15%</w:t>
                  </w:r>
                </w:p>
              </w:tc>
              <w:tc>
                <w:tcPr>
                  <w:tcW w:type="dxa" w:w="2550"/>
                  <w:tcMar>
                    <w:top w:w="50" w:type="dxa"/>
                    <w:start w:w="50" w:type="dxa"/>
                    <w:bottom w:w="50" w:type="dxa"/>
                    <w:end w:w="50" w:type="dxa"/>
                  </w:tcMar>
                  <w:tcBorders>
                    <w:left w:val="nil"/>
                    <w:top w:val="nil"/>
                    <w:right w:val="nil"/>
                    <w:bottom w:val="nil"/>
                  </w:tcBorders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sz w:val="21"/>
                    </w:rPr>
                    <w:t>-121,11 €</w:t>
                  </w:r>
                </w:p>
              </w:tc>
            </w:tr>
            <w:tr>
              <w:tc>
                <w:tcPr>
                  <w:tcW w:type="dxa" w:w="2550"/>
                  <w:tcMar>
                    <w:top w:w="50" w:type="dxa"/>
                    <w:start w:w="50" w:type="dxa"/>
                    <w:bottom w:w="50" w:type="dxa"/>
                    <w:end w:w="50" w:type="dxa"/>
                  </w:tcMar>
                  <w:tcBorders>
                    <w:left w:val="nil"/>
                    <w:top w:val="nil"/>
                    <w:right w:val="nil"/>
                    <w:bottom w:val="nil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sz w:val="21"/>
                    </w:rPr>
                    <w:t>SUPLIDOS/AUSLAGEN</w:t>
                  </w:r>
                </w:p>
              </w:tc>
              <w:tc>
                <w:tcPr>
                  <w:tcW w:type="dxa" w:w="2550"/>
                  <w:tcMar>
                    <w:top w:w="50" w:type="dxa"/>
                    <w:start w:w="50" w:type="dxa"/>
                    <w:bottom w:w="50" w:type="dxa"/>
                    <w:end w:w="50" w:type="dxa"/>
                  </w:tcMar>
                  <w:tcBorders>
                    <w:left w:val="nil"/>
                    <w:top w:val="nil"/>
                    <w:right w:val="nil"/>
                    <w:bottom w:val="nil"/>
                  </w:tcBorders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sz w:val="21"/>
                    </w:rPr>
                  </w:r>
                </w:p>
              </w:tc>
            </w:tr>
            <w:tr>
              <w:tc>
                <w:tcPr>
                  <w:tcW w:type="dxa" w:w="2550"/>
                  <w:tcMar>
                    <w:top w:w="50" w:type="dxa"/>
                    <w:start w:w="50" w:type="dxa"/>
                    <w:bottom w:w="50" w:type="dxa"/>
                    <w:end w:w="50" w:type="dxa"/>
                  </w:tcMar>
                  <w:tcBorders>
                    <w:left w:val="nil"/>
                    <w:top w:val="nil"/>
                    <w:right w:val="nil"/>
                    <w:bottom w:val="nil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sz w:val="21"/>
                    </w:rPr>
                    <w:t>TOTAL FACTURA</w:t>
                  </w:r>
                </w:p>
              </w:tc>
              <w:tc>
                <w:tcPr>
                  <w:tcW w:type="dxa" w:w="2550"/>
                  <w:tcMar>
                    <w:top w:w="50" w:type="dxa"/>
                    <w:start w:w="50" w:type="dxa"/>
                    <w:bottom w:w="50" w:type="dxa"/>
                    <w:end w:w="50" w:type="dxa"/>
                  </w:tcMar>
                  <w:tcBorders>
                    <w:left w:val="nil"/>
                    <w:top w:val="nil"/>
                    <w:right w:val="nil"/>
                    <w:bottom w:val="nil"/>
                  </w:tcBorders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sz w:val="21"/>
                    </w:rPr>
                    <w:t>- 855,85 € -</w:t>
                  </w:r>
                </w:p>
              </w:tc>
            </w:tr>
            <w:tr>
              <w:tc>
                <w:tcPr>
                  <w:tcW w:type="dxa" w:w="2550"/>
                  <w:tcMar>
                    <w:top w:w="50" w:type="dxa"/>
                    <w:start w:w="50" w:type="dxa"/>
                    <w:bottom w:w="50" w:type="dxa"/>
                    <w:end w:w="50" w:type="dxa"/>
                  </w:tcMar>
                  <w:tcBorders>
                    <w:left w:val="nil"/>
                    <w:top w:val="nil"/>
                    <w:right w:val="nil"/>
                    <w:bottom w:val="nil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sz w:val="21"/>
                    </w:rPr>
                    <w:t>PROVISIÓN FONDOS</w:t>
                  </w:r>
                </w:p>
              </w:tc>
              <w:tc>
                <w:tcPr>
                  <w:tcW w:type="dxa" w:w="2550"/>
                  <w:tcMar>
                    <w:top w:w="50" w:type="dxa"/>
                    <w:start w:w="50" w:type="dxa"/>
                    <w:bottom w:w="50" w:type="dxa"/>
                    <w:end w:w="50" w:type="dxa"/>
                  </w:tcMar>
                  <w:tcBorders>
                    <w:left w:val="nil"/>
                    <w:top w:val="nil"/>
                    <w:right w:val="nil"/>
                    <w:bottom w:val="nil"/>
                  </w:tcBorders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sz w:val="21"/>
                    </w:rPr>
                    <w:t>0,00 €</w:t>
                  </w:r>
                </w:p>
              </w:tc>
            </w:tr>
            <w:tr>
              <w:tc>
                <w:tcPr>
                  <w:tcW w:type="dxa" w:w="2550"/>
                  <w:tcMar>
                    <w:top w:w="50" w:type="dxa"/>
                    <w:start w:w="50" w:type="dxa"/>
                    <w:bottom w:w="50" w:type="dxa"/>
                    <w:end w:w="50" w:type="dxa"/>
                  </w:tcMar>
                  <w:tcBorders>
                    <w:left w:val="nil"/>
                    <w:top w:val="nil"/>
                    <w:right w:val="nil"/>
                    <w:bottom w:val="nil"/>
                  </w:tcBorders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sz w:val="21"/>
                    </w:rPr>
                    <w:t>TOTAL A PAGAR</w:t>
                  </w:r>
                </w:p>
              </w:tc>
              <w:tc>
                <w:tcPr>
                  <w:tcW w:type="dxa" w:w="2550"/>
                  <w:tcMar>
                    <w:top w:w="50" w:type="dxa"/>
                    <w:start w:w="50" w:type="dxa"/>
                    <w:bottom w:w="50" w:type="dxa"/>
                    <w:end w:w="50" w:type="dxa"/>
                  </w:tcMar>
                  <w:tcBorders>
                    <w:left w:val="nil"/>
                    <w:top w:val="nil"/>
                    <w:right w:val="nil"/>
                    <w:bottom w:val="nil"/>
                  </w:tcBorders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sz w:val="21"/>
                    </w:rPr>
                    <w:t>- 855,85 € -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