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606819" w:rsidRPr="00B9155B" w14:paraId="2C88CD84" w14:textId="77777777" w:rsidTr="00C17A2A">
        <w:tc>
          <w:tcPr>
            <w:tcW w:w="9209" w:type="dxa"/>
            <w:tcBorders>
              <w:bottom w:val="single" w:sz="4" w:space="0" w:color="auto"/>
            </w:tcBorders>
          </w:tcPr>
          <w:p w14:paraId="4C6A7EA1" w14:textId="77777777" w:rsidR="00606819" w:rsidRPr="00B9155B" w:rsidRDefault="00606819" w:rsidP="00C17A2A">
            <w:pPr>
              <w:ind w:right="319"/>
              <w:contextualSpacing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Recent Publications </w:t>
            </w:r>
          </w:p>
        </w:tc>
      </w:tr>
      <w:tr w:rsidR="00606819" w:rsidRPr="003E4607" w14:paraId="246F3039" w14:textId="77777777" w:rsidTr="00C17A2A">
        <w:tc>
          <w:tcPr>
            <w:tcW w:w="9209" w:type="dxa"/>
            <w:tcBorders>
              <w:top w:val="single" w:sz="4" w:space="0" w:color="auto"/>
            </w:tcBorders>
          </w:tcPr>
          <w:p w14:paraId="7DE06C92" w14:textId="534DA7F0" w:rsidR="00606819" w:rsidRDefault="00606819" w:rsidP="00C17A2A">
            <w:pPr>
              <w:ind w:right="319"/>
              <w:contextualSpacing/>
              <w:rPr>
                <w:rFonts w:ascii="Calibri" w:hAnsi="Calibri"/>
                <w:i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i/>
                <w:color w:val="000000"/>
                <w:shd w:val="clear" w:color="auto" w:fill="FFFFFF"/>
              </w:rPr>
              <w:t>Monographs</w:t>
            </w:r>
          </w:p>
          <w:p w14:paraId="6B3946D1" w14:textId="77777777" w:rsidR="00606819" w:rsidRDefault="00606819" w:rsidP="00C17A2A">
            <w:pPr>
              <w:ind w:right="319"/>
              <w:contextualSpacing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(Forthcoming) Videogame Ecologies: Intra-action, Affect and Praxis. </w:t>
            </w:r>
          </w:p>
          <w:p w14:paraId="653083AB" w14:textId="50BC84A3" w:rsidR="00606819" w:rsidRPr="00606819" w:rsidRDefault="00606819" w:rsidP="00C17A2A">
            <w:pPr>
              <w:ind w:right="319"/>
              <w:contextualSpacing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To be distributed open source through the Open Humanities Press (pending contract)</w:t>
            </w:r>
          </w:p>
          <w:p w14:paraId="3B105CC1" w14:textId="77777777" w:rsidR="00606819" w:rsidRDefault="00606819" w:rsidP="00C17A2A">
            <w:pPr>
              <w:ind w:right="319"/>
              <w:contextualSpacing/>
              <w:rPr>
                <w:rFonts w:ascii="Calibri" w:hAnsi="Calibri"/>
                <w:i/>
                <w:color w:val="000000"/>
                <w:shd w:val="clear" w:color="auto" w:fill="FFFFFF"/>
              </w:rPr>
            </w:pPr>
          </w:p>
          <w:p w14:paraId="1741116E" w14:textId="25B20FAE" w:rsidR="00606819" w:rsidRDefault="00606819" w:rsidP="00C17A2A">
            <w:pPr>
              <w:ind w:right="319"/>
              <w:contextualSpacing/>
              <w:rPr>
                <w:rFonts w:ascii="Calibri" w:hAnsi="Calibri"/>
                <w:i/>
                <w:color w:val="000000"/>
                <w:shd w:val="clear" w:color="auto" w:fill="FFFFFF"/>
              </w:rPr>
            </w:pPr>
            <w:r w:rsidRPr="003E4607">
              <w:rPr>
                <w:rFonts w:ascii="Calibri" w:hAnsi="Calibri"/>
                <w:i/>
                <w:color w:val="000000"/>
                <w:shd w:val="clear" w:color="auto" w:fill="FFFFFF"/>
              </w:rPr>
              <w:t>Peer-reviewed journals</w:t>
            </w:r>
          </w:p>
          <w:p w14:paraId="36465F96" w14:textId="77777777" w:rsidR="00606819" w:rsidRPr="00A51735" w:rsidRDefault="00606819" w:rsidP="00C17A2A">
            <w:pPr>
              <w:ind w:right="319"/>
              <w:contextualSpacing/>
            </w:pPr>
            <w:r>
              <w:t>(2018) “Videogames Beyond Representation: Intra-Acting with Independent Videogames”, Proceedings of the 5</w:t>
            </w:r>
            <w:r w:rsidRPr="008F5260">
              <w:rPr>
                <w:vertAlign w:val="superscript"/>
              </w:rPr>
              <w:t>th</w:t>
            </w:r>
            <w:r>
              <w:t xml:space="preserve"> Biennial Transdisciplinary Imaging Conference, Edinburgh 2018.</w:t>
            </w:r>
          </w:p>
          <w:p w14:paraId="44CDC0ED" w14:textId="77777777" w:rsidR="00606819" w:rsidRPr="003E4607" w:rsidRDefault="00606819" w:rsidP="00C17A2A">
            <w:pPr>
              <w:ind w:right="319"/>
              <w:contextualSpacing/>
              <w:rPr>
                <w:i/>
              </w:rPr>
            </w:pPr>
          </w:p>
        </w:tc>
      </w:tr>
      <w:tr w:rsidR="00606819" w14:paraId="1B5A2BA3" w14:textId="77777777" w:rsidTr="00C17A2A">
        <w:tc>
          <w:tcPr>
            <w:tcW w:w="9209" w:type="dxa"/>
          </w:tcPr>
          <w:p w14:paraId="5899B24D" w14:textId="77777777" w:rsidR="00606819" w:rsidRDefault="00606819" w:rsidP="00C17A2A">
            <w:pPr>
              <w:ind w:right="319"/>
              <w:contextualSpacing/>
            </w:pPr>
            <w:r w:rsidRPr="003E4607">
              <w:t>(2018), "Playing with Materiality: An Agential-Realist Approach to Videogame Code-Injections", Information Communication and Society: Special Issue on 'Work and Play'</w:t>
            </w:r>
            <w:r>
              <w:t>, Vol 21. Issue 6.</w:t>
            </w:r>
          </w:p>
        </w:tc>
      </w:tr>
      <w:tr w:rsidR="00606819" w:rsidRPr="003E4607" w14:paraId="1B6495AC" w14:textId="77777777" w:rsidTr="00C17A2A">
        <w:tc>
          <w:tcPr>
            <w:tcW w:w="9209" w:type="dxa"/>
          </w:tcPr>
          <w:p w14:paraId="6D48C2C3" w14:textId="77777777" w:rsidR="00606819" w:rsidRPr="003E4607" w:rsidRDefault="00606819" w:rsidP="00C17A2A">
            <w:pPr>
              <w:ind w:right="319"/>
              <w:contextualSpacing/>
            </w:pPr>
          </w:p>
        </w:tc>
      </w:tr>
      <w:tr w:rsidR="00606819" w14:paraId="2079FA3E" w14:textId="77777777" w:rsidTr="00C17A2A">
        <w:tc>
          <w:tcPr>
            <w:tcW w:w="9209" w:type="dxa"/>
          </w:tcPr>
          <w:p w14:paraId="7CCEB16F" w14:textId="77777777" w:rsidR="00606819" w:rsidRDefault="00606819" w:rsidP="00C17A2A">
            <w:pPr>
              <w:ind w:right="319"/>
              <w:contextualSpacing/>
            </w:pPr>
            <w:r w:rsidRPr="003E4607">
              <w:t>(2016) "Alternative Trajectories: Structuring Play Through Videogame Physics Engines", Performance Research, Vol 21. Issue 4. </w:t>
            </w:r>
          </w:p>
        </w:tc>
      </w:tr>
      <w:tr w:rsidR="00606819" w14:paraId="4D7C2EFA" w14:textId="77777777" w:rsidTr="00C17A2A">
        <w:tc>
          <w:tcPr>
            <w:tcW w:w="9209" w:type="dxa"/>
          </w:tcPr>
          <w:p w14:paraId="0281ED60" w14:textId="77777777" w:rsidR="00606819" w:rsidRDefault="00606819" w:rsidP="00C17A2A">
            <w:pPr>
              <w:ind w:right="319"/>
              <w:contextualSpacing/>
            </w:pPr>
          </w:p>
        </w:tc>
      </w:tr>
      <w:tr w:rsidR="00606819" w14:paraId="4A113216" w14:textId="77777777" w:rsidTr="00C17A2A">
        <w:tc>
          <w:tcPr>
            <w:tcW w:w="9209" w:type="dxa"/>
          </w:tcPr>
          <w:p w14:paraId="30230204" w14:textId="77777777" w:rsidR="00606819" w:rsidRDefault="00606819" w:rsidP="00C17A2A">
            <w:pPr>
              <w:ind w:right="319"/>
              <w:contextualSpacing/>
            </w:pPr>
            <w:r w:rsidRPr="003E4607">
              <w:t>(2016 with Tim Barker) "Unearthing techno-ecology: on the possibility of a technical media philosophy of ecology", Digital Culture and Society, Vol 1. Issue 1. </w:t>
            </w:r>
          </w:p>
        </w:tc>
      </w:tr>
      <w:tr w:rsidR="00606819" w14:paraId="7F50F4C2" w14:textId="77777777" w:rsidTr="00C17A2A">
        <w:tc>
          <w:tcPr>
            <w:tcW w:w="9209" w:type="dxa"/>
          </w:tcPr>
          <w:p w14:paraId="10BB5FA5" w14:textId="77777777" w:rsidR="00606819" w:rsidRDefault="00606819" w:rsidP="00C17A2A">
            <w:pPr>
              <w:ind w:right="319"/>
              <w:contextualSpacing/>
            </w:pPr>
          </w:p>
        </w:tc>
      </w:tr>
      <w:tr w:rsidR="00606819" w14:paraId="00A94D8C" w14:textId="77777777" w:rsidTr="00C17A2A">
        <w:tc>
          <w:tcPr>
            <w:tcW w:w="9209" w:type="dxa"/>
          </w:tcPr>
          <w:p w14:paraId="5FCAC30A" w14:textId="77777777" w:rsidR="00606819" w:rsidRDefault="00606819" w:rsidP="00C17A2A">
            <w:pPr>
              <w:ind w:right="319"/>
              <w:contextualSpacing/>
            </w:pPr>
            <w:r w:rsidRPr="003E4607">
              <w:t>(2014</w:t>
            </w:r>
            <w:r>
              <w:t xml:space="preserve"> with Jenna Ng</w:t>
            </w:r>
            <w:r w:rsidRPr="003E4607">
              <w:t>) "“You have all the weapons you need” — Sucker Punch and the Multiform Gaze", Computer Games Journal, Vol 3. Issue 2</w:t>
            </w:r>
          </w:p>
        </w:tc>
      </w:tr>
      <w:tr w:rsidR="00606819" w14:paraId="6D746E74" w14:textId="77777777" w:rsidTr="00C17A2A">
        <w:tc>
          <w:tcPr>
            <w:tcW w:w="9209" w:type="dxa"/>
          </w:tcPr>
          <w:p w14:paraId="7A10B172" w14:textId="77777777" w:rsidR="00606819" w:rsidRDefault="00606819" w:rsidP="00C17A2A">
            <w:pPr>
              <w:ind w:right="319"/>
              <w:contextualSpacing/>
            </w:pPr>
          </w:p>
        </w:tc>
      </w:tr>
      <w:tr w:rsidR="00606819" w:rsidRPr="0042446F" w14:paraId="6E1987AE" w14:textId="77777777" w:rsidTr="00C17A2A">
        <w:tc>
          <w:tcPr>
            <w:tcW w:w="9209" w:type="dxa"/>
          </w:tcPr>
          <w:p w14:paraId="26BE5041" w14:textId="77777777" w:rsidR="00606819" w:rsidRPr="0042446F" w:rsidRDefault="00606819" w:rsidP="00C17A2A">
            <w:pPr>
              <w:ind w:right="319"/>
              <w:contextualSpacing/>
              <w:rPr>
                <w:i/>
              </w:rPr>
            </w:pPr>
            <w:r w:rsidRPr="0042446F">
              <w:rPr>
                <w:i/>
              </w:rPr>
              <w:t>Book Chapters</w:t>
            </w:r>
          </w:p>
        </w:tc>
      </w:tr>
      <w:tr w:rsidR="00606819" w14:paraId="47864976" w14:textId="77777777" w:rsidTr="00C17A2A">
        <w:tc>
          <w:tcPr>
            <w:tcW w:w="9209" w:type="dxa"/>
          </w:tcPr>
          <w:p w14:paraId="647715A5" w14:textId="77777777" w:rsidR="00606819" w:rsidRDefault="00606819" w:rsidP="00C17A2A">
            <w:pPr>
              <w:ind w:right="319"/>
              <w:contextualSpacing/>
            </w:pPr>
            <w:r w:rsidRPr="0042446F">
              <w:t>(2017) "The Colossi" in Jaime Banks, Robert Mejia, Aubrey Adams (eds.) </w:t>
            </w:r>
            <w:r w:rsidRPr="0042446F">
              <w:rPr>
                <w:i/>
                <w:iCs/>
              </w:rPr>
              <w:t>100 Greatest Videogame Characters </w:t>
            </w:r>
            <w:r w:rsidRPr="0042446F">
              <w:t>(MD: Rowman and Littlefield). </w:t>
            </w:r>
          </w:p>
        </w:tc>
      </w:tr>
      <w:tr w:rsidR="00606819" w14:paraId="404DCFBA" w14:textId="77777777" w:rsidTr="00C17A2A">
        <w:tc>
          <w:tcPr>
            <w:tcW w:w="9209" w:type="dxa"/>
          </w:tcPr>
          <w:p w14:paraId="05BD0AA3" w14:textId="77777777" w:rsidR="00606819" w:rsidRDefault="00606819" w:rsidP="00C17A2A">
            <w:pPr>
              <w:ind w:right="319"/>
              <w:contextualSpacing/>
            </w:pPr>
          </w:p>
        </w:tc>
      </w:tr>
      <w:tr w:rsidR="00606819" w:rsidRPr="0042446F" w14:paraId="3117DA69" w14:textId="77777777" w:rsidTr="00C17A2A">
        <w:tc>
          <w:tcPr>
            <w:tcW w:w="9209" w:type="dxa"/>
          </w:tcPr>
          <w:p w14:paraId="598DD456" w14:textId="77777777" w:rsidR="00606819" w:rsidRPr="0042446F" w:rsidRDefault="00606819" w:rsidP="00C17A2A">
            <w:pPr>
              <w:ind w:right="319"/>
              <w:contextualSpacing/>
              <w:rPr>
                <w:i/>
              </w:rPr>
            </w:pPr>
            <w:r w:rsidRPr="0042446F">
              <w:rPr>
                <w:i/>
              </w:rPr>
              <w:t>Book reviews</w:t>
            </w:r>
          </w:p>
        </w:tc>
      </w:tr>
      <w:tr w:rsidR="00606819" w14:paraId="7BAA7667" w14:textId="77777777" w:rsidTr="00C17A2A">
        <w:tc>
          <w:tcPr>
            <w:tcW w:w="9209" w:type="dxa"/>
          </w:tcPr>
          <w:p w14:paraId="7B22A896" w14:textId="77777777" w:rsidR="00606819" w:rsidRDefault="00606819" w:rsidP="00C17A2A">
            <w:pPr>
              <w:ind w:right="319"/>
              <w:contextualSpacing/>
            </w:pPr>
            <w:r w:rsidRPr="0042446F">
              <w:t>(2016) "Our Combative Past and Co-operative Future: Review of The Play Versus Story Divide in Game Studies: Critical Essays", Press-Start, Vol 3. Issue 2. </w:t>
            </w:r>
          </w:p>
        </w:tc>
      </w:tr>
      <w:tr w:rsidR="00606819" w14:paraId="28E79E83" w14:textId="77777777" w:rsidTr="00C17A2A">
        <w:tc>
          <w:tcPr>
            <w:tcW w:w="9209" w:type="dxa"/>
          </w:tcPr>
          <w:p w14:paraId="558D4D9F" w14:textId="77777777" w:rsidR="00606819" w:rsidRDefault="00606819" w:rsidP="00C17A2A">
            <w:pPr>
              <w:ind w:right="319"/>
              <w:contextualSpacing/>
            </w:pPr>
          </w:p>
        </w:tc>
      </w:tr>
      <w:tr w:rsidR="00606819" w14:paraId="42E76199" w14:textId="77777777" w:rsidTr="00C17A2A">
        <w:tc>
          <w:tcPr>
            <w:tcW w:w="9209" w:type="dxa"/>
          </w:tcPr>
          <w:p w14:paraId="56804330" w14:textId="77777777" w:rsidR="00C76879" w:rsidRDefault="00606819" w:rsidP="00C76879">
            <w:pPr>
              <w:ind w:right="319"/>
              <w:contextualSpacing/>
            </w:pPr>
            <w:r w:rsidRPr="0042446F">
              <w:t>(2016) "Book Review: Shigeru Miyamoto: Super Mario Bros., Donkey Kong, The Legend of Zelda", Cultural Sociology, Vol 10, Issue 4. </w:t>
            </w:r>
            <w:r w:rsidR="00C76879">
              <w:t>Book reviews</w:t>
            </w:r>
          </w:p>
          <w:p w14:paraId="5F91F802" w14:textId="77777777" w:rsidR="00C76879" w:rsidRDefault="00C76879" w:rsidP="00C76879">
            <w:pPr>
              <w:ind w:right="319"/>
              <w:contextualSpacing/>
            </w:pPr>
          </w:p>
          <w:p w14:paraId="37FEF553" w14:textId="671C7E62" w:rsidR="00C76879" w:rsidRPr="00C76879" w:rsidRDefault="00C76879" w:rsidP="00C76879">
            <w:pPr>
              <w:ind w:right="319"/>
              <w:contextualSpacing/>
              <w:rPr>
                <w:i/>
              </w:rPr>
            </w:pPr>
            <w:r>
              <w:rPr>
                <w:i/>
              </w:rPr>
              <w:t>Projects</w:t>
            </w:r>
          </w:p>
          <w:p w14:paraId="119E73D0" w14:textId="214E1340" w:rsidR="00C76879" w:rsidRDefault="00C76879" w:rsidP="00C76879">
            <w:pPr>
              <w:ind w:right="319"/>
              <w:contextualSpacing/>
            </w:pPr>
            <w:r>
              <w:t>(201</w:t>
            </w:r>
            <w:r>
              <w:t>8</w:t>
            </w:r>
            <w:r>
              <w:t xml:space="preserve">) </w:t>
            </w:r>
            <w:r>
              <w:t>Poet Tarot Reader (online project with the University of Glasgow Creative Writing Department) www.poettarotreader.com</w:t>
            </w:r>
          </w:p>
          <w:p w14:paraId="06CDB135" w14:textId="77777777" w:rsidR="00C76879" w:rsidRDefault="00C76879" w:rsidP="00C76879">
            <w:pPr>
              <w:ind w:right="319"/>
              <w:contextualSpacing/>
            </w:pPr>
          </w:p>
          <w:p w14:paraId="58B8C195" w14:textId="0C563BF1" w:rsidR="00606819" w:rsidRDefault="00C76879" w:rsidP="00C76879">
            <w:pPr>
              <w:ind w:right="319"/>
              <w:contextualSpacing/>
            </w:pPr>
            <w:r>
              <w:t>(201</w:t>
            </w:r>
            <w:r>
              <w:t>8</w:t>
            </w:r>
            <w:r>
              <w:t xml:space="preserve">) </w:t>
            </w:r>
            <w:r>
              <w:t xml:space="preserve">Think in Translation (project with Glasgow publisher, Vagabond Voices) </w:t>
            </w:r>
            <w:r w:rsidRPr="00C76879">
              <w:t>https://www.vagabondvoices.co.uk/think-in-translation-home</w:t>
            </w:r>
            <w:bookmarkStart w:id="0" w:name="_GoBack"/>
            <w:bookmarkEnd w:id="0"/>
          </w:p>
        </w:tc>
      </w:tr>
    </w:tbl>
    <w:p w14:paraId="61EB1B78" w14:textId="77777777" w:rsidR="00606819" w:rsidRDefault="00606819"/>
    <w:sectPr w:rsidR="0060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9"/>
    <w:rsid w:val="00606819"/>
    <w:rsid w:val="00C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0D49"/>
  <w15:chartTrackingRefBased/>
  <w15:docId w15:val="{08AAC9BF-A868-403B-ACF6-4DF21735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2</cp:revision>
  <dcterms:created xsi:type="dcterms:W3CDTF">2018-05-14T11:53:00Z</dcterms:created>
  <dcterms:modified xsi:type="dcterms:W3CDTF">2018-05-14T11:59:00Z</dcterms:modified>
</cp:coreProperties>
</file>