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The</w:t>
      </w:r>
      <w:r>
        <w:t xml:space="preserve"> </w:t>
      </w:r>
      <w:r>
        <w:t xml:space="preserve">CBAM</w:t>
      </w:r>
      <w:r>
        <w:t xml:space="preserve"> </w:t>
      </w:r>
      <w:r>
        <w:t xml:space="preserve">Policy</w:t>
      </w:r>
      <w:r>
        <w:t xml:space="preserve"> </w:t>
      </w:r>
      <w:r>
        <w:t xml:space="preserve">Tool:</w:t>
      </w:r>
      <w:r>
        <w:t xml:space="preserve"> </w:t>
      </w:r>
      <w:r>
        <w:t xml:space="preserve">a</w:t>
      </w:r>
      <w:r>
        <w:t xml:space="preserve"> </w:t>
      </w:r>
      <w:r>
        <w:t xml:space="preserve">guide</w:t>
      </w:r>
    </w:p>
    <w:bookmarkStart w:id="20" w:name="what-the-tool-is"/>
    <w:p>
      <w:pPr>
        <w:pStyle w:val="Heading1"/>
        <w:widowControl/>
      </w:pPr>
      <w:r>
        <w:t xml:space="preserve">1. What the tool is</w:t>
      </w:r>
    </w:p>
    <w:p>
      <w:pPr>
        <w:pStyle w:val="FirstParagraph"/>
        <w:widowControl/>
      </w:pPr>
      <w:r>
        <w:t xml:space="preserve">The CBAM Policy Tool is an Excel workbook that estimates what a domestic carbon price does to a country’s heavy industry and to the EU border charge its exporters will face under the Carbon Border Adjustment Mechanism (CBAM). It was built for Egypt and is set up for the seven CBAM goods Egypt makes: DRI-EAF steel, scrap-EAF steel, gray clinker, ammonia, urea, ammonium nitrate and primary aluminum. Every input sits in a marked cell with its source, so the same workbook can be re-pointed at another country or another set of products.</w:t>
      </w:r>
    </w:p>
    <w:p>
      <w:pPr>
        <w:pStyle w:val="BodyText"/>
        <w:widowControl/>
      </w:pPr>
      <w:r>
        <w:t xml:space="preserve">For each policy scenario the tool reports, for a chosen year:</w:t>
      </w:r>
    </w:p>
    <w:p>
      <w:pPr>
        <w:widowControl/>
        <w:numPr>
          <w:ilvl w:val="0"/>
          <w:numId w:val="1001"/>
        </w:numPr>
        <w:pStyle w:val="Compact"/>
      </w:pPr>
      <w:r>
        <w:rPr>
          <w:bCs/>
          <w:b/>
        </w:rPr>
        <w:t xml:space="preserve">Emissions of the CBAM goods</w:t>
      </w:r>
      <w:r>
        <w:t xml:space="preserve">, split into the change from lower output and the change from lower emissions per tonne.</w:t>
      </w:r>
    </w:p>
    <w:p>
      <w:pPr>
        <w:widowControl/>
        <w:numPr>
          <w:ilvl w:val="0"/>
          <w:numId w:val="1001"/>
        </w:numPr>
        <w:pStyle w:val="Compact"/>
      </w:pPr>
      <w:r>
        <w:rPr>
          <w:bCs/>
          <w:b/>
        </w:rPr>
        <w:t xml:space="preserve">The EU border charge per tonne exported</w:t>
      </w:r>
      <w:r>
        <w:t xml:space="preserve">, split into the part from cleaner production and the part from crediting the domestic carbon price.</w:t>
      </w:r>
    </w:p>
    <w:p>
      <w:pPr>
        <w:widowControl/>
        <w:numPr>
          <w:ilvl w:val="0"/>
          <w:numId w:val="1001"/>
        </w:numPr>
        <w:pStyle w:val="Compact"/>
      </w:pPr>
      <w:r>
        <w:rPr>
          <w:bCs/>
          <w:b/>
        </w:rPr>
        <w:t xml:space="preserve">Carbon revenue</w:t>
      </w:r>
      <w:r>
        <w:t xml:space="preserve"> </w:t>
      </w:r>
      <w:r>
        <w:t xml:space="preserve">from the goods, and the effect of rebates or an abatement fund.</w:t>
      </w:r>
    </w:p>
    <w:p>
      <w:pPr>
        <w:widowControl/>
        <w:numPr>
          <w:ilvl w:val="0"/>
          <w:numId w:val="1001"/>
        </w:numPr>
        <w:pStyle w:val="Compact"/>
      </w:pPr>
      <w:r>
        <w:rPr>
          <w:bCs/>
          <w:b/>
        </w:rPr>
        <w:t xml:space="preserve">National totals</w:t>
      </w:r>
      <w:r>
        <w:t xml:space="preserve"> </w:t>
      </w:r>
      <w:r>
        <w:t xml:space="preserve">(coverage, emission cut, deaths avoided) when the tool is linked to a CPAT run for the rest of the economy.</w:t>
      </w:r>
    </w:p>
    <w:p>
      <w:pPr>
        <w:pStyle w:val="FirstParagraph"/>
        <w:widowControl/>
      </w:pPr>
      <w:r>
        <w:t xml:space="preserve">The tool answers three practical questions: how much does a carbon price cut the border charge, how much of that comes from the price itself rather than from abatement, and what do rebates and funds do to the credit.</w:t>
      </w:r>
    </w:p>
    <w:bookmarkEnd w:id="20"/>
    <w:bookmarkStart w:id="21" w:name="the-policy-question-it-is-built-for"/>
    <w:p>
      <w:pPr>
        <w:pStyle w:val="Heading1"/>
        <w:widowControl/>
      </w:pPr>
      <w:r>
        <w:t xml:space="preserve">2. The policy question it is built for</w:t>
      </w:r>
    </w:p>
    <w:p>
      <w:pPr>
        <w:pStyle w:val="FirstParagraph"/>
        <w:widowControl/>
      </w:pPr>
      <w:r>
        <w:t xml:space="preserve">Under the CBAM, an EU importer pays the EU carbon price on the emissions embedded in each tonne of steel, cement, fertilizer or aluminum, less any carbon price already paid in the country of origin. An exporting country can therefore lower the charge in two ways: by making the goods cleaner, or by charging its own carbon price, which the EU credits. The second is often the larger effect. At the standard EU price of $100 per tonne used here, a $20 domestic price on all CBAM emissions takes about 20% off the charge, before any abatement.</w:t>
      </w:r>
    </w:p>
    <w:p>
      <w:pPr>
        <w:pStyle w:val="BodyText"/>
        <w:widowControl/>
      </w:pPr>
      <w:r>
        <w:t xml:space="preserve">How the domestic price is designed matters for the credit. An explicit carbon price counts. An output-based rebate (a feebate that returns the charge per tonne of output) is treated as making the price ineligible under the current reading of the rules. An abatement fund financed by the price neither adds to the credit nor removes it. The tool has a switch for each.</w:t>
      </w:r>
    </w:p>
    <w:bookmarkEnd w:id="21"/>
    <w:bookmarkStart w:id="22" w:name="how-it-works"/>
    <w:p>
      <w:pPr>
        <w:pStyle w:val="Heading1"/>
        <w:widowControl/>
      </w:pPr>
      <w:r>
        <w:t xml:space="preserve">3. How it works</w:t>
      </w:r>
    </w:p>
    <w:p>
      <w:pPr>
        <w:pStyle w:val="FirstParagraph"/>
        <w:widowControl/>
      </w:pPr>
      <w:r>
        <w:t xml:space="preserve">The tool has three parts, in three sheets.</w:t>
      </w:r>
    </w:p>
    <w:p>
      <w:pPr>
        <w:pStyle w:val="BodyText"/>
        <w:widowControl/>
      </w:pPr>
      <w:r>
        <w:rPr>
          <w:bCs/>
          <w:b/>
        </w:rPr>
        <w:t xml:space="preserve">Product detail: the CBAM goods, one by one.</w:t>
      </w:r>
      <w:r>
        <w:t xml:space="preserve"> </w:t>
      </w:r>
      <w:r>
        <w:t xml:space="preserve">For each product, the baseline is 2024 output grown to the target year, times fixed emission factors per tonne for fuel burned, fuel used as feedstock or reductant, process CO2 and non-CO2 gases. A carbon price then acts through three responses, each with its own parameter:</w:t>
      </w:r>
    </w:p>
    <w:p>
      <w:pPr>
        <w:widowControl/>
        <w:numPr>
          <w:ilvl w:val="0"/>
          <w:numId w:val="1002"/>
        </w:numPr>
        <w:pStyle w:val="Compact"/>
      </w:pPr>
      <w:r>
        <w:rPr>
          <w:bCs/>
          <w:b/>
        </w:rPr>
        <w:t xml:space="preserve">Output</w:t>
      </w:r>
      <w:r>
        <w:t xml:space="preserve"> </w:t>
      </w:r>
      <w:r>
        <w:t xml:space="preserve">falls along a constant-elasticity demand curve with the net carbon cost as a share of the product price. The elasticities are small (−0.1 for clinker, −0.4 for steel and fertilizers, −0.5 for aluminum), so output moves little except for cement, where carbon is about half the clinker price.</w:t>
      </w:r>
    </w:p>
    <w:p>
      <w:pPr>
        <w:widowControl/>
        <w:numPr>
          <w:ilvl w:val="0"/>
          <w:numId w:val="1002"/>
        </w:numPr>
        <w:pStyle w:val="Compact"/>
      </w:pPr>
      <w:r>
        <w:rPr>
          <w:bCs/>
          <w:b/>
        </w:rPr>
        <w:t xml:space="preserve">Fuel emissions per tonne</w:t>
      </w:r>
      <w:r>
        <w:t xml:space="preserve"> </w:t>
      </w:r>
      <w:r>
        <w:t xml:space="preserve">fall by a semi-elasticity of 0.0057 per dollar, so about 11% at $20. This is taken from CPAT’s industry fuel response net of the output effect, and sits inside the range in the literature (0.0037 to 0.0075).</w:t>
      </w:r>
    </w:p>
    <w:p>
      <w:pPr>
        <w:widowControl/>
        <w:numPr>
          <w:ilvl w:val="0"/>
          <w:numId w:val="1002"/>
        </w:numPr>
        <w:pStyle w:val="Compact"/>
      </w:pPr>
      <w:r>
        <w:rPr>
          <w:bCs/>
          <w:b/>
        </w:rPr>
        <w:t xml:space="preserve">Process emissions per tonne</w:t>
      </w:r>
      <w:r>
        <w:t xml:space="preserve"> </w:t>
      </w:r>
      <w:r>
        <w:t xml:space="preserve">fall by product-specific semi-elasticities fitted to IPCC abatement-cost data.</w:t>
      </w:r>
    </w:p>
    <w:p>
      <w:pPr>
        <w:pStyle w:val="FirstParagraph"/>
        <w:widowControl/>
      </w:pPr>
      <w:r>
        <w:rPr>
          <w:bCs/>
          <w:b/>
        </w:rPr>
        <w:t xml:space="preserve">Calculations: the CBAM obligation and the walks.</w:t>
      </w:r>
      <w:r>
        <w:t xml:space="preserve"> </w:t>
      </w:r>
      <w:r>
        <w:t xml:space="preserve">The obligation per tonne exported is the EU carbon price times the export-weighted emissions intensity, less the domestic carbon price actually paid per tonne where it is eligible. The tool reports the change in this obligation and splits it into the intensity part and the credit part, with a one-line check: change ≈ −r − (1 − r) × τ^EGY ÷ τ^EU, where r is the fall in export intensity, τ^EGY the domestic price credited and τ^EU the EU price. When a CPAT run is attached, the same sheet walks from CPAT’s national results to the final results in a few labeled steps, replacing CPAT’s rough treatment of the CBAM goods with the product calculation.</w:t>
      </w:r>
    </w:p>
    <w:p>
      <w:pPr>
        <w:pStyle w:val="BodyText"/>
        <w:widowControl/>
      </w:pPr>
      <w:r>
        <w:rPr>
          <w:bCs/>
          <w:b/>
        </w:rPr>
        <w:t xml:space="preserve">Results: one table.</w:t>
      </w:r>
      <w:r>
        <w:t xml:space="preserve"> </w:t>
      </w:r>
      <w:r>
        <w:t xml:space="preserve">The Results sheet repeats the final line of each walk for the six scenarios, with a note on every row. A second block shows the same results with partial adjustment, for a price that has not been in force long enough for the full long-run response.</w:t>
      </w:r>
    </w:p>
    <w:bookmarkEnd w:id="22"/>
    <w:bookmarkStart w:id="23" w:name="inputs-and-sources"/>
    <w:p>
      <w:pPr>
        <w:pStyle w:val="Heading1"/>
        <w:widowControl/>
      </w:pPr>
      <w:r>
        <w:t xml:space="preserve">4. Inputs and sources</w:t>
      </w:r>
    </w:p>
    <w:p>
      <w:pPr>
        <w:pStyle w:val="FirstParagraph"/>
        <w:widowControl/>
      </w:pPr>
      <w:r>
        <w:t xml:space="preserve">Inputs are typed in blue cells and grouped in two places: scenario settings and single parameters at the top of the Calculations sheet, and product data at the top of the Product detail sheet. The Inputs sheet lists all 66 of them with value, cell, use, source, link and a status (sourced, derived, policy choice, assumption or judgment); the Sources sheet holds the bibliography and the Gaps sheet lists the inputs that still rest on judgment.</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701"/>
        <w:gridCol w:w="3742"/>
        <w:gridCol w:w="3855"/>
      </w:tblGrid>
      <w:tr>
        <w:trPr>
          <w:tblHeader w:val="true"/>
          <w:cantSplit/>
        </w:trPr>
        <w:tc>
          <w:tcPr>
            <w:tcW w:type="dxa" w:w="1701"/>
            <w:shd w:val="clear" w:fill="D9E2F3"/>
          </w:tcPr>
          <w:p>
            <w:pPr>
              <w:pStyle w:val="Compact"/>
              <w:spacing w:after="0"/>
              <w:jc w:val="left"/>
            </w:pPr>
            <w:r>
              <w:rPr>
                <w:b/>
                <w:sz w:val="18"/>
              </w:rPr>
              <w:t xml:space="preserve">Group</w:t>
            </w:r>
          </w:p>
        </w:tc>
        <w:tc>
          <w:tcPr>
            <w:tcW w:type="dxa" w:w="3742"/>
            <w:shd w:val="clear" w:fill="D9E2F3"/>
          </w:tcPr>
          <w:p>
            <w:pPr>
              <w:pStyle w:val="Compact"/>
              <w:spacing w:after="0"/>
              <w:jc w:val="left"/>
            </w:pPr>
            <w:r>
              <w:rPr>
                <w:b/>
                <w:sz w:val="18"/>
              </w:rPr>
              <w:t xml:space="preserve">What is set</w:t>
            </w:r>
          </w:p>
        </w:tc>
        <w:tc>
          <w:tcPr>
            <w:tcW w:type="dxa" w:w="3855"/>
            <w:shd w:val="clear" w:fill="D9E2F3"/>
          </w:tcPr>
          <w:p>
            <w:pPr>
              <w:pStyle w:val="Compact"/>
              <w:spacing w:after="0"/>
              <w:jc w:val="left"/>
            </w:pPr>
            <w:r>
              <w:rPr>
                <w:b/>
                <w:sz w:val="18"/>
              </w:rPr>
              <w:t xml:space="preserve">Egypt values and sources</w:t>
            </w:r>
          </w:p>
        </w:tc>
      </w:tr>
      <w:tr>
        <w:trPr>
          <w:cantSplit/>
        </w:trPr>
        <w:tc>
          <w:tcPr>
            <w:tcW w:type="dxa" w:w="1701"/>
          </w:tcPr>
          <w:p>
            <w:pPr>
              <w:pStyle w:val="Compact"/>
              <w:spacing w:after="0"/>
              <w:jc w:val="left"/>
            </w:pPr>
            <w:r>
              <w:rPr>
                <w:sz w:val="18"/>
              </w:rPr>
              <w:t xml:space="preserve">Scenario design</w:t>
            </w:r>
          </w:p>
        </w:tc>
        <w:tc>
          <w:tcPr>
            <w:tcW w:type="dxa" w:w="3742"/>
          </w:tcPr>
          <w:p>
            <w:pPr>
              <w:pStyle w:val="Compact"/>
              <w:spacing w:after="0"/>
              <w:jc w:val="left"/>
            </w:pPr>
            <w:r>
              <w:rPr>
                <w:sz w:val="18"/>
              </w:rPr>
              <w:t xml:space="preserve">Carbon price; whether process emissions are priced; rebate share; fund switch; fund shadow price</w:t>
            </w:r>
          </w:p>
        </w:tc>
        <w:tc>
          <w:tcPr>
            <w:tcW w:type="dxa" w:w="3855"/>
          </w:tcPr>
          <w:p>
            <w:pPr>
              <w:pStyle w:val="Compact"/>
              <w:spacing w:after="0"/>
              <w:jc w:val="left"/>
            </w:pPr>
            <w:r>
              <w:rPr>
                <w:sz w:val="18"/>
              </w:rPr>
              <w:t xml:space="preserve">$20/t in 2030; switches by scenario; fund at $20 (study design)</w:t>
            </w:r>
          </w:p>
        </w:tc>
      </w:tr>
      <w:tr>
        <w:trPr>
          <w:cantSplit/>
        </w:trPr>
        <w:tc>
          <w:tcPr>
            <w:tcW w:type="dxa" w:w="1701"/>
          </w:tcPr>
          <w:p>
            <w:pPr>
              <w:pStyle w:val="Compact"/>
              <w:spacing w:after="0"/>
              <w:jc w:val="left"/>
            </w:pPr>
            <w:r>
              <w:rPr>
                <w:sz w:val="18"/>
              </w:rPr>
              <w:t xml:space="preserve">EU side</w:t>
            </w:r>
          </w:p>
        </w:tc>
        <w:tc>
          <w:tcPr>
            <w:tcW w:type="dxa" w:w="3742"/>
          </w:tcPr>
          <w:p>
            <w:pPr>
              <w:pStyle w:val="Compact"/>
              <w:spacing w:after="0"/>
              <w:jc w:val="left"/>
            </w:pPr>
            <w:r>
              <w:rPr>
                <w:sz w:val="18"/>
              </w:rPr>
              <w:t xml:space="preserve">EU carbon price; phase-in factor; credit rules</w:t>
            </w:r>
          </w:p>
        </w:tc>
        <w:tc>
          <w:tcPr>
            <w:tcW w:type="dxa" w:w="3855"/>
          </w:tcPr>
          <w:p>
            <w:pPr>
              <w:pStyle w:val="Compact"/>
              <w:spacing w:after="0"/>
              <w:jc w:val="left"/>
            </w:pPr>
            <w:r>
              <w:rPr>
                <w:sz w:val="18"/>
              </w:rPr>
              <w:t xml:space="preserve">$100/t with no phase-in, as if the CBAM were fully in force (study assumption)</w:t>
            </w:r>
          </w:p>
        </w:tc>
      </w:tr>
      <w:tr>
        <w:trPr>
          <w:cantSplit/>
        </w:trPr>
        <w:tc>
          <w:tcPr>
            <w:tcW w:type="dxa" w:w="1701"/>
          </w:tcPr>
          <w:p>
            <w:pPr>
              <w:pStyle w:val="Compact"/>
              <w:spacing w:after="0"/>
              <w:jc w:val="left"/>
            </w:pPr>
            <w:r>
              <w:rPr>
                <w:sz w:val="18"/>
              </w:rPr>
              <w:t xml:space="preserve">Product output</w:t>
            </w:r>
          </w:p>
        </w:tc>
        <w:tc>
          <w:tcPr>
            <w:tcW w:type="dxa" w:w="3742"/>
          </w:tcPr>
          <w:p>
            <w:pPr>
              <w:pStyle w:val="Compact"/>
              <w:spacing w:after="0"/>
              <w:jc w:val="left"/>
            </w:pPr>
            <w:r>
              <w:rPr>
                <w:sz w:val="18"/>
              </w:rPr>
              <w:t xml:space="preserve">2024 output and growth to the target year, by product</w:t>
            </w:r>
          </w:p>
        </w:tc>
        <w:tc>
          <w:tcPr>
            <w:tcW w:type="dxa" w:w="3855"/>
          </w:tcPr>
          <w:p>
            <w:pPr>
              <w:pStyle w:val="Compact"/>
              <w:spacing w:after="0"/>
              <w:jc w:val="left"/>
            </w:pPr>
            <w:r>
              <w:rPr>
                <w:sz w:val="18"/>
              </w:rPr>
              <w:t xml:space="preserve">Midrex, worldsteel, World Cement Association, USGS, Argus, Egyptalum; IMF growth forecasts</w:t>
            </w:r>
          </w:p>
        </w:tc>
      </w:tr>
      <w:tr>
        <w:trPr>
          <w:cantSplit/>
        </w:trPr>
        <w:tc>
          <w:tcPr>
            <w:tcW w:type="dxa" w:w="1701"/>
          </w:tcPr>
          <w:p>
            <w:pPr>
              <w:pStyle w:val="Compact"/>
              <w:spacing w:after="0"/>
              <w:jc w:val="left"/>
            </w:pPr>
            <w:r>
              <w:rPr>
                <w:sz w:val="18"/>
              </w:rPr>
              <w:t xml:space="preserve">Prices</w:t>
            </w:r>
          </w:p>
        </w:tc>
        <w:tc>
          <w:tcPr>
            <w:tcW w:type="dxa" w:w="3742"/>
          </w:tcPr>
          <w:p>
            <w:pPr>
              <w:pStyle w:val="Compact"/>
              <w:spacing w:after="0"/>
              <w:jc w:val="left"/>
            </w:pPr>
            <w:r>
              <w:rPr>
                <w:sz w:val="18"/>
              </w:rPr>
              <w:t xml:space="preserve">Product prices, for the carbon cost as a share of price</w:t>
            </w:r>
          </w:p>
        </w:tc>
        <w:tc>
          <w:tcPr>
            <w:tcW w:type="dxa" w:w="3855"/>
          </w:tcPr>
          <w:p>
            <w:pPr>
              <w:pStyle w:val="Compact"/>
              <w:spacing w:after="0"/>
              <w:jc w:val="left"/>
            </w:pPr>
            <w:r>
              <w:rPr>
                <w:sz w:val="18"/>
              </w:rPr>
              <w:t xml:space="preserve">SteelOrbis, CW Research, Argus, World Bank Pink Sheet, Egyptalum</w:t>
            </w:r>
          </w:p>
        </w:tc>
      </w:tr>
      <w:tr>
        <w:trPr>
          <w:cantSplit/>
        </w:trPr>
        <w:tc>
          <w:tcPr>
            <w:tcW w:type="dxa" w:w="1701"/>
          </w:tcPr>
          <w:p>
            <w:pPr>
              <w:pStyle w:val="Compact"/>
              <w:spacing w:after="0"/>
              <w:jc w:val="left"/>
            </w:pPr>
            <w:r>
              <w:rPr>
                <w:sz w:val="18"/>
              </w:rPr>
              <w:t xml:space="preserve">Emission factors</w:t>
            </w:r>
          </w:p>
        </w:tc>
        <w:tc>
          <w:tcPr>
            <w:tcW w:type="dxa" w:w="3742"/>
          </w:tcPr>
          <w:p>
            <w:pPr>
              <w:pStyle w:val="Compact"/>
              <w:spacing w:after="0"/>
              <w:jc w:val="left"/>
            </w:pPr>
            <w:r>
              <w:rPr>
                <w:sz w:val="18"/>
              </w:rPr>
              <w:t xml:space="preserve">Four factors per product on CBAM boundaries</w:t>
            </w:r>
          </w:p>
        </w:tc>
        <w:tc>
          <w:tcPr>
            <w:tcW w:type="dxa" w:w="3855"/>
          </w:tcPr>
          <w:p>
            <w:pPr>
              <w:pStyle w:val="Compact"/>
              <w:spacing w:after="0"/>
              <w:jc w:val="left"/>
            </w:pPr>
            <w:r>
              <w:rPr>
                <w:sz w:val="18"/>
              </w:rPr>
              <w:t xml:space="preserve">IPCC 2006 defaults and chemistry, calibrated to Egyptian technology; EBRD cement roadmap</w:t>
            </w:r>
          </w:p>
        </w:tc>
      </w:tr>
      <w:tr>
        <w:trPr>
          <w:cantSplit/>
        </w:trPr>
        <w:tc>
          <w:tcPr>
            <w:tcW w:type="dxa" w:w="1701"/>
          </w:tcPr>
          <w:p>
            <w:pPr>
              <w:pStyle w:val="Compact"/>
              <w:spacing w:after="0"/>
              <w:jc w:val="left"/>
            </w:pPr>
            <w:r>
              <w:rPr>
                <w:sz w:val="18"/>
              </w:rPr>
              <w:t xml:space="preserve">Responses</w:t>
            </w:r>
          </w:p>
        </w:tc>
        <w:tc>
          <w:tcPr>
            <w:tcW w:type="dxa" w:w="3742"/>
          </w:tcPr>
          <w:p>
            <w:pPr>
              <w:pStyle w:val="Compact"/>
              <w:spacing w:after="0"/>
              <w:jc w:val="left"/>
            </w:pPr>
            <w:r>
              <w:rPr>
                <w:sz w:val="18"/>
              </w:rPr>
              <w:t xml:space="preserve">Output elasticities; fuel and process semi-elasticities</w:t>
            </w:r>
          </w:p>
        </w:tc>
        <w:tc>
          <w:tcPr>
            <w:tcW w:type="dxa" w:w="3855"/>
          </w:tcPr>
          <w:p>
            <w:pPr>
              <w:pStyle w:val="Compact"/>
              <w:spacing w:after="0"/>
              <w:jc w:val="left"/>
            </w:pPr>
            <w:r>
              <w:rPr>
                <w:sz w:val="18"/>
              </w:rPr>
              <w:t xml:space="preserve">Study judgment (output); CPAT residual checked against the literature (fuel); IPCC AR6 and AR4 (process)</w:t>
            </w:r>
          </w:p>
        </w:tc>
      </w:tr>
      <w:tr>
        <w:trPr>
          <w:cantSplit/>
        </w:trPr>
        <w:tc>
          <w:tcPr>
            <w:tcW w:type="dxa" w:w="1701"/>
          </w:tcPr>
          <w:p>
            <w:pPr>
              <w:pStyle w:val="Compact"/>
              <w:spacing w:after="0"/>
              <w:jc w:val="left"/>
            </w:pPr>
            <w:r>
              <w:rPr>
                <w:sz w:val="18"/>
              </w:rPr>
              <w:t xml:space="preserve">EU exports</w:t>
            </w:r>
          </w:p>
        </w:tc>
        <w:tc>
          <w:tcPr>
            <w:tcW w:type="dxa" w:w="3742"/>
          </w:tcPr>
          <w:p>
            <w:pPr>
              <w:pStyle w:val="Compact"/>
              <w:spacing w:after="0"/>
              <w:jc w:val="left"/>
            </w:pPr>
            <w:r>
              <w:rPr>
                <w:sz w:val="18"/>
              </w:rPr>
              <w:t xml:space="preserve">Exports by product, as weights only</w:t>
            </w:r>
          </w:p>
        </w:tc>
        <w:tc>
          <w:tcPr>
            <w:tcW w:type="dxa" w:w="3855"/>
          </w:tcPr>
          <w:p>
            <w:pPr>
              <w:pStyle w:val="Compact"/>
              <w:spacing w:after="0"/>
              <w:jc w:val="left"/>
            </w:pPr>
            <w:r>
              <w:rPr>
                <w:sz w:val="18"/>
              </w:rPr>
              <w:t xml:space="preserve">UN Comtrade, EBRD, Egyptalum</w:t>
            </w:r>
          </w:p>
        </w:tc>
      </w:tr>
      <w:tr>
        <w:trPr>
          <w:cantSplit/>
        </w:trPr>
        <w:tc>
          <w:tcPr>
            <w:tcW w:type="dxa" w:w="1701"/>
          </w:tcPr>
          <w:p>
            <w:pPr>
              <w:pStyle w:val="Compact"/>
              <w:spacing w:after="0"/>
              <w:jc w:val="left"/>
            </w:pPr>
            <w:r>
              <w:rPr>
                <w:sz w:val="18"/>
              </w:rPr>
              <w:t xml:space="preserve">National totals</w:t>
            </w:r>
          </w:p>
        </w:tc>
        <w:tc>
          <w:tcPr>
            <w:tcW w:type="dxa" w:w="3742"/>
          </w:tcPr>
          <w:p>
            <w:pPr>
              <w:pStyle w:val="Compact"/>
              <w:spacing w:after="0"/>
              <w:jc w:val="left"/>
            </w:pPr>
            <w:r>
              <w:rPr>
                <w:sz w:val="18"/>
              </w:rPr>
              <w:t xml:space="preserve">Energy CO2 share of national GHG; CPAT runs</w:t>
            </w:r>
          </w:p>
        </w:tc>
        <w:tc>
          <w:tcPr>
            <w:tcW w:type="dxa" w:w="3855"/>
          </w:tcPr>
          <w:p>
            <w:pPr>
              <w:pStyle w:val="Compact"/>
              <w:spacing w:after="0"/>
              <w:jc w:val="left"/>
            </w:pPr>
            <w:r>
              <w:rPr>
                <w:sz w:val="18"/>
              </w:rPr>
              <w:t xml:space="preserve">Egypt’s 2022 GHG inventory; IMF–World Bank CPAT</w:t>
            </w:r>
          </w:p>
        </w:tc>
      </w:tr>
    </w:tbl>
    <w:bookmarkEnd w:id="23"/>
    <w:bookmarkStart w:id="24" w:name="using-the-tool"/>
    <w:p>
      <w:pPr>
        <w:pStyle w:val="Heading1"/>
        <w:widowControl/>
      </w:pPr>
      <w:r>
        <w:t xml:space="preserve">5. Using the tool</w:t>
      </w:r>
    </w:p>
    <w:p>
      <w:pPr>
        <w:pStyle w:val="FirstParagraph"/>
        <w:widowControl/>
      </w:pPr>
      <w:r>
        <w:rPr>
          <w:bCs/>
          <w:b/>
        </w:rPr>
        <w:t xml:space="preserve">To run a new scenario</w:t>
      </w:r>
      <w:r>
        <w:t xml:space="preserve"> </w:t>
      </w:r>
      <w:r>
        <w:t xml:space="preserve">set the carbon price and the three switches in the scenario columns at the top of the Calculations sheet. Results update at once.</w:t>
      </w:r>
    </w:p>
    <w:p>
      <w:pPr>
        <w:pStyle w:val="BodyText"/>
        <w:widowControl/>
      </w:pPr>
      <w:r>
        <w:rPr>
          <w:bCs/>
          <w:b/>
        </w:rPr>
        <w:t xml:space="preserve">To test a parameter</w:t>
      </w:r>
      <w:r>
        <w:t xml:space="preserve"> </w:t>
      </w:r>
      <w:r>
        <w:t xml:space="preserve">change the blue cell; the Results sheet and the Inputs register say what each one drives. Two cells are meant for this: the override for the fuel-intensity response (the literature value is 0.005) and the share of the long-run response achieved by the target year (100% for the long run; about 70% for a price in place for three years; about 40% for a price rising linearly over four years).</w:t>
      </w:r>
    </w:p>
    <w:p>
      <w:pPr>
        <w:pStyle w:val="BodyText"/>
        <w:widowControl/>
      </w:pPr>
      <w:r>
        <w:rPr>
          <w:bCs/>
          <w:b/>
        </w:rPr>
        <w:t xml:space="preserve">To move to another country</w:t>
      </w:r>
      <w:r>
        <w:t xml:space="preserve"> </w:t>
      </w:r>
      <w:r>
        <w:t xml:space="preserve">replace the product rows on the Product detail sheet (output, growth, prices, emission factors, exports) and the energy share of national GHG. The CBAM calculation needs nothing else. The national totals need a CPAT run for the new country, read into the Data sheet; without one, the tool still gives every result for the CBAM goods themselves.</w:t>
      </w:r>
    </w:p>
    <w:p>
      <w:pPr>
        <w:pStyle w:val="BodyText"/>
        <w:widowControl/>
      </w:pPr>
      <w:r>
        <w:rPr>
          <w:bCs/>
          <w:b/>
        </w:rPr>
        <w:t xml:space="preserve">To change the EU assumption</w:t>
      </w:r>
      <w:r>
        <w:t xml:space="preserve"> </w:t>
      </w:r>
      <w:r>
        <w:t xml:space="preserve">set the EU price and the phase-in factor. The tool uses a standard $100 with no phase-in; the regulation’s own schedule (48.5% of the obligation in 2030, rising to 100% in 2034) and a market forecast can be entered instead.</w:t>
      </w:r>
    </w:p>
    <w:bookmarkEnd w:id="24"/>
    <w:bookmarkStart w:id="25" w:name="what-the-tool-does-not-do"/>
    <w:p>
      <w:pPr>
        <w:pStyle w:val="Heading1"/>
        <w:widowControl/>
      </w:pPr>
      <w:r>
        <w:t xml:space="preserve">6. What the tool does not do</w:t>
      </w:r>
    </w:p>
    <w:p>
      <w:pPr>
        <w:widowControl/>
        <w:numPr>
          <w:ilvl w:val="0"/>
          <w:numId w:val="1003"/>
        </w:numPr>
        <w:pStyle w:val="Compact"/>
      </w:pPr>
      <w:r>
        <w:t xml:space="preserve">It has no trade model: export volumes are weights only, and leakage is not modeled.</w:t>
      </w:r>
    </w:p>
    <w:p>
      <w:pPr>
        <w:widowControl/>
        <w:numPr>
          <w:ilvl w:val="0"/>
          <w:numId w:val="1003"/>
        </w:numPr>
        <w:pStyle w:val="Compact"/>
      </w:pPr>
      <w:r>
        <w:t xml:space="preserve">Output responses are judgment elasticities, not estimated for Egypt.</w:t>
      </w:r>
    </w:p>
    <w:p>
      <w:pPr>
        <w:widowControl/>
        <w:numPr>
          <w:ilvl w:val="0"/>
          <w:numId w:val="1003"/>
        </w:numPr>
        <w:pStyle w:val="Compact"/>
      </w:pPr>
      <w:r>
        <w:t xml:space="preserve">Emission factors are technology averages, not plant data; the EU will use verified plant-level emissions.</w:t>
      </w:r>
    </w:p>
    <w:p>
      <w:pPr>
        <w:widowControl/>
        <w:numPr>
          <w:ilvl w:val="0"/>
          <w:numId w:val="1003"/>
        </w:numPr>
        <w:pStyle w:val="Compact"/>
      </w:pPr>
      <w:r>
        <w:t xml:space="preserve">Responses are long-run values; the partial-adjustment block scales them for shorter horizons but does not model the path.</w:t>
      </w:r>
    </w:p>
    <w:p>
      <w:pPr>
        <w:widowControl/>
        <w:numPr>
          <w:ilvl w:val="0"/>
          <w:numId w:val="1003"/>
        </w:numPr>
        <w:pStyle w:val="Compact"/>
      </w:pPr>
      <w:r>
        <w:t xml:space="preserve">The abatement fund is a fixed shadow price, not a solved program.</w:t>
      </w:r>
    </w:p>
    <w:p>
      <w:pPr>
        <w:widowControl/>
        <w:numPr>
          <w:ilvl w:val="0"/>
          <w:numId w:val="1003"/>
        </w:numPr>
        <w:pStyle w:val="Compact"/>
      </w:pPr>
      <w:r>
        <w:t xml:space="preserve">The credit rules for rebates and funds follow the current reading of the CBAM regulation, which may change.</w:t>
      </w:r>
    </w:p>
    <w:bookmarkEnd w:id="25"/>
    <w:bookmarkStart w:id="26" w:name="X13c81ca215be52b544dedb468ed50a9753d55b2"/>
    <w:p>
      <w:pPr>
        <w:pStyle w:val="Heading1"/>
        <w:widowControl/>
      </w:pPr>
      <w:r>
        <w:t xml:space="preserve">7. Results for Egypt (2030, long-run responses)</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041"/>
        <w:gridCol w:w="1927"/>
        <w:gridCol w:w="1701"/>
        <w:gridCol w:w="1247"/>
        <w:gridCol w:w="1247"/>
        <w:gridCol w:w="1134"/>
      </w:tblGrid>
      <w:tr>
        <w:trPr>
          <w:tblHeader w:val="true"/>
          <w:cantSplit/>
        </w:trPr>
        <w:tc>
          <w:tcPr>
            <w:tcW w:type="dxa" w:w="2041"/>
            <w:shd w:val="clear" w:fill="D9E2F3"/>
          </w:tcPr>
          <w:p>
            <w:pPr>
              <w:pStyle w:val="Compact"/>
              <w:spacing w:after="0"/>
              <w:jc w:val="left"/>
            </w:pPr>
            <w:r>
              <w:rPr>
                <w:b/>
                <w:sz w:val="18"/>
              </w:rPr>
              <w:t xml:space="preserve">Scenario</w:t>
            </w:r>
          </w:p>
        </w:tc>
        <w:tc>
          <w:tcPr>
            <w:tcW w:type="dxa" w:w="1928"/>
            <w:shd w:val="clear" w:fill="D9E2F3"/>
          </w:tcPr>
          <w:p>
            <w:pPr>
              <w:pStyle w:val="Compact"/>
              <w:spacing w:after="0"/>
              <w:jc w:val="left"/>
            </w:pPr>
            <w:r>
              <w:rPr>
                <w:b/>
                <w:sz w:val="18"/>
              </w:rPr>
              <w:t xml:space="preserve">What is priced</w:t>
            </w:r>
          </w:p>
        </w:tc>
        <w:tc>
          <w:tcPr>
            <w:tcW w:type="dxa" w:w="1701"/>
            <w:shd w:val="clear" w:fill="D9E2F3"/>
          </w:tcPr>
          <w:p>
            <w:pPr>
              <w:pStyle w:val="Compact"/>
              <w:spacing w:after="0"/>
              <w:jc w:val="left"/>
            </w:pPr>
            <w:r>
              <w:rPr>
                <w:b/>
                <w:sz w:val="18"/>
              </w:rPr>
              <w:t xml:space="preserve">Use of revenue</w:t>
            </w:r>
          </w:p>
        </w:tc>
        <w:tc>
          <w:tcPr>
            <w:tcW w:type="dxa" w:w="1247"/>
            <w:shd w:val="clear" w:fill="D9E2F3"/>
          </w:tcPr>
          <w:p>
            <w:pPr>
              <w:pStyle w:val="Compact"/>
              <w:spacing w:after="0"/>
              <w:jc w:val="right"/>
            </w:pPr>
            <w:r>
              <w:rPr>
                <w:b/>
                <w:sz w:val="18"/>
              </w:rPr>
              <w:t xml:space="preserve">Heavy-industry emissions</w:t>
            </w:r>
          </w:p>
        </w:tc>
        <w:tc>
          <w:tcPr>
            <w:tcW w:type="dxa" w:w="1247"/>
            <w:shd w:val="clear" w:fill="D9E2F3"/>
          </w:tcPr>
          <w:p>
            <w:pPr>
              <w:pStyle w:val="Compact"/>
              <w:spacing w:after="0"/>
              <w:jc w:val="right"/>
            </w:pPr>
            <w:r>
              <w:rPr>
                <w:b/>
                <w:sz w:val="18"/>
              </w:rPr>
              <w:t xml:space="preserve">Border charge per tonne</w:t>
            </w:r>
          </w:p>
        </w:tc>
        <w:tc>
          <w:tcPr>
            <w:tcW w:type="dxa" w:w="1134"/>
            <w:shd w:val="clear" w:fill="D9E2F3"/>
          </w:tcPr>
          <w:p>
            <w:pPr>
              <w:pStyle w:val="Compact"/>
              <w:spacing w:after="0"/>
              <w:jc w:val="right"/>
            </w:pPr>
            <w:r>
              <w:rPr>
                <w:b/>
                <w:sz w:val="18"/>
              </w:rPr>
              <w:t xml:space="preserve">Of which credit</w:t>
            </w:r>
          </w:p>
        </w:tc>
      </w:tr>
      <w:tr>
        <w:trPr>
          <w:cantSplit/>
        </w:trPr>
        <w:tc>
          <w:tcPr>
            <w:tcW w:type="dxa" w:w="2041"/>
          </w:tcPr>
          <w:p>
            <w:pPr>
              <w:pStyle w:val="Compact"/>
              <w:spacing w:after="0"/>
              <w:jc w:val="left"/>
            </w:pPr>
            <w:r>
              <w:rPr>
                <w:sz w:val="18"/>
              </w:rPr>
              <w:t xml:space="preserve">1A Comprehensive levy</w:t>
            </w:r>
          </w:p>
        </w:tc>
        <w:tc>
          <w:tcPr>
            <w:tcW w:type="dxa" w:w="1928"/>
          </w:tcPr>
          <w:p>
            <w:pPr>
              <w:pStyle w:val="Compact"/>
              <w:spacing w:after="0"/>
              <w:jc w:val="left"/>
            </w:pPr>
            <w:r>
              <w:rPr>
                <w:sz w:val="18"/>
              </w:rPr>
              <w:t xml:space="preserve">Energy CO2 plus CBAM process</w:t>
            </w:r>
          </w:p>
        </w:tc>
        <w:tc>
          <w:tcPr>
            <w:tcW w:type="dxa" w:w="1701"/>
          </w:tcPr>
          <w:p>
            <w:pPr>
              <w:pStyle w:val="Compact"/>
              <w:spacing w:after="0"/>
              <w:jc w:val="left"/>
            </w:pPr>
            <w:r>
              <w:rPr>
                <w:sz w:val="18"/>
              </w:rPr>
              <w:t xml:space="preserve">Public investment</w:t>
            </w:r>
          </w:p>
        </w:tc>
        <w:tc>
          <w:tcPr>
            <w:tcW w:type="dxa" w:w="1247"/>
          </w:tcPr>
          <w:p>
            <w:pPr>
              <w:pStyle w:val="Compact"/>
              <w:spacing w:after="0"/>
              <w:jc w:val="right"/>
            </w:pPr>
            <w:r>
              <w:rPr>
                <w:sz w:val="18"/>
              </w:rPr>
              <w:t xml:space="preserve">−12.1%</w:t>
            </w:r>
          </w:p>
        </w:tc>
        <w:tc>
          <w:tcPr>
            <w:tcW w:type="dxa" w:w="1247"/>
          </w:tcPr>
          <w:p>
            <w:pPr>
              <w:pStyle w:val="Compact"/>
              <w:spacing w:after="0"/>
              <w:jc w:val="right"/>
            </w:pPr>
            <w:r>
              <w:rPr>
                <w:sz w:val="18"/>
              </w:rPr>
              <w:t xml:space="preserve">−26.7%</w:t>
            </w:r>
          </w:p>
        </w:tc>
        <w:tc>
          <w:tcPr>
            <w:tcW w:type="dxa" w:w="1134"/>
          </w:tcPr>
          <w:p>
            <w:pPr>
              <w:pStyle w:val="Compact"/>
              <w:spacing w:after="0"/>
              <w:jc w:val="right"/>
            </w:pPr>
            <w:r>
              <w:rPr>
                <w:sz w:val="18"/>
              </w:rPr>
              <w:t xml:space="preserve">−18.3%</w:t>
            </w:r>
          </w:p>
        </w:tc>
      </w:tr>
      <w:tr>
        <w:trPr>
          <w:cantSplit/>
        </w:trPr>
        <w:tc>
          <w:tcPr>
            <w:tcW w:type="dxa" w:w="2041"/>
          </w:tcPr>
          <w:p>
            <w:pPr>
              <w:pStyle w:val="Compact"/>
              <w:spacing w:after="0"/>
              <w:jc w:val="left"/>
            </w:pPr>
            <w:r>
              <w:rPr>
                <w:sz w:val="18"/>
              </w:rPr>
              <w:t xml:space="preserve">2A, 2B Upstream levy</w:t>
            </w:r>
          </w:p>
        </w:tc>
        <w:tc>
          <w:tcPr>
            <w:tcW w:type="dxa" w:w="1928"/>
          </w:tcPr>
          <w:p>
            <w:pPr>
              <w:pStyle w:val="Compact"/>
              <w:spacing w:after="0"/>
              <w:jc w:val="left"/>
            </w:pPr>
            <w:r>
              <w:rPr>
                <w:sz w:val="18"/>
              </w:rPr>
              <w:t xml:space="preserve">Energy CO2</w:t>
            </w:r>
          </w:p>
        </w:tc>
        <w:tc>
          <w:tcPr>
            <w:tcW w:type="dxa" w:w="1701"/>
          </w:tcPr>
          <w:p>
            <w:pPr>
              <w:pStyle w:val="Compact"/>
              <w:spacing w:after="0"/>
              <w:jc w:val="left"/>
            </w:pPr>
            <w:r>
              <w:rPr>
                <w:sz w:val="18"/>
              </w:rPr>
              <w:t xml:space="preserve">Investment / refunds</w:t>
            </w:r>
          </w:p>
        </w:tc>
        <w:tc>
          <w:tcPr>
            <w:tcW w:type="dxa" w:w="1247"/>
          </w:tcPr>
          <w:p>
            <w:pPr>
              <w:pStyle w:val="Compact"/>
              <w:spacing w:after="0"/>
              <w:jc w:val="right"/>
            </w:pPr>
            <w:r>
              <w:rPr>
                <w:sz w:val="18"/>
              </w:rPr>
              <w:t xml:space="preserve">−7.3%</w:t>
            </w:r>
          </w:p>
        </w:tc>
        <w:tc>
          <w:tcPr>
            <w:tcW w:type="dxa" w:w="1247"/>
          </w:tcPr>
          <w:p>
            <w:pPr>
              <w:pStyle w:val="Compact"/>
              <w:spacing w:after="0"/>
              <w:jc w:val="right"/>
            </w:pPr>
            <w:r>
              <w:rPr>
                <w:sz w:val="18"/>
              </w:rPr>
              <w:t xml:space="preserve">−14.7%</w:t>
            </w:r>
          </w:p>
        </w:tc>
        <w:tc>
          <w:tcPr>
            <w:tcW w:type="dxa" w:w="1134"/>
          </w:tcPr>
          <w:p>
            <w:pPr>
              <w:pStyle w:val="Compact"/>
              <w:spacing w:after="0"/>
              <w:jc w:val="right"/>
            </w:pPr>
            <w:r>
              <w:rPr>
                <w:sz w:val="18"/>
              </w:rPr>
              <w:t xml:space="preserve">−9.1%</w:t>
            </w:r>
          </w:p>
        </w:tc>
      </w:tr>
      <w:tr>
        <w:trPr>
          <w:cantSplit/>
        </w:trPr>
        <w:tc>
          <w:tcPr>
            <w:tcW w:type="dxa" w:w="2041"/>
          </w:tcPr>
          <w:p>
            <w:pPr>
              <w:pStyle w:val="Compact"/>
              <w:spacing w:after="0"/>
              <w:jc w:val="left"/>
            </w:pPr>
            <w:r>
              <w:rPr>
                <w:sz w:val="18"/>
              </w:rPr>
              <w:t xml:space="preserve">3A Downstream price</w:t>
            </w:r>
          </w:p>
        </w:tc>
        <w:tc>
          <w:tcPr>
            <w:tcW w:type="dxa" w:w="1928"/>
          </w:tcPr>
          <w:p>
            <w:pPr>
              <w:pStyle w:val="Compact"/>
              <w:spacing w:after="0"/>
              <w:jc w:val="left"/>
            </w:pPr>
            <w:r>
              <w:rPr>
                <w:sz w:val="18"/>
              </w:rPr>
              <w:t xml:space="preserve">CBAM goods</w:t>
            </w:r>
          </w:p>
        </w:tc>
        <w:tc>
          <w:tcPr>
            <w:tcW w:type="dxa" w:w="1701"/>
          </w:tcPr>
          <w:p>
            <w:pPr>
              <w:pStyle w:val="Compact"/>
              <w:spacing w:after="0"/>
              <w:jc w:val="left"/>
            </w:pPr>
            <w:r>
              <w:rPr>
                <w:sz w:val="18"/>
              </w:rPr>
              <w:t xml:space="preserve">Household refunds</w:t>
            </w:r>
          </w:p>
        </w:tc>
        <w:tc>
          <w:tcPr>
            <w:tcW w:type="dxa" w:w="1247"/>
          </w:tcPr>
          <w:p>
            <w:pPr>
              <w:pStyle w:val="Compact"/>
              <w:spacing w:after="0"/>
              <w:jc w:val="right"/>
            </w:pPr>
            <w:r>
              <w:rPr>
                <w:sz w:val="18"/>
              </w:rPr>
              <w:t xml:space="preserve">−12.1%</w:t>
            </w:r>
          </w:p>
        </w:tc>
        <w:tc>
          <w:tcPr>
            <w:tcW w:type="dxa" w:w="1247"/>
          </w:tcPr>
          <w:p>
            <w:pPr>
              <w:pStyle w:val="Compact"/>
              <w:spacing w:after="0"/>
              <w:jc w:val="right"/>
            </w:pPr>
            <w:r>
              <w:rPr>
                <w:sz w:val="18"/>
              </w:rPr>
              <w:t xml:space="preserve">−26.7%</w:t>
            </w:r>
          </w:p>
        </w:tc>
        <w:tc>
          <w:tcPr>
            <w:tcW w:type="dxa" w:w="1134"/>
          </w:tcPr>
          <w:p>
            <w:pPr>
              <w:pStyle w:val="Compact"/>
              <w:spacing w:after="0"/>
              <w:jc w:val="right"/>
            </w:pPr>
            <w:r>
              <w:rPr>
                <w:sz w:val="18"/>
              </w:rPr>
              <w:t xml:space="preserve">−18.3%</w:t>
            </w:r>
          </w:p>
        </w:tc>
      </w:tr>
      <w:tr>
        <w:trPr>
          <w:cantSplit/>
        </w:trPr>
        <w:tc>
          <w:tcPr>
            <w:tcW w:type="dxa" w:w="2041"/>
          </w:tcPr>
          <w:p>
            <w:pPr>
              <w:pStyle w:val="Compact"/>
              <w:spacing w:after="0"/>
              <w:jc w:val="left"/>
            </w:pPr>
            <w:r>
              <w:rPr>
                <w:sz w:val="18"/>
              </w:rPr>
              <w:t xml:space="preserve">3B With feebate</w:t>
            </w:r>
          </w:p>
        </w:tc>
        <w:tc>
          <w:tcPr>
            <w:tcW w:type="dxa" w:w="1928"/>
          </w:tcPr>
          <w:p>
            <w:pPr>
              <w:pStyle w:val="Compact"/>
              <w:spacing w:after="0"/>
              <w:jc w:val="left"/>
            </w:pPr>
            <w:r>
              <w:rPr>
                <w:sz w:val="18"/>
              </w:rPr>
              <w:t xml:space="preserve">CBAM goods</w:t>
            </w:r>
          </w:p>
        </w:tc>
        <w:tc>
          <w:tcPr>
            <w:tcW w:type="dxa" w:w="1701"/>
          </w:tcPr>
          <w:p>
            <w:pPr>
              <w:pStyle w:val="Compact"/>
              <w:spacing w:after="0"/>
              <w:jc w:val="left"/>
            </w:pPr>
            <w:r>
              <w:rPr>
                <w:sz w:val="18"/>
              </w:rPr>
              <w:t xml:space="preserve">Returned per unit of output</w:t>
            </w:r>
          </w:p>
        </w:tc>
        <w:tc>
          <w:tcPr>
            <w:tcW w:type="dxa" w:w="1247"/>
          </w:tcPr>
          <w:p>
            <w:pPr>
              <w:pStyle w:val="Compact"/>
              <w:spacing w:after="0"/>
              <w:jc w:val="right"/>
            </w:pPr>
            <w:r>
              <w:rPr>
                <w:sz w:val="18"/>
              </w:rPr>
              <w:t xml:space="preserve">−8.9%</w:t>
            </w:r>
          </w:p>
        </w:tc>
        <w:tc>
          <w:tcPr>
            <w:tcW w:type="dxa" w:w="1247"/>
          </w:tcPr>
          <w:p>
            <w:pPr>
              <w:pStyle w:val="Compact"/>
              <w:spacing w:after="0"/>
              <w:jc w:val="right"/>
            </w:pPr>
            <w:r>
              <w:rPr>
                <w:sz w:val="18"/>
              </w:rPr>
              <w:t xml:space="preserve">−8.4%</w:t>
            </w:r>
          </w:p>
        </w:tc>
        <w:tc>
          <w:tcPr>
            <w:tcW w:type="dxa" w:w="1134"/>
          </w:tcPr>
          <w:p>
            <w:pPr>
              <w:pStyle w:val="Compact"/>
              <w:spacing w:after="0"/>
              <w:jc w:val="right"/>
            </w:pPr>
            <w:r>
              <w:rPr>
                <w:sz w:val="18"/>
              </w:rPr>
              <w:t xml:space="preserve">0.0%</w:t>
            </w:r>
          </w:p>
        </w:tc>
      </w:tr>
      <w:tr>
        <w:trPr>
          <w:cantSplit/>
        </w:trPr>
        <w:tc>
          <w:tcPr>
            <w:tcW w:type="dxa" w:w="2041"/>
          </w:tcPr>
          <w:p>
            <w:pPr>
              <w:pStyle w:val="Compact"/>
              <w:spacing w:after="0"/>
              <w:jc w:val="left"/>
            </w:pPr>
            <w:r>
              <w:rPr>
                <w:sz w:val="18"/>
              </w:rPr>
              <w:t xml:space="preserve">3C With abatement fund</w:t>
            </w:r>
          </w:p>
        </w:tc>
        <w:tc>
          <w:tcPr>
            <w:tcW w:type="dxa" w:w="1928"/>
          </w:tcPr>
          <w:p>
            <w:pPr>
              <w:pStyle w:val="Compact"/>
              <w:spacing w:after="0"/>
              <w:jc w:val="left"/>
            </w:pPr>
            <w:r>
              <w:rPr>
                <w:sz w:val="18"/>
              </w:rPr>
              <w:t xml:space="preserve">CBAM goods</w:t>
            </w:r>
          </w:p>
        </w:tc>
        <w:tc>
          <w:tcPr>
            <w:tcW w:type="dxa" w:w="1701"/>
          </w:tcPr>
          <w:p>
            <w:pPr>
              <w:pStyle w:val="Compact"/>
              <w:spacing w:after="0"/>
              <w:jc w:val="left"/>
            </w:pPr>
            <w:r>
              <w:rPr>
                <w:sz w:val="18"/>
              </w:rPr>
              <w:t xml:space="preserve">Fund for industry</w:t>
            </w:r>
          </w:p>
        </w:tc>
        <w:tc>
          <w:tcPr>
            <w:tcW w:type="dxa" w:w="1247"/>
          </w:tcPr>
          <w:p>
            <w:pPr>
              <w:pStyle w:val="Compact"/>
              <w:spacing w:after="0"/>
              <w:jc w:val="right"/>
            </w:pPr>
            <w:r>
              <w:rPr>
                <w:sz w:val="18"/>
              </w:rPr>
              <w:t xml:space="preserve">−19.8%</w:t>
            </w:r>
          </w:p>
        </w:tc>
        <w:tc>
          <w:tcPr>
            <w:tcW w:type="dxa" w:w="1247"/>
          </w:tcPr>
          <w:p>
            <w:pPr>
              <w:pStyle w:val="Compact"/>
              <w:spacing w:after="0"/>
              <w:jc w:val="right"/>
            </w:pPr>
            <w:r>
              <w:rPr>
                <w:sz w:val="18"/>
              </w:rPr>
              <w:t xml:space="preserve">−32.8%</w:t>
            </w:r>
          </w:p>
        </w:tc>
        <w:tc>
          <w:tcPr>
            <w:tcW w:type="dxa" w:w="1134"/>
          </w:tcPr>
          <w:p>
            <w:pPr>
              <w:pStyle w:val="Compact"/>
              <w:spacing w:after="0"/>
              <w:jc w:val="right"/>
            </w:pPr>
            <w:r>
              <w:rPr>
                <w:sz w:val="18"/>
              </w:rPr>
              <w:t xml:space="preserve">−16.8%</w:t>
            </w:r>
          </w:p>
        </w:tc>
      </w:tr>
    </w:tbl>
    <w:p>
      <w:pPr>
        <w:pStyle w:val="BodyText"/>
        <w:widowControl/>
      </w:pPr>
      <w:r>
        <w:t xml:space="preserve">Three things stand out. The credit for the domestic price does more for the border charge than abatement does. A feebate protects output but forfeits the credit, so it gives the least relief. A fund keeps the credit and roughly doubles the abatement.</w:t>
      </w:r>
    </w:p>
    <w:p>
      <w:pPr>
        <w:pStyle w:val="BodyText"/>
        <w:widowControl/>
      </w:pPr>
      <w:r>
        <w:rPr>
          <w:bCs/>
          <w:b/>
        </w:rPr>
        <w:t xml:space="preserve">Files.</w:t>
      </w:r>
      <w:r>
        <w:t xml:space="preserve"> </w:t>
      </w:r>
      <w:r>
        <w:t xml:space="preserve">Egypt_CBAM_results_v3.0.xlsx (the tool, with its Inputs, Sources, Gaps and Adjustment sheets); Egypt_Methodology_v3.0.docx (full equations, derivations and appendices).</w:t>
      </w:r>
    </w:p>
    <w:bookmarkEnd w:id="26"/>
    <w:sectPr>
      <w:pgMar w:left="1304" w:right="1304" w:top="1304"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1"/>
    </w:rPr>
  </w:style>
  <w:style w:styleId="BodyText" w:type="paragraph">
    <w:name w:val="Body Text"/>
    <w:basedOn w:val="Normal"/>
    <w:link w:val="BodyTextChar"/>
    <w:pPr>
      <w:spacing w:after="180" w:before="180"/>
    </w:pPr>
    <w:qFormat/>
    <w:rPr>
      <w:rFonts w:ascii="Arial" w:hAnsi="Arial" w:cs="Arial" w:eastAsia="Arial"/>
      <w:sz w:val="21"/>
    </w:rPr>
  </w:style>
  <w:style w:customStyle="1" w:styleId="FirstParagraph" w:type="paragraph">
    <w:name w:val="First Paragraph"/>
    <w:basedOn w:val="BodyText"/>
    <w:next w:val="BodyText"/>
    <w:qFormat/>
    <w:rPr>
      <w:rFonts w:ascii="Arial" w:hAnsi="Arial" w:cs="Arial" w:eastAsia="Arial"/>
      <w:sz w:val="21"/>
    </w:rPr>
  </w:style>
  <w:style w:customStyle="1" w:styleId="Compact" w:type="paragraph">
    <w:name w:val="Compact"/>
    <w:basedOn w:val="BodyText"/>
    <w:qFormat/>
    <w:pPr>
      <w:spacing w:after="36" w:before="36"/>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Arial" w:hAnsi="Arial" w:cs="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rPr>
      <w:rFonts w:ascii="Arial" w:hAnsi="Arial" w:cs="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CBAM Policy Tool: a guide</dc:title>
  <dc:creator/>
  <cp:keywords/>
  <dcterms:created xsi:type="dcterms:W3CDTF">2026-10-09T14:43:25Z</dcterms:created>
  <dcterms:modified xsi:type="dcterms:W3CDTF">2026-10-09T14:43:25Z</dcterms:modified>
</cp:coreProperties>
</file>

<file path=docProps/custom.xml><?xml version="1.0" encoding="utf-8"?>
<Properties xmlns="http://schemas.openxmlformats.org/officeDocument/2006/custom-properties" xmlns:vt="http://schemas.openxmlformats.org/officeDocument/2006/docPropsVTypes"/>
</file>