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b/>
          <w:bCs/>
          <w:color w:val="0E7C7B"/>
          <w:sz w:val="30"/>
          <w:szCs w:val="30"/>
        </w:rPr>
        <w:t xml:space="preserve">CPAT</w:t>
      </w:r>
    </w:p>
    <w:p>
      <w:pPr>
        <w:spacing w:after="0" w:before="120"/>
        <w:jc w:val="center"/>
      </w:pPr>
      <w:r>
        <w:rPr>
          <w:b/>
          <w:bCs/>
          <w:color w:val="1F3864"/>
          <w:sz w:val="56"/>
          <w:szCs w:val="56"/>
        </w:rPr>
        <w:t xml:space="preserve">Distribution Module</w:t>
      </w:r>
    </w:p>
    <w:p>
      <w:pPr>
        <w:spacing w:after="0" w:before="120"/>
        <w:jc w:val="center"/>
      </w:pPr>
      <w:r>
        <w:rPr>
          <w:color w:val="444444"/>
          <w:sz w:val="34"/>
          <w:szCs w:val="34"/>
        </w:rPr>
        <w:t xml:space="preserve">Pseudocode Specification</w:t>
      </w:r>
    </w:p>
    <w:p>
      <w:pPr>
        <w:spacing w:after="0" w:before="600"/>
        <w:jc w:val="center"/>
      </w:pPr>
      <w:r>
        <w:rPr>
          <w:i/>
          <w:iCs/>
          <w:color w:val="0E7C7B"/>
          <w:sz w:val="22"/>
          <w:szCs w:val="22"/>
        </w:rPr>
        <w:t xml:space="preserve">Inputs • Algorithm • Outputs</w:t>
      </w:r>
    </w:p>
    <w:p>
      <w:pPr>
        <w:spacing w:after="0" w:before="1800"/>
      </w:pPr>
    </w:p>
    <w:p>
      <w:pPr>
        <w:jc w:val="center"/>
      </w:pPr>
      <w:r>
        <w:rPr>
          <w:color w:val="555555"/>
          <w:sz w:val="20"/>
          <w:szCs w:val="20"/>
        </w:rPr>
        <w:t xml:space="preserve">Design reference for a future Python (cpat_coded) and standalone Excel implementation</w:t>
      </w:r>
    </w:p>
    <w:p>
      <w:pPr>
        <w:spacing w:before="80"/>
        <w:jc w:val="center"/>
      </w:pPr>
      <w:r>
        <w:rPr>
          <w:color w:val="555555"/>
          <w:sz w:val="20"/>
          <w:szCs w:val="20"/>
        </w:rPr>
        <w:t xml:space="preserve">of the CPAT "Distribution" module (household distributional / incidence analysis).</w:t>
      </w:r>
    </w:p>
    <w:p>
      <w:pPr>
        <w:spacing w:before="1600"/>
      </w:pPr>
    </w:p>
    <w:p>
      <w:pPr>
        <w:jc w:val="center"/>
      </w:pPr>
      <w:r>
        <w:rPr>
          <w:b/>
          <w:bCs/>
          <w:color w:val="AA5B00"/>
          <w:sz w:val="19"/>
          <w:szCs w:val="19"/>
        </w:rPr>
        <w:t xml:space="preserve">Status: DRAFT — Pseudocode / design stage. No implementation code included.</w:t>
      </w:r>
    </w:p>
    <w:p>
      <w:pPr>
        <w:spacing w:before="60"/>
        <w:jc w:val="center"/>
      </w:pPr>
      <w:r>
        <w:rPr>
          <w:color w:val="555555"/>
          <w:sz w:val="18"/>
          <w:szCs w:val="18"/>
        </w:rPr>
        <w:t xml:space="preserve">Repository: sjstretton/cpat-ai-local  •  New folder: /distribution</w:t>
      </w:r>
    </w:p>
    <w:p>
      <w:pPr>
        <w:spacing w:before="400"/>
        <w:jc w:val="center"/>
      </w:pPr>
      <w:r>
        <w:rPr>
          <w:color w:val="777777"/>
          <w:sz w:val="18"/>
          <w:szCs w:val="18"/>
        </w:rPr>
        <w:t xml:space="preserve">Version 1.0</w:t>
      </w:r>
    </w:p>
    <w:p>
      <w:r>
        <w:br w:type="page"/>
      </w:r>
    </w:p>
    <w:p>
      <w:pPr>
        <w:pStyle w:val="Heading1"/>
        <w:pBdr>
          <w:bottom w:val="single" w:color="1F3864" w:sz="8" w:space="4"/>
        </w:pBdr>
        <w:spacing w:after="240" w:before="480"/>
      </w:pPr>
      <w:r>
        <w:rPr>
          <w:b/>
          <w:bCs/>
          <w:color w:val="1F3864"/>
          <w:sz w:val="32"/>
          <w:szCs w:val="32"/>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Field</w:t>
            </w:r>
          </w:p>
        </w:tc>
        <w:tc>
          <w:tcPr>
            <w:tcW w:type="dxa" w:w="7459"/>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w:t>
            </w:r>
          </w:p>
        </w:tc>
      </w:tr>
      <w:tr>
        <w:tc>
          <w:tcPr>
            <w:tcW w:type="dxa" w:w="2621"/>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Document title</w:t>
            </w:r>
          </w:p>
        </w:tc>
        <w:tc>
          <w:tcPr>
            <w:tcW w:type="dxa" w:w="7459"/>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CPAT Distribution Module — Pseudocode Specification</w:t>
            </w:r>
          </w:p>
        </w:tc>
      </w:tr>
      <w:tr>
        <w:tc>
          <w:tcPr>
            <w:tcW w:type="dxa" w:w="2621"/>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Purpose</w:t>
            </w:r>
          </w:p>
        </w:tc>
        <w:tc>
          <w:tcPr>
            <w:tcW w:type="dxa" w:w="7459"/>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Define Inputs, Algorithm steps and Outputs for the Distribution module ahead of Python and Excel implementation</w:t>
            </w:r>
          </w:p>
        </w:tc>
      </w:tr>
      <w:tr>
        <w:tc>
          <w:tcPr>
            <w:tcW w:type="dxa" w:w="2621"/>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Status</w:t>
            </w:r>
          </w:p>
        </w:tc>
        <w:tc>
          <w:tcPr>
            <w:tcW w:type="dxa" w:w="7459"/>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Draft — pseudocode only (no executable code)</w:t>
            </w:r>
          </w:p>
        </w:tc>
      </w:tr>
      <w:tr>
        <w:tc>
          <w:tcPr>
            <w:tcW w:type="dxa" w:w="2621"/>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Primary sources</w:t>
            </w:r>
          </w:p>
        </w:tc>
        <w:tc>
          <w:tcPr>
            <w:tcW w:type="dxa" w:w="7459"/>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cpat_excel/original/CPAT 1.0pre_456_NoPropData.xlsb, sheet "Distribution" (sections A–F, rows 1–6732); CPAT public documentation, "05 Distribution" chapter</w:t>
            </w:r>
          </w:p>
        </w:tc>
      </w:tr>
      <w:tr>
        <w:tc>
          <w:tcPr>
            <w:tcW w:type="dxa" w:w="2621"/>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Supporting data</w:t>
            </w:r>
          </w:p>
        </w:tc>
        <w:tc>
          <w:tcPr>
            <w:tcW w:type="dxa" w:w="7459"/>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cpat_excel/Distribution/data_* (IO_GTAP, HHSurvey, HH_Elast, ASPIRE, WHOCooking, GDPRatios, Mapping tables)</w:t>
            </w:r>
          </w:p>
        </w:tc>
      </w:tr>
      <w:tr>
        <w:tc>
          <w:tcPr>
            <w:tcW w:type="dxa" w:w="2621"/>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Companion modules</w:t>
            </w:r>
          </w:p>
        </w:tc>
        <w:tc>
          <w:tcPr>
            <w:tcW w:type="dxa" w:w="7459"/>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Mitigation (carbon price &amp; sectoral price changes), Air pollution, Transport</w:t>
            </w:r>
          </w:p>
        </w:tc>
      </w:tr>
      <w:tr>
        <w:tc>
          <w:tcPr>
            <w:tcW w:type="dxa" w:w="2621"/>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Intended readers</w:t>
            </w:r>
          </w:p>
        </w:tc>
        <w:tc>
          <w:tcPr>
            <w:tcW w:type="dxa" w:w="7459"/>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Developers implementing cpat_model/components/distribution (Python) and the standalone Excel distributional tool</w:t>
            </w:r>
          </w:p>
        </w:tc>
      </w:tr>
      <w:tr>
        <w:tc>
          <w:tcPr>
            <w:tcW w:type="dxa" w:w="2621"/>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Next steps (out of scope here)</w:t>
            </w:r>
          </w:p>
        </w:tc>
        <w:tc>
          <w:tcPr>
            <w:tcW w:type="dxa" w:w="7459"/>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 Python implementation in cpat_coded/cpat_model/components/distribution  2) Standalone Excel workbook replicating this module</w:t>
            </w:r>
          </w:p>
        </w:tc>
      </w:tr>
    </w:tbl>
    <w:p>
      <w:pPr>
        <w:spacing w:after="160" w:line="276"/>
      </w:pPr>
      <w:r>
        <w:rPr>
          <w:b w:val="false"/>
          <w:bCs w:val="false"/>
          <w:i w:val="false"/>
          <w:iCs w:val="false"/>
          <w:sz w:val="21"/>
          <w:szCs w:val="21"/>
        </w:rPr>
        <w:t xml:space="preserve"/>
      </w:r>
    </w:p>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This document is intentionally implementation-agnostic. “Pseudocode” blocks describe control flow, loops and formulas in plain, language-neutral terms so the same specification can drive both the Python component and the standalone Excel rebuild.</w:t>
      </w:r>
    </w:p>
    <w:p>
      <w:r>
        <w:br w:type="page"/>
      </w:r>
    </w:p>
    <w:p>
      <w:pPr>
        <w:pStyle w:val="Heading1"/>
        <w:pBdr>
          <w:bottom w:val="single" w:color="1F3864" w:sz="8" w:space="4"/>
        </w:pBdr>
        <w:spacing w:after="240" w:before="48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40" w:before="480"/>
      </w:pPr>
      <w:r>
        <w:rPr>
          <w:b/>
          <w:bCs/>
          <w:color w:val="1F3864"/>
          <w:sz w:val="32"/>
          <w:szCs w:val="32"/>
        </w:rPr>
        <w:t xml:space="preserve">1. Overview &amp; Scope</w:t>
      </w:r>
    </w:p>
    <w:p>
      <w:pPr>
        <w:pStyle w:val="Heading2"/>
        <w:spacing w:after="160" w:before="360"/>
      </w:pPr>
      <w:r>
        <w:rPr>
          <w:b/>
          <w:bCs/>
          <w:color w:val="1F3864"/>
          <w:sz w:val="26"/>
          <w:szCs w:val="26"/>
        </w:rPr>
        <w:t xml:space="preserve">1.1 What the Distribution module does</w:t>
      </w:r>
    </w:p>
    <w:p>
      <w:pPr>
        <w:spacing w:after="160" w:line="276"/>
      </w:pPr>
      <w:r>
        <w:rPr>
          <w:b w:val="false"/>
          <w:bCs w:val="false"/>
          <w:i w:val="false"/>
          <w:iCs w:val="false"/>
          <w:sz w:val="21"/>
          <w:szCs w:val="21"/>
        </w:rPr>
        <w:t xml:space="preserve">The Distribution module estimates the household-level distributional (incidence) impact of a carbon-pricing mitigation policy scenario for a single selected country. Starting from the price changes produced by the Mitigation module, it estimates how much more each household decile pays for energy directly (fuels it buys itself) and indirectly (through the higher price of goods and services embedding those fuels), nets that burden against any revenue recycled back to households, and reports the results as changes in household consumption, inequality (Gini coefficient / Lorenz curve) and the share of carbon-pricing revenue needed to compensate lower-income deciles.</w:t>
      </w:r>
    </w:p>
    <w:p>
      <w:pPr>
        <w:pStyle w:val="Heading2"/>
        <w:spacing w:after="160" w:before="360"/>
      </w:pPr>
      <w:r>
        <w:rPr>
          <w:b/>
          <w:bCs/>
          <w:color w:val="1F3864"/>
          <w:sz w:val="26"/>
          <w:szCs w:val="26"/>
        </w:rPr>
        <w:t xml:space="preserve">1.2 Design goal for this specification</w:t>
      </w:r>
    </w:p>
    <w:p>
      <w:pPr>
        <w:pStyle w:val="ListParagraph"/>
        <w:numPr>
          <w:ilvl w:val="0"/>
          <w:numId w:val="2"/>
        </w:numPr>
        <w:spacing w:after="80" w:line="264"/>
      </w:pPr>
      <w:r>
        <w:rPr>
          <w:sz w:val="21"/>
          <w:szCs w:val="21"/>
        </w:rPr>
        <w:t xml:space="preserve">Describe the module as a country-scoped calculation: one run analyses one country, one policy scenario (carbon price path) and one “analysis year”.</w:t>
      </w:r>
    </w:p>
    <w:p>
      <w:pPr>
        <w:pStyle w:val="ListParagraph"/>
        <w:numPr>
          <w:ilvl w:val="0"/>
          <w:numId w:val="2"/>
        </w:numPr>
        <w:spacing w:after="80" w:line="264"/>
      </w:pPr>
      <w:r>
        <w:rPr>
          <w:sz w:val="21"/>
          <w:szCs w:val="21"/>
        </w:rPr>
        <w:t xml:space="preserve">Preserve the structure of the existing Excel “Distribution” sheet (sections A–F) so the pseudocode maps 1:1 back to the audited source workbook.</w:t>
      </w:r>
    </w:p>
    <w:p>
      <w:pPr>
        <w:pStyle w:val="ListParagraph"/>
        <w:numPr>
          <w:ilvl w:val="0"/>
          <w:numId w:val="2"/>
        </w:numPr>
        <w:spacing w:after="80" w:line="264"/>
      </w:pPr>
      <w:r>
        <w:rPr>
          <w:sz w:val="21"/>
          <w:szCs w:val="21"/>
        </w:rPr>
        <w:t xml:space="preserve">Be granular enough that both the Python component (cpat_coded/cpat_model/components/distribution, to be built later) and a standalone Excel replica (to be built later) can be implemented directly from it.</w:t>
      </w:r>
    </w:p>
    <w:p>
      <w:pPr>
        <w:pStyle w:val="ListParagraph"/>
        <w:numPr>
          <w:ilvl w:val="0"/>
          <w:numId w:val="2"/>
        </w:numPr>
        <w:spacing w:after="80" w:line="264"/>
      </w:pPr>
      <w:r>
        <w:rPr>
          <w:sz w:val="21"/>
          <w:szCs w:val="21"/>
        </w:rPr>
        <w:t xml:space="preserve">Avoid locking in a language or library choice — no pandas/numpy/openpyxl syntax, just inputs → steps → outputs.</w:t>
      </w:r>
    </w:p>
    <w:p>
      <w:pPr>
        <w:pStyle w:val="Heading2"/>
        <w:spacing w:after="160" w:before="360"/>
      </w:pPr>
      <w:r>
        <w:rPr>
          <w:b/>
          <w:bCs/>
          <w:color w:val="1F3864"/>
          <w:sz w:val="26"/>
          <w:szCs w:val="26"/>
        </w:rPr>
        <w:t xml:space="preserve">1.3 Source material</w:t>
      </w:r>
    </w:p>
    <w:p>
      <w:pPr>
        <w:pStyle w:val="ListParagraph"/>
        <w:numPr>
          <w:ilvl w:val="0"/>
          <w:numId w:val="2"/>
        </w:numPr>
        <w:spacing w:after="80" w:line="264"/>
      </w:pPr>
      <w:r>
        <w:rPr>
          <w:sz w:val="21"/>
          <w:szCs w:val="21"/>
        </w:rPr>
        <w:t xml:space="preserve">Excel: cpat_excel/original/CPAT 1.0pre_456_NoPropData.xlsb → sheet “Distribution” (6,732 rows, sections A–F). This is the authoritative, currently-working implementation and the primary source for this document.</w:t>
      </w:r>
    </w:p>
    <w:p>
      <w:pPr>
        <w:pStyle w:val="ListParagraph"/>
        <w:numPr>
          <w:ilvl w:val="0"/>
          <w:numId w:val="2"/>
        </w:numPr>
        <w:spacing w:after="80" w:line="264"/>
      </w:pPr>
      <w:r>
        <w:rPr>
          <w:sz w:val="21"/>
          <w:szCs w:val="21"/>
        </w:rPr>
        <w:t xml:space="preserve">Data tables feeding the sheet: DATA_DISTN block in the same workbook (Mapping, IO_GTAP, HHSurvey, HH_Elast, ASPIRE, WHOCooking, GDPRatios), already extracted to cpat_excel/Distribution/data_bymodule, data_tabular and data_standardized by the existing pipeline scripts.</w:t>
      </w:r>
    </w:p>
    <w:p>
      <w:pPr>
        <w:pStyle w:val="ListParagraph"/>
        <w:numPr>
          <w:ilvl w:val="0"/>
          <w:numId w:val="2"/>
        </w:numPr>
        <w:spacing w:after="80" w:line="264"/>
      </w:pPr>
      <w:r>
        <w:rPr>
          <w:sz w:val="21"/>
          <w:szCs w:val="21"/>
        </w:rPr>
        <w:t xml:space="preserve">Public documentation: CPAT public docs, “05 Distribution” chapter (referenced by the user; not machine-readable from this environment — the network egress policy in this session blocks cpmodel.github.io, so this document is built directly from the Excel model and its embedded notes instead).</w:t>
      </w:r>
    </w:p>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The “05_Distribution” public documentation page could not be fetched in this session because outbound access to cpmodel.github.io is blocked by this environment's egress policy. Everything below is reconstructed from the live Excel model (structure, row labels, formula notes, and the internal “E. Notes” section, which contains the module's prose description of its own equations) plus the module's own variable-naming scheme. Recommend cross-checking this document against the public docs page once it is reachable, and correcting any discrepancy before implementation.</w:t>
      </w:r>
    </w:p>
    <w:p>
      <w:pPr>
        <w:pStyle w:val="Heading1"/>
        <w:pBdr>
          <w:bottom w:val="single" w:color="1F3864" w:sz="8" w:space="4"/>
        </w:pBdr>
        <w:spacing w:after="240" w:before="480"/>
      </w:pPr>
      <w:r>
        <w:rPr>
          <w:b/>
          <w:bCs/>
          <w:color w:val="1F3864"/>
          <w:sz w:val="32"/>
          <w:szCs w:val="32"/>
        </w:rPr>
        <w:t xml:space="preserve">2. Relationship to Other CPAT Modules</w:t>
      </w:r>
    </w:p>
    <w:p>
      <w:pPr>
        <w:spacing w:after="160" w:line="276"/>
      </w:pPr>
      <w:r>
        <w:rPr>
          <w:b w:val="false"/>
          <w:bCs w:val="false"/>
          <w:i w:val="false"/>
          <w:iCs w:val="false"/>
          <w:sz w:val="21"/>
          <w:szCs w:val="21"/>
        </w:rPr>
        <w:t xml:space="preserve">The Distribution module is a consumer of the Mitigation module's outputs, not an independent price model:</w:t>
      </w:r>
    </w:p>
    <w:p>
      <w:pPr>
        <w:pStyle w:val="ListParagraph"/>
        <w:numPr>
          <w:ilvl w:val="0"/>
          <w:numId w:val="2"/>
        </w:numPr>
        <w:spacing w:after="80" w:line="264"/>
      </w:pPr>
      <w:r>
        <w:rPr>
          <w:sz w:val="21"/>
          <w:szCs w:val="21"/>
        </w:rPr>
        <w:t xml:space="preserve">Mitigation module → produces the carbon price path and the resulting percentage price increases by fuel and by GTAP sector (ΔP) for the policy scenario. Distribution takes these as given and re-expresses them at the household level.</w:t>
      </w:r>
    </w:p>
    <w:p>
      <w:pPr>
        <w:pStyle w:val="ListParagraph"/>
        <w:numPr>
          <w:ilvl w:val="0"/>
          <w:numId w:val="2"/>
        </w:numPr>
        <w:spacing w:after="80" w:line="264"/>
      </w:pPr>
      <w:r>
        <w:rPr>
          <w:sz w:val="21"/>
          <w:szCs w:val="21"/>
        </w:rPr>
        <w:t xml:space="preserve">Distribution module → (this document) allocates that price shock across household deciles (direct + indirect effects), nets it against revenue recycling, and reports welfare/inequality outputs.</w:t>
      </w:r>
    </w:p>
    <w:p>
      <w:pPr>
        <w:pStyle w:val="ListParagraph"/>
        <w:numPr>
          <w:ilvl w:val="0"/>
          <w:numId w:val="2"/>
        </w:numPr>
        <w:spacing w:after="80" w:line="264"/>
      </w:pPr>
      <w:r>
        <w:rPr>
          <w:sz w:val="21"/>
          <w:szCs w:val="21"/>
        </w:rPr>
        <w:t xml:space="preserve">Distribution module → Mitigation module (feedback, Section F of the sheet): the module also reports back a “mitigation-adjusted tax burden” reconciliation — because the Distribution module's own GTAP input-output table implies a slightly different total carbon-tax revenue than the Mitigation module's bottom-up estimate, a downward adjustment factor is computed and applied so the two modules stay consistent (see §5.1, step 1.3).</w:t>
      </w:r>
    </w:p>
    <w:p>
      <w:pPr>
        <w:pStyle w:val="ListParagraph"/>
        <w:numPr>
          <w:ilvl w:val="0"/>
          <w:numId w:val="2"/>
        </w:numPr>
        <w:spacing w:after="80" w:line="264"/>
      </w:pPr>
      <w:r>
        <w:rPr>
          <w:sz w:val="21"/>
          <w:szCs w:val="21"/>
        </w:rPr>
        <w:t xml:space="preserve">Air Pollution and Transport modules sit alongside Distribution as siblings under “MODULES” in the workbook, and are out of scope for this document.</w:t>
      </w:r>
    </w:p>
    <w:p>
      <w:pPr>
        <w:pStyle w:val="Heading1"/>
        <w:pBdr>
          <w:bottom w:val="single" w:color="1F3864" w:sz="8" w:space="4"/>
        </w:pBdr>
        <w:spacing w:after="240" w:before="480"/>
      </w:pPr>
      <w:r>
        <w:rPr>
          <w:b/>
          <w:bCs/>
          <w:color w:val="1F3864"/>
          <w:sz w:val="32"/>
          <w:szCs w:val="32"/>
        </w:rPr>
        <w:t xml:space="preserve">3. Data Model &amp; Naming Conventions</w:t>
      </w:r>
    </w:p>
    <w:p>
      <w:pPr>
        <w:pStyle w:val="Heading2"/>
        <w:spacing w:after="160" w:before="360"/>
      </w:pPr>
      <w:r>
        <w:rPr>
          <w:b/>
          <w:bCs/>
          <w:color w:val="1F3864"/>
          <w:sz w:val="26"/>
          <w:szCs w:val="26"/>
        </w:rPr>
        <w:t xml:space="preserve">3.1 Dimensionality</w:t>
      </w:r>
    </w:p>
    <w:p>
      <w:pPr>
        <w:spacing w:after="160" w:line="276"/>
      </w:pPr>
      <w:r>
        <w:rPr>
          <w:b w:val="false"/>
          <w:bCs w:val="false"/>
          <w:i w:val="false"/>
          <w:iCs w:val="false"/>
          <w:sz w:val="21"/>
          <w:szCs w:val="21"/>
        </w:rPr>
        <w:t xml:space="preserve">Almost every calculated quantity in the module is carried along the same set of dimensions. Implementations (Python or Excel) should treat this as the canonical shape of the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tblHeader/>
        </w:trPr>
        <w:tc>
          <w:tcPr>
            <w:tcW w:type="dxa" w:w="201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Dimension</w:t>
            </w:r>
          </w:p>
        </w:tc>
        <w:tc>
          <w:tcPr>
            <w:tcW w:type="dxa" w:w="4032"/>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Values</w:t>
            </w:r>
          </w:p>
        </w:tc>
        <w:tc>
          <w:tcPr>
            <w:tcW w:type="dxa" w:w="4032"/>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Notes</w:t>
            </w:r>
          </w:p>
        </w:tc>
      </w:tr>
      <w:tr>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Country</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 of 85 supported countries (Appendix A)</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Selected once per run via the “Country Name” basic input; drives which GTAP region, HHSurvey extract and ASPIRE extract are loaded</w:t>
            </w:r>
          </w:p>
        </w:tc>
      </w:tr>
      <w:tr>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Fuel (direct)</w:t>
            </w:r>
          </w:p>
        </w:tc>
        <w:tc>
          <w:tcPr>
            <w:tcW w:type="dxa" w:w="403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coa, ely, nga, oil, gso, die, ker, lpg (+ cha, eth, fwd for cooking biomass)</w:t>
            </w:r>
          </w:p>
        </w:tc>
        <w:tc>
          <w:tcPr>
            <w:tcW w:type="dxa" w:w="403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 priced fossil/energy carriers + 3 traditional cooking fuels</w:t>
            </w:r>
          </w:p>
        </w:tc>
      </w:tr>
      <w:tr>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Consumption category (indirect)</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app, che, clo, com, edu, food, hea, hou, oth, pap, pha, ret, teq, tpu (14 categories)</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Non-fuel COICOP-like household consumption categories</w:t>
            </w:r>
          </w:p>
        </w:tc>
      </w:tr>
      <w:tr>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Quantile / decile</w:t>
            </w:r>
          </w:p>
        </w:tc>
        <w:tc>
          <w:tcPr>
            <w:tcW w:type="dxa" w:w="403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Basket (national average) + Deciles 1–10 (poorest → wealthiest)</w:t>
            </w:r>
          </w:p>
        </w:tc>
        <w:tc>
          <w:tcPr>
            <w:tcW w:type="dxa" w:w="403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“Basket” is the single aggregate value; Deciles is the 10-way split</w:t>
            </w:r>
          </w:p>
        </w:tc>
      </w:tr>
      <w:tr>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Sample</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Overall, Urban, Rural</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Deciles are defined within each sample separately — “Urban decile 1” is the poorest 10% of the urban sample, not of the whole population</w:t>
            </w:r>
          </w:p>
        </w:tc>
      </w:tr>
      <w:tr>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Statistic</w:t>
            </w:r>
          </w:p>
        </w:tc>
        <w:tc>
          <w:tcPr>
            <w:tcW w:type="dxa" w:w="403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mean, median, p25 (25th pctile), p75 (75th pctile)</w:t>
            </w:r>
          </w:p>
        </w:tc>
        <w:tc>
          <w:tcPr>
            <w:tcW w:type="dxa" w:w="403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Four summary statistics computed per household-survey cell; “Statistic – Outputs” input selects which one drives headline results (default: mean)</w:t>
            </w:r>
          </w:p>
        </w:tc>
      </w:tr>
      <w:tr>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Year</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Survey year, GTAP year, ASPIRE year, Start year, End year, Analysis year</w:t>
            </w:r>
          </w:p>
        </w:tc>
        <w:tc>
          <w:tcPr>
            <w:tcW w:type="dxa" w:w="403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Multiple source years are deflated/rebased onto one another; “Analysis Year” is the year distributional results are reported for</w:t>
            </w:r>
          </w:p>
        </w:tc>
      </w:tr>
    </w:tbl>
    <w:p>
      <w:pPr>
        <w:pStyle w:val="Heading2"/>
        <w:spacing w:after="160" w:before="360"/>
      </w:pPr>
      <w:r>
        <w:rPr>
          <w:b/>
          <w:bCs/>
          <w:color w:val="1F3864"/>
          <w:sz w:val="26"/>
          <w:szCs w:val="26"/>
        </w:rPr>
        <w:t xml:space="preserve">3.2 Variable naming convention</w:t>
      </w:r>
    </w:p>
    <w:p>
      <w:pPr>
        <w:spacing w:after="160" w:line="276"/>
      </w:pPr>
      <w:r>
        <w:rPr>
          <w:b w:val="false"/>
          <w:bCs w:val="false"/>
          <w:i w:val="false"/>
          <w:iCs w:val="false"/>
          <w:sz w:val="21"/>
          <w:szCs w:val="21"/>
        </w:rPr>
        <w:t xml:space="preserve">The Excel model (and, by extension, this pseudocode) names every leaf variable with a dotted, lower-case token of the form:</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example:  egy.distn.bsh.coa.dec.ove.mean</w:t>
      </w:r>
    </w:p>
    <w:p>
      <w:pPr>
        <w:shd w:fill="EFF3F6" w:val="clear"/>
        <w:spacing w:after="0" w:line="264"/>
        <w:ind w:left="160" w:right="160"/>
      </w:pPr>
      <w:r>
        <w:rPr>
          <w:rFonts w:ascii="Consolas" w:cs="Consolas" w:eastAsia="Consolas" w:hAnsi="Consolas"/>
          <w:color w:val="1B1B1B"/>
          <w:sz w:val="19"/>
          <w:szCs w:val="19"/>
        </w:rPr>
        <w:t xml:space="preserve">          │    │     │   │   │   │    └─ statistic: mean</w:t>
      </w:r>
    </w:p>
    <w:p>
      <w:pPr>
        <w:shd w:fill="EFF3F6" w:val="clear"/>
        <w:spacing w:after="0" w:line="264"/>
        <w:ind w:left="160" w:right="160"/>
      </w:pPr>
      <w:r>
        <w:rPr>
          <w:rFonts w:ascii="Consolas" w:cs="Consolas" w:eastAsia="Consolas" w:hAnsi="Consolas"/>
          <w:color w:val="1B1B1B"/>
          <w:sz w:val="19"/>
          <w:szCs w:val="19"/>
        </w:rPr>
        <w:t xml:space="preserve">          │    │     │   │   │   └───── sample: overall</w:t>
      </w:r>
    </w:p>
    <w:p>
      <w:pPr>
        <w:shd w:fill="EFF3F6" w:val="clear"/>
        <w:spacing w:after="0" w:line="264"/>
        <w:ind w:left="160" w:right="160"/>
      </w:pPr>
      <w:r>
        <w:rPr>
          <w:rFonts w:ascii="Consolas" w:cs="Consolas" w:eastAsia="Consolas" w:hAnsi="Consolas"/>
          <w:color w:val="1B1B1B"/>
          <w:sz w:val="19"/>
          <w:szCs w:val="19"/>
        </w:rPr>
        <w:t xml:space="preserve">          │    │     │   │   └─────── aggregation: dec = deciles (bkt = basket)</w:t>
      </w:r>
    </w:p>
    <w:p>
      <w:pPr>
        <w:shd w:fill="EFF3F6" w:val="clear"/>
        <w:spacing w:after="0" w:line="264"/>
        <w:ind w:left="160" w:right="160"/>
      </w:pPr>
      <w:r>
        <w:rPr>
          <w:rFonts w:ascii="Consolas" w:cs="Consolas" w:eastAsia="Consolas" w:hAnsi="Consolas"/>
          <w:color w:val="1B1B1B"/>
          <w:sz w:val="19"/>
          <w:szCs w:val="19"/>
        </w:rPr>
        <w:t xml:space="preserve">          │    │     │   └────────── fuel: coa = coal</w:t>
      </w:r>
    </w:p>
    <w:p>
      <w:pPr>
        <w:shd w:fill="EFF3F6" w:val="clear"/>
        <w:spacing w:after="0" w:line="264"/>
        <w:ind w:left="160" w:right="160"/>
      </w:pPr>
      <w:r>
        <w:rPr>
          <w:rFonts w:ascii="Consolas" w:cs="Consolas" w:eastAsia="Consolas" w:hAnsi="Consolas"/>
          <w:color w:val="1B1B1B"/>
          <w:sz w:val="19"/>
          <w:szCs w:val="19"/>
        </w:rPr>
        <w:t xml:space="preserve">          │    │     └──────────── quantity: bsh = budget share</w:t>
      </w:r>
    </w:p>
    <w:p>
      <w:pPr>
        <w:shd w:fill="EFF3F6" w:val="clear"/>
        <w:spacing w:after="0" w:line="264"/>
        <w:ind w:left="160" w:right="160"/>
      </w:pPr>
      <w:r>
        <w:rPr>
          <w:rFonts w:ascii="Consolas" w:cs="Consolas" w:eastAsia="Consolas" w:hAnsi="Consolas"/>
          <w:color w:val="1B1B1B"/>
          <w:sz w:val="19"/>
          <w:szCs w:val="19"/>
        </w:rPr>
        <w:t xml:space="preserve">          │    └──────────────── module: distn = Distribution</w:t>
      </w:r>
    </w:p>
    <w:p>
      <w:pPr>
        <w:pBdr>
          <w:bottom w:val="single" w:color="D9D9D9" w:sz="6" w:space="4"/>
        </w:pBdr>
        <w:spacing w:after="240" w:line="264"/>
      </w:pPr>
    </w:p>
    <w:p>
      <w:pPr>
        <w:spacing w:after="160" w:line="276"/>
      </w:pPr>
      <w:r>
        <w:rPr>
          <w:b w:val="false"/>
          <w:bCs w:val="false"/>
          <w:i w:val="false"/>
          <w:iCs w:val="false"/>
          <w:sz w:val="21"/>
          <w:szCs w:val="21"/>
        </w:rPr>
        <w:t xml:space="preserve">Recommended quantity codes seen in the source model (extend as needed): bsh = budget share, def = direct effect, ief = indirect effect, tot_cons_svy / tot_cons_na = total consumption (survey / national-accounts-adjusted), cons_pc_na = per-capita consumption (NA-adjusted), ct_bdn_pre = carbon-tax burden pre-behavioural-response, pop_tot_adj = adjusted population.</w:t>
      </w:r>
    </w:p>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This naming scheme is a convention inherited from the Excel model, not a technical requirement. The Python implementation can use structured objects/DataFrames with explicit dimension labels instead of dotted strings — but keeping the same token vocabulary (fuel/category codes, dec/bkt, ove/urb/rur, mean/median/p25/p75) will make cross-checking against the Excel model far easier.</w:t>
      </w:r>
    </w:p>
    <w:p>
      <w:pPr>
        <w:pStyle w:val="Heading2"/>
        <w:spacing w:after="160" w:before="360"/>
      </w:pPr>
      <w:r>
        <w:rPr>
          <w:b/>
          <w:bCs/>
          <w:color w:val="1F3864"/>
          <w:sz w:val="26"/>
          <w:szCs w:val="26"/>
        </w:rPr>
        <w:t xml:space="preserve">3.3 Country loop</w:t>
      </w:r>
    </w:p>
    <w:p>
      <w:pPr>
        <w:spacing w:after="160" w:line="276"/>
      </w:pPr>
      <w:r>
        <w:rPr>
          <w:b w:val="false"/>
          <w:bCs w:val="false"/>
          <w:i w:val="false"/>
          <w:iCs w:val="false"/>
          <w:sz w:val="21"/>
          <w:szCs w:val="21"/>
        </w:rPr>
        <w:t xml:space="preserve">The module is written for a single country per run (dropdown-selected), but the underlying data tables (IO_GTAP, HHSurvey, HH_Elast, ASPIRE, WHOCooking, GDPRatios) cover all 85 supported countries. Both the Python and Excel implementations should keep the calculation logic country-agnostic and simply parameterise it by the selected country's data slice, so that a batch mode (“run for all countries”) is a thin wrapper around the same per-country algorithm rather than a separate code path.</w:t>
      </w:r>
    </w:p>
    <w:p>
      <w:pPr>
        <w:pStyle w:val="Heading1"/>
        <w:pageBreakBefore/>
        <w:pBdr>
          <w:bottom w:val="single" w:color="1F3864" w:sz="8" w:space="4"/>
        </w:pBdr>
        <w:spacing w:after="240" w:before="480"/>
      </w:pPr>
      <w:r>
        <w:rPr>
          <w:b/>
          <w:bCs/>
          <w:color w:val="1F3864"/>
          <w:sz w:val="32"/>
          <w:szCs w:val="32"/>
        </w:rPr>
        <w:t xml:space="preserve">4. Inputs</w:t>
      </w:r>
    </w:p>
    <w:p>
      <w:pPr>
        <w:spacing w:after="160" w:line="276"/>
      </w:pPr>
      <w:r>
        <w:rPr>
          <w:b w:val="false"/>
          <w:bCs w:val="false"/>
          <w:i w:val="false"/>
          <w:iCs w:val="false"/>
          <w:sz w:val="21"/>
          <w:szCs w:val="21"/>
        </w:rPr>
        <w:t xml:space="preserve">Inputs are grouped exactly as they appear in Section B (“Key assumptions and inputs”) of the Excel sheet. Each group below lists the input, its role, and its source.</w:t>
      </w:r>
    </w:p>
    <w:p>
      <w:pPr>
        <w:pStyle w:val="Heading2"/>
        <w:spacing w:after="160" w:before="360"/>
      </w:pPr>
      <w:r>
        <w:rPr>
          <w:b/>
          <w:bCs/>
          <w:color w:val="1F3864"/>
          <w:sz w:val="26"/>
          <w:szCs w:val="26"/>
        </w:rPr>
        <w:t xml:space="preserve">4.1 Basic run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6854"/>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2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Country Name / Country Code / GTAP Code</w:t>
            </w:r>
          </w:p>
        </w:tc>
        <w:tc>
          <w:tcPr>
            <w:tcW w:type="dxa" w:w="685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Selects the country and the GTAP10 region it maps to (see Mapping_CountriesToGTAP10)</w:t>
            </w:r>
          </w:p>
        </w:tc>
      </w:tr>
      <w:tr>
        <w:tc>
          <w:tcPr>
            <w:tcW w:type="dxa" w:w="32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Survey Year</w:t>
            </w:r>
          </w:p>
        </w:tc>
        <w:tc>
          <w:tcPr>
            <w:tcW w:type="dxa" w:w="685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Year of the household budget survey used for HHSurvey data</w:t>
            </w:r>
          </w:p>
        </w:tc>
      </w:tr>
      <w:tr>
        <w:tc>
          <w:tcPr>
            <w:tcW w:type="dxa" w:w="32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GTAP Year</w:t>
            </w:r>
          </w:p>
        </w:tc>
        <w:tc>
          <w:tcPr>
            <w:tcW w:type="dxa" w:w="685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Base year of the GTAP input-output table (IO_GTAP)</w:t>
            </w:r>
          </w:p>
        </w:tc>
      </w:tr>
      <w:tr>
        <w:tc>
          <w:tcPr>
            <w:tcW w:type="dxa" w:w="32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ASPIRE Year</w:t>
            </w:r>
          </w:p>
        </w:tc>
        <w:tc>
          <w:tcPr>
            <w:tcW w:type="dxa" w:w="685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Base year of the ASPIRE social-protection database</w:t>
            </w:r>
          </w:p>
        </w:tc>
      </w:tr>
      <w:tr>
        <w:tc>
          <w:tcPr>
            <w:tcW w:type="dxa" w:w="32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Start Year / End Year</w:t>
            </w:r>
          </w:p>
        </w:tc>
        <w:tc>
          <w:tcPr>
            <w:tcW w:type="dxa" w:w="685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Start/end year of the climate mitigation policy scenario (from Mitigation module)</w:t>
            </w:r>
          </w:p>
        </w:tc>
      </w:tr>
      <w:tr>
        <w:tc>
          <w:tcPr>
            <w:tcW w:type="dxa" w:w="32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Analysis Year</w:t>
            </w:r>
          </w:p>
        </w:tc>
        <w:tc>
          <w:tcPr>
            <w:tcW w:type="dxa" w:w="685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The single year distributional results are computed and reported for</w:t>
            </w:r>
          </w:p>
        </w:tc>
      </w:tr>
      <w:tr>
        <w:tc>
          <w:tcPr>
            <w:tcW w:type="dxa" w:w="32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Statistic 1–4</w:t>
            </w:r>
          </w:p>
        </w:tc>
        <w:tc>
          <w:tcPr>
            <w:tcW w:type="dxa" w:w="685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Definitions of the four summary statistics: mean, median, p25, p75</w:t>
            </w:r>
          </w:p>
        </w:tc>
      </w:tr>
      <w:tr>
        <w:tc>
          <w:tcPr>
            <w:tcW w:type="dxa" w:w="32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Statistic – Outputs</w:t>
            </w:r>
          </w:p>
        </w:tc>
        <w:tc>
          <w:tcPr>
            <w:tcW w:type="dxa" w:w="685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Which of the four statistics drives the headline charts/results (default “mean”)</w:t>
            </w:r>
          </w:p>
        </w:tc>
      </w:tr>
      <w:tr>
        <w:tc>
          <w:tcPr>
            <w:tcW w:type="dxa" w:w="32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Sample Type 1–3</w:t>
            </w:r>
          </w:p>
        </w:tc>
        <w:tc>
          <w:tcPr>
            <w:tcW w:type="dxa" w:w="685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Definitions of the three sample splits: Overall/Total, Urban, Rural</w:t>
            </w:r>
          </w:p>
        </w:tc>
      </w:tr>
    </w:tbl>
    <w:p>
      <w:pPr>
        <w:pStyle w:val="Heading2"/>
        <w:spacing w:after="160" w:before="360"/>
      </w:pPr>
      <w:r>
        <w:rPr>
          <w:b/>
          <w:bCs/>
          <w:color w:val="1F3864"/>
          <w:sz w:val="26"/>
          <w:szCs w:val="26"/>
        </w:rPr>
        <w:t xml:space="preserve">4.2 Incidence adjustment switches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6653"/>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Adjust for behavioral &amp; structural change?</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Boolean switch; if on, applies a behavioural-response adjustment factor to consumption incidence</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Behavioral Response Adj. Factor</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Magnitude of the behavioural/structural-change adjustment</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Adjust for deadweight losses?</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Boolean switch; if on, subtracts an estimated deadweight (efficiency) loss from the incidence</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Decile-specific price elasticities of demand?</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Boolean switch; if on and data exists, uses decile-specific elasticities instead of one national elasticity per fuel/category</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Data on decile-specific elasticities available?</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Data-availability flag that gates the switch above</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Assume imperfect pass-through?</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Boolean switch; if on, scales price shocks by sector-specific pass-through coefficients (&lt;100%) instead of full pass-through</w:t>
            </w:r>
          </w:p>
        </w:tc>
      </w:tr>
    </w:tbl>
    <w:p>
      <w:pPr>
        <w:pStyle w:val="Heading2"/>
        <w:spacing w:after="160" w:before="360"/>
      </w:pPr>
      <w:r>
        <w:rPr>
          <w:b/>
          <w:bCs/>
          <w:color w:val="1F3864"/>
          <w:sz w:val="26"/>
          <w:szCs w:val="26"/>
        </w:rPr>
        <w:t xml:space="preserve">4.3 Climate mitigation policy (carbon price) inputs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6653"/>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 Amount – End Year</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Carbon price (USD/tCO2e) in the scenario's end year</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 Amount – Analysis Year</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Carbon price interpolated/extrapolated to the analysis year</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 Revenue – Analysis Year</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Additional government revenue generated by the carbon price in the analysis year (from Mitigation module)</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CP Revenues – Distributional Analysis</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Expected scenario revenue as estimated inside the Distribution module (summed across deciles) — used for the Mitigation-vs-Distribution revenue reconciliation</w:t>
            </w:r>
          </w:p>
        </w:tc>
      </w:tr>
    </w:tbl>
    <w:p>
      <w:pPr>
        <w:pStyle w:val="Heading2"/>
        <w:spacing w:after="160" w:before="360"/>
      </w:pPr>
      <w:r>
        <w:rPr>
          <w:b/>
          <w:bCs/>
          <w:color w:val="1F3864"/>
          <w:sz w:val="26"/>
          <w:szCs w:val="26"/>
        </w:rPr>
        <w:t xml:space="preserve">4.4 Revenue-recycling configuration</w:t>
      </w:r>
    </w:p>
    <w:p>
      <w:pPr>
        <w:spacing w:after="160" w:line="276"/>
      </w:pPr>
      <w:r>
        <w:rPr>
          <w:b w:val="false"/>
          <w:bCs w:val="false"/>
          <w:i w:val="false"/>
          <w:iCs w:val="false"/>
          <w:sz w:val="21"/>
          <w:szCs w:val="21"/>
        </w:rPr>
        <w:t xml:space="preserve">Total carbon-pricing revenue in the analysis year is split, by user-set percentages, across four recycling channels. For each channel the sheet stores both the percentage and the resulting currency amount:</w:t>
      </w:r>
    </w:p>
    <w:p>
      <w:pPr>
        <w:pStyle w:val="ListParagraph"/>
        <w:numPr>
          <w:ilvl w:val="0"/>
          <w:numId w:val="2"/>
        </w:numPr>
        <w:spacing w:after="80" w:line="264"/>
      </w:pPr>
      <w:r>
        <w:rPr>
          <w:sz w:val="21"/>
          <w:szCs w:val="21"/>
        </w:rPr>
        <w:t xml:space="preserve">Labor tax reductions — with sub-options: Proportional Compensation, Personal Allowance, or Targeted Exemption (bottom N deciles); requires baseline PIT revenue-to-GDP and PIT-paid-by-decile data; countries with missing PIT data get a fallback based on World Bank income-group means.</w:t>
      </w:r>
    </w:p>
    <w:p>
      <w:pPr>
        <w:pStyle w:val="ListParagraph"/>
        <w:numPr>
          <w:ilvl w:val="0"/>
          <w:numId w:val="2"/>
        </w:numPr>
        <w:spacing w:after="80" w:line="264"/>
      </w:pPr>
      <w:r>
        <w:rPr>
          <w:sz w:val="21"/>
          <w:szCs w:val="21"/>
        </w:rPr>
        <w:t xml:space="preserve">Targeted transfers — distributed using ASPIRE program-incidence data for the country's selected transfer-program type, where available.</w:t>
      </w:r>
    </w:p>
    <w:p>
      <w:pPr>
        <w:pStyle w:val="ListParagraph"/>
        <w:numPr>
          <w:ilvl w:val="0"/>
          <w:numId w:val="2"/>
        </w:numPr>
        <w:spacing w:after="80" w:line="264"/>
      </w:pPr>
      <w:r>
        <w:rPr>
          <w:sz w:val="21"/>
          <w:szCs w:val="21"/>
        </w:rPr>
        <w:t xml:space="preserve">Public investment — distributed using ASPIRE infrastructure-access incidence data for the selected investment type, where available.</w:t>
      </w:r>
    </w:p>
    <w:p>
      <w:pPr>
        <w:pStyle w:val="ListParagraph"/>
        <w:numPr>
          <w:ilvl w:val="0"/>
          <w:numId w:val="2"/>
        </w:numPr>
        <w:spacing w:after="80" w:line="264"/>
      </w:pPr>
      <w:r>
        <w:rPr>
          <w:sz w:val="21"/>
          <w:szCs w:val="21"/>
        </w:rPr>
        <w:t xml:space="preserve">Current spending — distributed using ASPIRE current-spending incidence data, where available.</w:t>
      </w:r>
    </w:p>
    <w:p>
      <w:pPr>
        <w:spacing w:after="160" w:line="276"/>
      </w:pPr>
      <w:r>
        <w:rPr>
          <w:b w:val="false"/>
          <w:bCs w:val="false"/>
          <w:i w:val="false"/>
          <w:iCs w:val="false"/>
          <w:sz w:val="21"/>
          <w:szCs w:val="21"/>
        </w:rPr>
        <w:t xml:space="preserve">Data-availability flags (“…data generally available?”, “…data available for active choice?”) gate whether ASPIRE-based incidence or a fallback (e.g. GDP-ratio-based, flat-per-capita) distribution is used for transfers, investment and spending. “Revenue Recycling Scenarios” 0–6 and 9–24 are named preset combinations of these channels offered to the user (including several sourced directly from ASPIRE database program codes).</w:t>
      </w:r>
    </w:p>
    <w:p>
      <w:pPr>
        <w:pStyle w:val="Heading2"/>
        <w:spacing w:after="160" w:before="360"/>
      </w:pPr>
      <w:r>
        <w:rPr>
          <w:b/>
          <w:bCs/>
          <w:color w:val="1F3864"/>
          <w:sz w:val="26"/>
          <w:szCs w:val="26"/>
        </w:rPr>
        <w:t xml:space="preserve">4.5 Exemptions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6653"/>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Exempt most-used cooking fossil fuel?</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Boolean switch; if on, zeroes the direct effect for the specified cooking fuel</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Cooking fossil fuel exempt (if applicable)</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Which fuel (e.g. kerosene, LPG) is exempted</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Share of exempt cooking fossil fuel</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Portion of that fuel's consumption treated as exempt</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Exempt cooking fossil fuel for bottom XX deciles</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Which deciles receive the exemption (typically the poorest N)</w:t>
            </w:r>
          </w:p>
        </w:tc>
      </w:tr>
    </w:tbl>
    <w:p>
      <w:pPr>
        <w:pStyle w:val="Heading2"/>
        <w:spacing w:after="160" w:before="360"/>
      </w:pPr>
      <w:r>
        <w:rPr>
          <w:b/>
          <w:bCs/>
          <w:color w:val="1F3864"/>
          <w:sz w:val="26"/>
          <w:szCs w:val="26"/>
        </w:rPr>
        <w:t xml:space="preserve">4.6 Population, GDP &amp; household consumption (rebasing inputs)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6653"/>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Population – Survey Year / End Year / Analysis Year</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country population in each reference year</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Population Adj. Factor</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Scalar to rebase the household-survey sample population to the true national population</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Real GDP – Start Year / End Year / Analysis Year</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From the Mitigation module's macro assumptions</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Per-Capita Real GDP – Analysis Year</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Real GDP / population in the analysis year</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GDP Deflators (multiple reference years)</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Used to convert survey-year, GTAP-year and mitigation-reference-year LCU into a single real-terms analysis-year basis</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Household Consumption – Survey Year</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Aggregate consumption implied by summing the household budget survey</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National Accounts Household Consumption-to-GDP</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Assumed-constant ratio used to derive “true” national household consumption from GDP</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National Accounts Household Consumption – Analysis Year</w:t>
            </w:r>
          </w:p>
        </w:tc>
        <w:tc>
          <w:tcPr>
            <w:tcW w:type="dxa" w:w="6653"/>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 Real GDP (Analysis Year) × Consumption-to-GDP ratio</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Household Consumption Adj. Factor</w:t>
            </w:r>
          </w:p>
        </w:tc>
        <w:tc>
          <w:tcPr>
            <w:tcW w:type="dxa" w:w="6653"/>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 National Accounts consumption / Survey-implied consumption; the key rebasing scalar (see §5.7)</w:t>
            </w:r>
          </w:p>
        </w:tc>
      </w:tr>
    </w:tbl>
    <w:p>
      <w:pPr>
        <w:pStyle w:val="Heading2"/>
        <w:spacing w:after="160" w:before="360"/>
      </w:pPr>
      <w:r>
        <w:rPr>
          <w:b/>
          <w:bCs/>
          <w:color w:val="1F3864"/>
          <w:sz w:val="26"/>
          <w:szCs w:val="26"/>
        </w:rPr>
        <w:t xml:space="preserve">4.7 Price-change inputs (from the Mitigation module / GTAP)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705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Direct energy price increases by fuel (%)</w:t>
            </w:r>
          </w:p>
        </w:tc>
        <w:tc>
          <w:tcPr>
            <w:tcW w:type="dxa" w:w="705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egy.dir.&lt;fuel&gt; for coa, ely, nga, oil, gso, die, lpg, ker, p_c — output of the Mitigation module's carbon-price pass-through to each fuel</w:t>
            </w:r>
          </w:p>
        </w:tc>
      </w:tr>
      <w:tr>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GTAP sectoral energy intensities</w:t>
            </w:r>
          </w:p>
        </w:tc>
        <w:tc>
          <w:tcPr>
            <w:tcW w:type="dxa" w:w="705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egy.&lt;fuel&gt;.leontiefs — ratio of fuel input to total output, by GTAP sector, from the GTAP input-output table (IO_GTAP)</w:t>
            </w:r>
          </w:p>
        </w:tc>
      </w:tr>
      <w:tr>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GTAP-sector price increases (%)</w:t>
            </w:r>
          </w:p>
        </w:tc>
        <w:tc>
          <w:tcPr>
            <w:tcW w:type="dxa" w:w="705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egy.ind.&lt;fuel&gt; and egy.ind.total — fuel price increases translated into output-price increases per GTAP sector via the sectoral energy intensities</w:t>
            </w:r>
          </w:p>
        </w:tc>
      </w:tr>
      <w:tr>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Baseline fuel consumption &amp; trade aggregates</w:t>
            </w:r>
          </w:p>
        </w:tc>
        <w:tc>
          <w:tcPr>
            <w:tcW w:type="dxa" w:w="705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hhd (household demand), totd (total domestic demand), exports, output, domcons (domestic consumption) by GTAP sector — all real-US$bn, from IO_GTAP</w:t>
            </w:r>
          </w:p>
        </w:tc>
      </w:tr>
      <w:tr>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Sectoral pass-through coefficients</w:t>
            </w:r>
          </w:p>
        </w:tc>
        <w:tc>
          <w:tcPr>
            <w:tcW w:type="dxa" w:w="705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Ratio (0–1) of input cost increases actually passed through to output prices, by GTAP/CPAT sector (see §4.2 imperfect-pass-through switch)</w:t>
            </w:r>
          </w:p>
        </w:tc>
      </w:tr>
      <w:tr>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GTAP–CPAT sector crosswalk</w:t>
            </w:r>
          </w:p>
        </w:tc>
        <w:tc>
          <w:tcPr>
            <w:tcW w:type="dxa" w:w="705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Mapping_SectorCrosswalk, Mapping_CPATSectorsToISIC, Mapping_IEAFlowsToISIC, Mapping_ISICToCPAT — used to aggregate ~59 GTAP sectors into the ~14 CPAT household consumption categories</w:t>
            </w:r>
          </w:p>
        </w:tc>
      </w:tr>
    </w:tbl>
    <w:p>
      <w:pPr>
        <w:pStyle w:val="Heading2"/>
        <w:spacing w:after="160" w:before="360"/>
      </w:pPr>
      <w:r>
        <w:rPr>
          <w:b/>
          <w:bCs/>
          <w:color w:val="1F3864"/>
          <w:sz w:val="26"/>
          <w:szCs w:val="26"/>
        </w:rPr>
        <w:t xml:space="preserve">4.8 Household survey &amp; elasticity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7862"/>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HHSurvey</w:t>
            </w:r>
          </w:p>
        </w:tc>
        <w:tc>
          <w:tcPr>
            <w:tcW w:type="dxa" w:w="786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Household budget survey extract for the selected country: per-decile (and urban/rural, mean/median/p25/p75) budget shares for each direct fuel and each indirect consumption category, plus per-decile population and per-capita/total consumption</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HH_Elast</w:t>
            </w:r>
          </w:p>
        </w:tc>
        <w:tc>
          <w:tcPr>
            <w:tcW w:type="dxa" w:w="786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Own-price elasticities of demand by fuel/category (national, and decile-specific where available)</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WHOCooking</w:t>
            </w:r>
          </w:p>
        </w:tc>
        <w:tc>
          <w:tcPr>
            <w:tcW w:type="dxa" w:w="786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WHO household energy database — informs which fossil fuel is the “most-used cooking fuel” for the exemption logic (§4.5) and cooking-fuel budget shares (charcoal, ethanol, firewood)</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GDPRatios</w:t>
            </w:r>
          </w:p>
        </w:tc>
        <w:tc>
          <w:tcPr>
            <w:tcW w:type="dxa" w:w="786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GDP deflators and household-consumption-to-GDP ratios by country/year, used for the national-accounts rebasing in §4.6</w:t>
            </w:r>
          </w:p>
        </w:tc>
      </w:tr>
    </w:tbl>
    <w:p>
      <w:pPr>
        <w:pStyle w:val="Heading2"/>
        <w:spacing w:after="160" w:before="360"/>
      </w:pPr>
      <w:r>
        <w:rPr>
          <w:b/>
          <w:bCs/>
          <w:color w:val="1F3864"/>
          <w:sz w:val="26"/>
          <w:szCs w:val="26"/>
        </w:rPr>
        <w:t xml:space="preserve">4.9 Revenue-recycling incidence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Input</w:t>
            </w:r>
          </w:p>
        </w:tc>
        <w:tc>
          <w:tcPr>
            <w:tcW w:type="dxa" w:w="705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r>
      <w:tr>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ASPIRE</w:t>
            </w:r>
          </w:p>
        </w:tc>
        <w:tc>
          <w:tcPr>
            <w:tcW w:type="dxa" w:w="705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World Bank ASPIRE database — per-decile incidence (coverage/benefit shares) of social-protection &amp; infrastructure-access programs, by program type and country; drives targeted-transfer, public-investment and current-spending distribution in §5.8</w:t>
            </w:r>
          </w:p>
        </w:tc>
      </w:tr>
      <w:tr>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Baseline PIT Revenues – Analysis Year</w:t>
            </w:r>
          </w:p>
        </w:tc>
        <w:tc>
          <w:tcPr>
            <w:tcW w:type="dxa" w:w="705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personal income tax revenue-to-GDP (assumed constant) and the resulting LCU amount</w:t>
            </w:r>
          </w:p>
        </w:tc>
      </w:tr>
      <w:tr>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Decile-specific share in baseline PIT paid</w:t>
            </w:r>
          </w:p>
        </w:tc>
        <w:tc>
          <w:tcPr>
            <w:tcW w:type="dxa" w:w="705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From tax-incidence data where available; rescaled when a country lacks full coverage, using a World Bank income-group fallback</w:t>
            </w:r>
          </w:p>
        </w:tc>
      </w:tr>
      <w:tr>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Number of individuals per decile (overall/urban/rural)</w:t>
            </w:r>
          </w:p>
        </w:tc>
        <w:tc>
          <w:tcPr>
            <w:tcW w:type="dxa" w:w="705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From HHSurvey, used to convert aggregate transfer amounts into per-capita amounts</w:t>
            </w:r>
          </w:p>
        </w:tc>
      </w:tr>
    </w:tbl>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Every table above is drawn from the Excel model's own Section B row labels and helper blocks; where the model shows the same input two or three times (e.g. “CP Revenue – Labor Tax Reductions – Analysis Year” appearing three times), that reflects the sheet's own pattern of storing a percentage, then a currency amount, then a “checked/actuals” version of the same figure — collapse these into a single field with % and amount attributes in the Python/Excel implementations.</w:t>
      </w:r>
    </w:p>
    <w:p>
      <w:pPr>
        <w:pStyle w:val="Heading1"/>
        <w:pageBreakBefore/>
        <w:pBdr>
          <w:bottom w:val="single" w:color="1F3864" w:sz="8" w:space="4"/>
        </w:pBdr>
        <w:spacing w:after="240" w:before="480"/>
      </w:pPr>
      <w:r>
        <w:rPr>
          <w:b/>
          <w:bCs/>
          <w:color w:val="1F3864"/>
          <w:sz w:val="32"/>
          <w:szCs w:val="32"/>
        </w:rPr>
        <w:t xml:space="preserve">5. Algorithm</w:t>
      </w:r>
    </w:p>
    <w:p>
      <w:pPr>
        <w:spacing w:after="160" w:line="276"/>
      </w:pPr>
      <w:r>
        <w:rPr>
          <w:b w:val="false"/>
          <w:bCs w:val="false"/>
          <w:i w:val="false"/>
          <w:iCs w:val="false"/>
          <w:sz w:val="21"/>
          <w:szCs w:val="21"/>
        </w:rPr>
        <w:t xml:space="preserve">The algorithm is organised into 14 steps that mirror sections B.II through F of the Excel sheet. Each step states its purpose, its pseudocode, and the section of the source workbook it corresponds to, so an implementer can cross-check against the live model.</w:t>
      </w:r>
    </w:p>
    <w:p>
      <w:pPr>
        <w:spacing w:after="160" w:line="276"/>
      </w:pPr>
      <w:r>
        <w:rPr>
          <w:b w:val="false"/>
          <w:bCs w:val="false"/>
          <w:i w:val="false"/>
          <w:iCs w:val="false"/>
          <w:sz w:val="21"/>
          <w:szCs w:val="21"/>
        </w:rPr>
        <w:t xml:space="preserve">Notation used throughout: f = a direct fuel; c = an indirect consumption category; d = a decile (1..10); s = a sample (overall/urban/rural); k = a statistic (mean/median/p25/p75). Square brackets denote “indexed by”, e.g. BudgetShare[f, d, s, k].</w:t>
      </w:r>
    </w:p>
    <w:p>
      <w:pPr>
        <w:pStyle w:val="Heading2"/>
        <w:spacing w:after="160" w:before="360"/>
      </w:pPr>
      <w:r>
        <w:rPr>
          <w:b/>
          <w:bCs/>
          <w:color w:val="1F3864"/>
          <w:sz w:val="26"/>
          <w:szCs w:val="26"/>
        </w:rPr>
        <w:t xml:space="preserve">Step 1 — Derive household-relevant price changes (§B.II–B.III, §C.I)</w:t>
      </w:r>
    </w:p>
    <w:p>
      <w:pPr>
        <w:spacing w:after="160" w:line="276"/>
      </w:pPr>
      <w:r>
        <w:rPr>
          <w:b w:val="false"/>
          <w:bCs w:val="false"/>
          <w:i w:val="false"/>
          <w:iCs w:val="false"/>
          <w:sz w:val="21"/>
          <w:szCs w:val="21"/>
        </w:rPr>
        <w:t xml:space="preserve">Goal: turn the Mitigation module's fuel-level carbon-price shock into (a) a price change for each of the 8 direct fuels and (b) a price change for each of the ~14 indirect consumption categories, adjusted for GTAP–CPAT revenue consistency, empirical emissions patterns, and (optionally) imperfect pass-through.</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INPUT  energy_intensity[f, gtap_sector]    # egy.&lt;fuel&gt;.leontiefs, from IO_GTAP</w:t>
      </w:r>
    </w:p>
    <w:p>
      <w:pPr>
        <w:shd w:fill="EFF3F6" w:val="clear"/>
        <w:spacing w:after="0" w:line="264"/>
        <w:ind w:left="160" w:right="160"/>
      </w:pPr>
      <w:r>
        <w:rPr>
          <w:rFonts w:ascii="Consolas" w:cs="Consolas" w:eastAsia="Consolas" w:hAnsi="Consolas"/>
          <w:color w:val="1B1B1B"/>
          <w:sz w:val="19"/>
          <w:szCs w:val="19"/>
        </w:rPr>
        <w:t xml:space="preserve">INPUT  leontief_inverse                    # (I - A)^-1 from IO_GTAP, propagates upstream costs downstream</w:t>
      </w:r>
    </w:p>
    <w:p>
      <w:pPr>
        <w:shd w:fill="EFF3F6" w:val="clear"/>
        <w:spacing w:after="0" w:line="264"/>
        <w:ind w:left="160" w:right="160"/>
      </w:pPr>
      <w:r>
        <w:rPr>
          <w:rFonts w:ascii="Consolas" w:cs="Consolas" w:eastAsia="Consolas" w:hAnsi="Consolas"/>
          <w:color w:val="1B1B1B"/>
          <w:sz w:val="19"/>
          <w:szCs w:val="19"/>
        </w:rPr>
        <w:t xml:space="preserve">INPUT  hh_demand[gtap_sector], exports[gtap_sector], output[gtap_sector]   # IO_GTAP aggregates</w:t>
      </w:r>
    </w:p>
    <w:p>
      <w:pPr>
        <w:shd w:fill="EFF3F6" w:val="clear"/>
        <w:spacing w:after="0" w:line="264"/>
        <w:ind w:left="160" w:right="160"/>
      </w:pPr>
      <w:r>
        <w:rPr>
          <w:rFonts w:ascii="Consolas" w:cs="Consolas" w:eastAsia="Consolas" w:hAnsi="Consolas"/>
          <w:color w:val="1B1B1B"/>
          <w:sz w:val="19"/>
          <w:szCs w:val="19"/>
        </w:rPr>
        <w:t xml:space="preserve">INPUT  passthrough_coeff[gtap_sector]      # sectoral cost pass-through ratio (0-1)</w:t>
      </w:r>
    </w:p>
    <w:p>
      <w:pPr>
        <w:shd w:fill="EFF3F6" w:val="clear"/>
        <w:spacing w:after="0" w:line="264"/>
        <w:ind w:left="160" w:right="160"/>
      </w:pPr>
      <w:r>
        <w:rPr>
          <w:rFonts w:ascii="Consolas" w:cs="Consolas" w:eastAsia="Consolas" w:hAnsi="Consolas"/>
          <w:color w:val="1B1B1B"/>
          <w:sz w:val="19"/>
          <w:szCs w:val="19"/>
        </w:rPr>
        <w:t xml:space="preserve">INPUT  gtap_to_cpat_map, iea_emissions_by_fuel_sector</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1.1 Sector-level price increase implied by each fuel's price shock</w:t>
      </w:r>
    </w:p>
    <w:p>
      <w:pPr>
        <w:shd w:fill="EFF3F6" w:val="clear"/>
        <w:spacing w:after="0" w:line="264"/>
        <w:ind w:left="160" w:right="160"/>
      </w:pPr>
      <w:r>
        <w:rPr>
          <w:rFonts w:ascii="Consolas" w:cs="Consolas" w:eastAsia="Consolas" w:hAnsi="Consolas"/>
          <w:color w:val="1B1B1B"/>
          <w:sz w:val="19"/>
          <w:szCs w:val="19"/>
        </w:rPr>
        <w:t xml:space="preserve">FOR EACH gtap_sector g:</w:t>
      </w:r>
    </w:p>
    <w:p>
      <w:pPr>
        <w:shd w:fill="EFF3F6" w:val="clear"/>
        <w:spacing w:after="0" w:line="264"/>
        <w:ind w:left="160" w:right="160"/>
      </w:pPr>
      <w:r>
        <w:rPr>
          <w:rFonts w:ascii="Consolas" w:cs="Consolas" w:eastAsia="Consolas" w:hAnsi="Consolas"/>
          <w:color w:val="1B1B1B"/>
          <w:sz w:val="19"/>
          <w:szCs w:val="19"/>
        </w:rPr>
        <w:t xml:space="preserve">    sector_price_increase[g] = SUM OVER f( direct_price_increase[f] * energy_intensity[f, g] )</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1.2 Indirect (embedded-energy) price increase for every non-fuel sector, via Leontief inverse</w:t>
      </w:r>
    </w:p>
    <w:p>
      <w:pPr>
        <w:shd w:fill="EFF3F6" w:val="clear"/>
        <w:spacing w:after="0" w:line="264"/>
        <w:ind w:left="160" w:right="160"/>
      </w:pPr>
      <w:r>
        <w:rPr>
          <w:rFonts w:ascii="Consolas" w:cs="Consolas" w:eastAsia="Consolas" w:hAnsi="Consolas"/>
          <w:color w:val="1B1B1B"/>
          <w:sz w:val="19"/>
          <w:szCs w:val="19"/>
        </w:rPr>
        <w:t xml:space="preserve">FOR EACH gtap_sector g NOT IN fossil_fuel_sectors:</w:t>
      </w:r>
    </w:p>
    <w:p>
      <w:pPr>
        <w:shd w:fill="EFF3F6" w:val="clear"/>
        <w:spacing w:after="0" w:line="264"/>
        <w:ind w:left="160" w:right="160"/>
      </w:pPr>
      <w:r>
        <w:rPr>
          <w:rFonts w:ascii="Consolas" w:cs="Consolas" w:eastAsia="Consolas" w:hAnsi="Consolas"/>
          <w:color w:val="1B1B1B"/>
          <w:sz w:val="19"/>
          <w:szCs w:val="19"/>
        </w:rPr>
        <w:t xml:space="preserve">    indirect_price_increase[g] = SUM OVER f( direct_price_increase[f] * leontief_inverse[f, g] )</w:t>
      </w:r>
    </w:p>
    <w:p>
      <w:pPr>
        <w:shd w:fill="EFF3F6" w:val="clear"/>
        <w:spacing w:after="0" w:line="264"/>
        <w:ind w:left="160" w:right="160"/>
      </w:pPr>
      <w:r>
        <w:rPr>
          <w:rFonts w:ascii="Consolas" w:cs="Consolas" w:eastAsia="Consolas" w:hAnsi="Consolas"/>
          <w:color w:val="1B1B1B"/>
          <w:sz w:val="19"/>
          <w:szCs w:val="19"/>
        </w:rPr>
        <w:t xml:space="preserve">    # equivalent, in the model's own notation (see §6 'Key formulas'):  f not in g</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1.3 Mitigation-vs-Distribution revenue reconciliation</w:t>
      </w:r>
    </w:p>
    <w:p>
      <w:pPr>
        <w:shd w:fill="EFF3F6" w:val="clear"/>
        <w:spacing w:after="0" w:line="264"/>
        <w:ind w:left="160" w:right="160"/>
      </w:pPr>
      <w:r>
        <w:rPr>
          <w:rFonts w:ascii="Consolas" w:cs="Consolas" w:eastAsia="Consolas" w:hAnsi="Consolas"/>
          <w:color w:val="1B1B1B"/>
          <w:sz w:val="19"/>
          <w:szCs w:val="19"/>
        </w:rPr>
        <w:t xml:space="preserve">Pm = CP_Revenue_AnalysisYear                       # revenue as estimated by the Mitigation module</w:t>
      </w:r>
    </w:p>
    <w:p>
      <w:pPr>
        <w:shd w:fill="EFF3F6" w:val="clear"/>
        <w:spacing w:after="0" w:line="264"/>
        <w:ind w:left="160" w:right="160"/>
      </w:pPr>
      <w:r>
        <w:rPr>
          <w:rFonts w:ascii="Consolas" w:cs="Consolas" w:eastAsia="Consolas" w:hAnsi="Consolas"/>
          <w:color w:val="1B1B1B"/>
          <w:sz w:val="19"/>
          <w:szCs w:val="19"/>
        </w:rPr>
        <w:t xml:space="preserve">Pd = SUM OVER f( direct_price_increase[f] * total_fossil_fuel_consumed[f] )   # revenue implied by this module's GTAP table</w:t>
      </w:r>
    </w:p>
    <w:p>
      <w:pPr>
        <w:shd w:fill="EFF3F6" w:val="clear"/>
        <w:spacing w:after="0" w:line="264"/>
        <w:ind w:left="160" w:right="160"/>
      </w:pPr>
      <w:r>
        <w:rPr>
          <w:rFonts w:ascii="Consolas" w:cs="Consolas" w:eastAsia="Consolas" w:hAnsi="Consolas"/>
          <w:color w:val="1B1B1B"/>
          <w:sz w:val="19"/>
          <w:szCs w:val="19"/>
        </w:rPr>
        <w:t xml:space="preserve">revenue_adjustment_factor = Pm / Pd                 # Pm &lt; Pd in practice, so factor &lt; 1</w:t>
      </w:r>
    </w:p>
    <w:p>
      <w:pPr>
        <w:shd w:fill="EFF3F6" w:val="clear"/>
        <w:spacing w:after="0" w:line="264"/>
        <w:ind w:left="160" w:right="160"/>
      </w:pPr>
      <w:r>
        <w:rPr>
          <w:rFonts w:ascii="Consolas" w:cs="Consolas" w:eastAsia="Consolas" w:hAnsi="Consolas"/>
          <w:color w:val="1B1B1B"/>
          <w:sz w:val="19"/>
          <w:szCs w:val="19"/>
        </w:rPr>
        <w:t xml:space="preserve">sector_price_increase[g]  = sector_price_increase[g]  * revenue_adjustment_factor   FOR EACH g</w:t>
      </w:r>
    </w:p>
    <w:p>
      <w:pPr>
        <w:shd w:fill="EFF3F6" w:val="clear"/>
        <w:spacing w:after="0" w:line="264"/>
        <w:ind w:left="160" w:right="160"/>
      </w:pPr>
      <w:r>
        <w:rPr>
          <w:rFonts w:ascii="Consolas" w:cs="Consolas" w:eastAsia="Consolas" w:hAnsi="Consolas"/>
          <w:color w:val="1B1B1B"/>
          <w:sz w:val="19"/>
          <w:szCs w:val="19"/>
        </w:rPr>
        <w:t xml:space="preserve">indirect_price_increase[g] = indirect_price_increase[g] * revenue_adjustment_factor  FOR EACH g</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1.4 Emissions-based recalibration (align IO-implied price changes with observed IEA/GAINS/IMF emissions-price patterns)</w:t>
      </w:r>
    </w:p>
    <w:p>
      <w:pPr>
        <w:shd w:fill="EFF3F6" w:val="clear"/>
        <w:spacing w:after="0" w:line="264"/>
        <w:ind w:left="160" w:right="160"/>
      </w:pPr>
      <w:r>
        <w:rPr>
          <w:rFonts w:ascii="Consolas" w:cs="Consolas" w:eastAsia="Consolas" w:hAnsi="Consolas"/>
          <w:color w:val="1B1B1B"/>
          <w:sz w:val="19"/>
          <w:szCs w:val="19"/>
        </w:rPr>
        <w:t xml:space="preserve">FOR EACH gtap_sector g:</w:t>
      </w:r>
    </w:p>
    <w:p>
      <w:pPr>
        <w:shd w:fill="EFF3F6" w:val="clear"/>
        <w:spacing w:after="0" w:line="264"/>
        <w:ind w:left="160" w:right="160"/>
      </w:pPr>
      <w:r>
        <w:rPr>
          <w:rFonts w:ascii="Consolas" w:cs="Consolas" w:eastAsia="Consolas" w:hAnsi="Consolas"/>
          <w:color w:val="1B1B1B"/>
          <w:sz w:val="19"/>
          <w:szCs w:val="19"/>
        </w:rPr>
        <w:t xml:space="preserve">    adjusted_price_increase[g] = rescale( sector_price_increase[g], iea_emissions_by_fuel_sector[g] )</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1.5 Optional: imperfect pass-through</w:t>
      </w:r>
    </w:p>
    <w:p>
      <w:pPr>
        <w:shd w:fill="EFF3F6" w:val="clear"/>
        <w:spacing w:after="0" w:line="264"/>
        <w:ind w:left="160" w:right="160"/>
      </w:pPr>
      <w:r>
        <w:rPr>
          <w:rFonts w:ascii="Consolas" w:cs="Consolas" w:eastAsia="Consolas" w:hAnsi="Consolas"/>
          <w:color w:val="1B1B1B"/>
          <w:sz w:val="19"/>
          <w:szCs w:val="19"/>
        </w:rPr>
        <w:t xml:space="preserve">IF assume_imperfect_passthrough:</w:t>
      </w:r>
    </w:p>
    <w:p>
      <w:pPr>
        <w:shd w:fill="EFF3F6" w:val="clear"/>
        <w:spacing w:after="0" w:line="264"/>
        <w:ind w:left="160" w:right="160"/>
      </w:pPr>
      <w:r>
        <w:rPr>
          <w:rFonts w:ascii="Consolas" w:cs="Consolas" w:eastAsia="Consolas" w:hAnsi="Consolas"/>
          <w:color w:val="1B1B1B"/>
          <w:sz w:val="19"/>
          <w:szCs w:val="19"/>
        </w:rPr>
        <w:t xml:space="preserve">    FOR EACH gtap_sector g:</w:t>
      </w:r>
    </w:p>
    <w:p>
      <w:pPr>
        <w:shd w:fill="EFF3F6" w:val="clear"/>
        <w:spacing w:after="0" w:line="264"/>
        <w:ind w:left="160" w:right="160"/>
      </w:pPr>
      <w:r>
        <w:rPr>
          <w:rFonts w:ascii="Consolas" w:cs="Consolas" w:eastAsia="Consolas" w:hAnsi="Consolas"/>
          <w:color w:val="1B1B1B"/>
          <w:sz w:val="19"/>
          <w:szCs w:val="19"/>
        </w:rPr>
        <w:t xml:space="preserve">        adjusted_price_increase[g] = adjusted_price_increase[g] * passthrough_coeff[g]</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1.6 Aggregate the ~59 GTAP sectors up to the ~14 CPAT indirect consumption categories,</w:t>
      </w:r>
    </w:p>
    <w:p>
      <w:pPr>
        <w:shd w:fill="EFF3F6" w:val="clear"/>
        <w:spacing w:after="0" w:line="264"/>
        <w:ind w:left="160" w:right="160"/>
      </w:pPr>
      <w:r>
        <w:rPr>
          <w:rFonts w:ascii="Consolas" w:cs="Consolas" w:eastAsia="Consolas" w:hAnsi="Consolas"/>
          <w:color w:val="1B1B1B"/>
          <w:sz w:val="19"/>
          <w:szCs w:val="19"/>
        </w:rPr>
        <w:t xml:space="preserve">#     weighted by each sector's share of total household demand for that category</w:t>
      </w:r>
    </w:p>
    <w:p>
      <w:pPr>
        <w:shd w:fill="EFF3F6" w:val="clear"/>
        <w:spacing w:after="0" w:line="264"/>
        <w:ind w:left="160" w:right="160"/>
      </w:pPr>
      <w:r>
        <w:rPr>
          <w:rFonts w:ascii="Consolas" w:cs="Consolas" w:eastAsia="Consolas" w:hAnsi="Consolas"/>
          <w:color w:val="1B1B1B"/>
          <w:sz w:val="19"/>
          <w:szCs w:val="19"/>
        </w:rPr>
        <w:t xml:space="preserve">FOR EACH cpat_category c:</w:t>
      </w:r>
    </w:p>
    <w:p>
      <w:pPr>
        <w:shd w:fill="EFF3F6" w:val="clear"/>
        <w:spacing w:after="0" w:line="264"/>
        <w:ind w:left="160" w:right="160"/>
      </w:pPr>
      <w:r>
        <w:rPr>
          <w:rFonts w:ascii="Consolas" w:cs="Consolas" w:eastAsia="Consolas" w:hAnsi="Consolas"/>
          <w:color w:val="1B1B1B"/>
          <w:sz w:val="19"/>
          <w:szCs w:val="19"/>
        </w:rPr>
        <w:t xml:space="preserve">    member_sectors = gtap_to_cpat_map[c]</w:t>
      </w:r>
    </w:p>
    <w:p>
      <w:pPr>
        <w:shd w:fill="EFF3F6" w:val="clear"/>
        <w:spacing w:after="0" w:line="264"/>
        <w:ind w:left="160" w:right="160"/>
      </w:pPr>
      <w:r>
        <w:rPr>
          <w:rFonts w:ascii="Consolas" w:cs="Consolas" w:eastAsia="Consolas" w:hAnsi="Consolas"/>
          <w:color w:val="1B1B1B"/>
          <w:sz w:val="19"/>
          <w:szCs w:val="19"/>
        </w:rPr>
        <w:t xml:space="preserve">    price_change_indirect[c] = WEIGHTED_AVERAGE(</w:t>
      </w:r>
    </w:p>
    <w:p>
      <w:pPr>
        <w:shd w:fill="EFF3F6" w:val="clear"/>
        <w:spacing w:after="0" w:line="264"/>
        <w:ind w:left="160" w:right="160"/>
      </w:pPr>
      <w:r>
        <w:rPr>
          <w:rFonts w:ascii="Consolas" w:cs="Consolas" w:eastAsia="Consolas" w:hAnsi="Consolas"/>
          <w:color w:val="1B1B1B"/>
          <w:sz w:val="19"/>
          <w:szCs w:val="19"/>
        </w:rPr>
        <w:t xml:space="preserve">        values  = { adjusted_price_increase[g] : g IN member_sectors },</w:t>
      </w:r>
    </w:p>
    <w:p>
      <w:pPr>
        <w:shd w:fill="EFF3F6" w:val="clear"/>
        <w:spacing w:after="0" w:line="264"/>
        <w:ind w:left="160" w:right="160"/>
      </w:pPr>
      <w:r>
        <w:rPr>
          <w:rFonts w:ascii="Consolas" w:cs="Consolas" w:eastAsia="Consolas" w:hAnsi="Consolas"/>
          <w:color w:val="1B1B1B"/>
          <w:sz w:val="19"/>
          <w:szCs w:val="19"/>
        </w:rPr>
        <w:t xml:space="preserve">        weights = { hh_demand[g]               : g IN member_sectors }</w:t>
      </w:r>
    </w:p>
    <w:p>
      <w:pPr>
        <w:shd w:fill="EFF3F6" w:val="clear"/>
        <w:spacing w:after="0" w:line="264"/>
        <w:ind w:left="160" w:right="160"/>
      </w:pPr>
      <w:r>
        <w:rPr>
          <w:rFonts w:ascii="Consolas" w:cs="Consolas" w:eastAsia="Consolas" w:hAnsi="Consolas"/>
          <w:color w:val="1B1B1B"/>
          <w:sz w:val="19"/>
          <w:szCs w:val="19"/>
        </w:rPr>
        <w:t xml:space="preserve">    )</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OUTPUT price_change_direct[f]     FOR EACH direct fuel f        # ∆P used in Step 4</w:t>
      </w:r>
    </w:p>
    <w:p>
      <w:pPr>
        <w:shd w:fill="EFF3F6" w:val="clear"/>
        <w:spacing w:after="0" w:line="264"/>
        <w:ind w:left="160" w:right="160"/>
      </w:pPr>
      <w:r>
        <w:rPr>
          <w:rFonts w:ascii="Consolas" w:cs="Consolas" w:eastAsia="Consolas" w:hAnsi="Consolas"/>
          <w:color w:val="1B1B1B"/>
          <w:sz w:val="19"/>
          <w:szCs w:val="19"/>
        </w:rPr>
        <w:t xml:space="preserve">OUTPUT price_change_indirect[c]   FOR EACH indirect category c  # ∆P used in Step 5</w:t>
      </w:r>
    </w:p>
    <w:p>
      <w:pPr>
        <w:pBdr>
          <w:bottom w:val="single" w:color="D9D9D9" w:sz="6" w:space="4"/>
        </w:pBdr>
        <w:spacing w:after="240" w:line="264"/>
      </w:pPr>
    </w:p>
    <w:p>
      <w:pPr>
        <w:pStyle w:val="Heading2"/>
        <w:spacing w:after="160" w:before="360"/>
      </w:pPr>
      <w:r>
        <w:rPr>
          <w:b/>
          <w:bCs/>
          <w:color w:val="1F3864"/>
          <w:sz w:val="26"/>
          <w:szCs w:val="26"/>
        </w:rPr>
        <w:t xml:space="preserve">Step 2 — Behavioural response, price elasticity &amp; deadweight-loss adjustments (§C.II)</w:t>
      </w:r>
    </w:p>
    <w:p>
      <w:pPr>
        <w:spacing w:after="160" w:line="276"/>
      </w:pPr>
      <w:r>
        <w:rPr>
          <w:b w:val="false"/>
          <w:bCs w:val="false"/>
          <w:i w:val="false"/>
          <w:iCs w:val="false"/>
          <w:sz w:val="21"/>
          <w:szCs w:val="21"/>
        </w:rPr>
        <w:t xml:space="preserve">Goal: optionally temper the pure price-pass-through incidence to reflect that households reduce consumption when prices rise (behavioural response), and to separately account for the efficiency (deadweight) loss this creates, which is a real welfare cost but is not captured as government revenue.</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INPUT  behavioral_adj_factor                  # user assumption, §4.2</w:t>
      </w:r>
    </w:p>
    <w:p>
      <w:pPr>
        <w:shd w:fill="EFF3F6" w:val="clear"/>
        <w:spacing w:after="0" w:line="264"/>
        <w:ind w:left="160" w:right="160"/>
      </w:pPr>
      <w:r>
        <w:rPr>
          <w:rFonts w:ascii="Consolas" w:cs="Consolas" w:eastAsia="Consolas" w:hAnsi="Consolas"/>
          <w:color w:val="1B1B1B"/>
          <w:sz w:val="19"/>
          <w:szCs w:val="19"/>
        </w:rPr>
        <w:t xml:space="preserve">INPUT  adjust_for_behavior, adjust_for_dwl, use_decile_elasticities   # boolean switches, §4.2</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FOR EACH item x IN (direct fuels ∪ indirect categories):</w:t>
      </w:r>
    </w:p>
    <w:p>
      <w:pPr>
        <w:shd w:fill="EFF3F6" w:val="clear"/>
        <w:spacing w:after="0" w:line="264"/>
        <w:ind w:left="160" w:right="160"/>
      </w:pPr>
      <w:r>
        <w:rPr>
          <w:rFonts w:ascii="Consolas" w:cs="Consolas" w:eastAsia="Consolas" w:hAnsi="Consolas"/>
          <w:color w:val="1B1B1B"/>
          <w:sz w:val="19"/>
          <w:szCs w:val="19"/>
        </w:rPr>
        <w:t xml:space="preserve">    FOR EACH decile d:</w:t>
      </w:r>
    </w:p>
    <w:p>
      <w:pPr>
        <w:shd w:fill="EFF3F6" w:val="clear"/>
        <w:spacing w:after="0" w:line="264"/>
        <w:ind w:left="160" w:right="160"/>
      </w:pPr>
      <w:r>
        <w:rPr>
          <w:rFonts w:ascii="Consolas" w:cs="Consolas" w:eastAsia="Consolas" w:hAnsi="Consolas"/>
          <w:color w:val="1B1B1B"/>
          <w:sz w:val="19"/>
          <w:szCs w:val="19"/>
        </w:rPr>
        <w:t xml:space="preserve">        e = use_decile_elasticities ? elasticity[x, d] : elasticity[x]</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 2.1 Quantity response implied by the price change (standard demand-elasticity relationship)</w:t>
      </w:r>
    </w:p>
    <w:p>
      <w:pPr>
        <w:shd w:fill="EFF3F6" w:val="clear"/>
        <w:spacing w:after="0" w:line="264"/>
        <w:ind w:left="160" w:right="160"/>
      </w:pPr>
      <w:r>
        <w:rPr>
          <w:rFonts w:ascii="Consolas" w:cs="Consolas" w:eastAsia="Consolas" w:hAnsi="Consolas"/>
          <w:color w:val="1B1B1B"/>
          <w:sz w:val="19"/>
          <w:szCs w:val="19"/>
        </w:rPr>
        <w:t xml:space="preserve">        quantity_change[x, d] = e * price_change[x]</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 2.2 Behavioural/structural change adjustment (dampens or amplifies the pure elasticity effect)</w:t>
      </w:r>
    </w:p>
    <w:p>
      <w:pPr>
        <w:shd w:fill="EFF3F6" w:val="clear"/>
        <w:spacing w:after="0" w:line="264"/>
        <w:ind w:left="160" w:right="160"/>
      </w:pPr>
      <w:r>
        <w:rPr>
          <w:rFonts w:ascii="Consolas" w:cs="Consolas" w:eastAsia="Consolas" w:hAnsi="Consolas"/>
          <w:color w:val="1B1B1B"/>
          <w:sz w:val="19"/>
          <w:szCs w:val="19"/>
        </w:rPr>
        <w:t xml:space="preserve">        IF adjust_for_behavior:</w:t>
      </w:r>
    </w:p>
    <w:p>
      <w:pPr>
        <w:shd w:fill="EFF3F6" w:val="clear"/>
        <w:spacing w:after="0" w:line="264"/>
        <w:ind w:left="160" w:right="160"/>
      </w:pPr>
      <w:r>
        <w:rPr>
          <w:rFonts w:ascii="Consolas" w:cs="Consolas" w:eastAsia="Consolas" w:hAnsi="Consolas"/>
          <w:color w:val="1B1B1B"/>
          <w:sz w:val="19"/>
          <w:szCs w:val="19"/>
        </w:rPr>
        <w:t xml:space="preserve">            behavior_adjustment[x, d] = behavioral_adj_factor</w:t>
      </w:r>
    </w:p>
    <w:p>
      <w:pPr>
        <w:shd w:fill="EFF3F6" w:val="clear"/>
        <w:spacing w:after="0" w:line="264"/>
        <w:ind w:left="160" w:right="160"/>
      </w:pPr>
      <w:r>
        <w:rPr>
          <w:rFonts w:ascii="Consolas" w:cs="Consolas" w:eastAsia="Consolas" w:hAnsi="Consolas"/>
          <w:color w:val="1B1B1B"/>
          <w:sz w:val="19"/>
          <w:szCs w:val="19"/>
        </w:rPr>
        <w:t xml:space="preserve">        ELSE:</w:t>
      </w:r>
    </w:p>
    <w:p>
      <w:pPr>
        <w:shd w:fill="EFF3F6" w:val="clear"/>
        <w:spacing w:after="0" w:line="264"/>
        <w:ind w:left="160" w:right="160"/>
      </w:pPr>
      <w:r>
        <w:rPr>
          <w:rFonts w:ascii="Consolas" w:cs="Consolas" w:eastAsia="Consolas" w:hAnsi="Consolas"/>
          <w:color w:val="1B1B1B"/>
          <w:sz w:val="19"/>
          <w:szCs w:val="19"/>
        </w:rPr>
        <w:t xml:space="preserve">            behavior_adjustment[x, d] = 1.0   # no adjustment</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 2.3 Deadweight loss (Harberger triangle): 0.5 * elasticity * price_change^2 * baseline expenditure share</w:t>
      </w:r>
    </w:p>
    <w:p>
      <w:pPr>
        <w:shd w:fill="EFF3F6" w:val="clear"/>
        <w:spacing w:after="0" w:line="264"/>
        <w:ind w:left="160" w:right="160"/>
      </w:pPr>
      <w:r>
        <w:rPr>
          <w:rFonts w:ascii="Consolas" w:cs="Consolas" w:eastAsia="Consolas" w:hAnsi="Consolas"/>
          <w:color w:val="1B1B1B"/>
          <w:sz w:val="19"/>
          <w:szCs w:val="19"/>
        </w:rPr>
        <w:t xml:space="preserve">        IF adjust_for_dwl:</w:t>
      </w:r>
    </w:p>
    <w:p>
      <w:pPr>
        <w:shd w:fill="EFF3F6" w:val="clear"/>
        <w:spacing w:after="0" w:line="264"/>
        <w:ind w:left="160" w:right="160"/>
      </w:pPr>
      <w:r>
        <w:rPr>
          <w:rFonts w:ascii="Consolas" w:cs="Consolas" w:eastAsia="Consolas" w:hAnsi="Consolas"/>
          <w:color w:val="1B1B1B"/>
          <w:sz w:val="19"/>
          <w:szCs w:val="19"/>
        </w:rPr>
        <w:t xml:space="preserve">            dwl[x, d] = 0.5 * e * (price_change[x] ** 2) * budget_share[x, d]</w:t>
      </w:r>
    </w:p>
    <w:p>
      <w:pPr>
        <w:shd w:fill="EFF3F6" w:val="clear"/>
        <w:spacing w:after="0" w:line="264"/>
        <w:ind w:left="160" w:right="160"/>
      </w:pPr>
      <w:r>
        <w:rPr>
          <w:rFonts w:ascii="Consolas" w:cs="Consolas" w:eastAsia="Consolas" w:hAnsi="Consolas"/>
          <w:color w:val="1B1B1B"/>
          <w:sz w:val="19"/>
          <w:szCs w:val="19"/>
        </w:rPr>
        <w:t xml:space="preserve">        ELSE:</w:t>
      </w:r>
    </w:p>
    <w:p>
      <w:pPr>
        <w:shd w:fill="EFF3F6" w:val="clear"/>
        <w:spacing w:after="0" w:line="264"/>
        <w:ind w:left="160" w:right="160"/>
      </w:pPr>
      <w:r>
        <w:rPr>
          <w:rFonts w:ascii="Consolas" w:cs="Consolas" w:eastAsia="Consolas" w:hAnsi="Consolas"/>
          <w:color w:val="1B1B1B"/>
          <w:sz w:val="19"/>
          <w:szCs w:val="19"/>
        </w:rPr>
        <w:t xml:space="preserve">            dwl[x, d] = 0</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3 — Household budget shares (§C.III–C.IV)</w:t>
      </w:r>
    </w:p>
    <w:p>
      <w:pPr>
        <w:spacing w:after="160" w:line="276"/>
      </w:pPr>
      <w:r>
        <w:rPr>
          <w:b w:val="false"/>
          <w:bCs w:val="false"/>
          <w:i w:val="false"/>
          <w:iCs w:val="false"/>
          <w:sz w:val="21"/>
          <w:szCs w:val="21"/>
        </w:rPr>
        <w:t xml:space="preserve">Goal: for every direct fuel and every indirect category, compute the share of total household consumption that item represents, at every (decile × sample × statistic) cell. This is the weighting used to translate a price change into a consumption-loss estimate.</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FOR EACH item x IN (direct fuels ∪ indirect categories):</w:t>
      </w:r>
    </w:p>
    <w:p>
      <w:pPr>
        <w:shd w:fill="EFF3F6" w:val="clear"/>
        <w:spacing w:after="0" w:line="264"/>
        <w:ind w:left="160" w:right="160"/>
      </w:pPr>
      <w:r>
        <w:rPr>
          <w:rFonts w:ascii="Consolas" w:cs="Consolas" w:eastAsia="Consolas" w:hAnsi="Consolas"/>
          <w:color w:val="1B1B1B"/>
          <w:sz w:val="19"/>
          <w:szCs w:val="19"/>
        </w:rPr>
        <w:t xml:space="preserve">    FOR EACH sample s IN {overall, urban, rural}:</w:t>
      </w:r>
    </w:p>
    <w:p>
      <w:pPr>
        <w:shd w:fill="EFF3F6" w:val="clear"/>
        <w:spacing w:after="0" w:line="264"/>
        <w:ind w:left="160" w:right="160"/>
      </w:pPr>
      <w:r>
        <w:rPr>
          <w:rFonts w:ascii="Consolas" w:cs="Consolas" w:eastAsia="Consolas" w:hAnsi="Consolas"/>
          <w:color w:val="1B1B1B"/>
          <w:sz w:val="19"/>
          <w:szCs w:val="19"/>
        </w:rPr>
        <w:t xml:space="preserve">        FOR EACH statistic k IN {mean, median, p25, p75}:</w:t>
      </w:r>
    </w:p>
    <w:p>
      <w:pPr>
        <w:shd w:fill="EFF3F6" w:val="clear"/>
        <w:spacing w:after="0" w:line="264"/>
        <w:ind w:left="160" w:right="160"/>
      </w:pPr>
      <w:r>
        <w:rPr>
          <w:rFonts w:ascii="Consolas" w:cs="Consolas" w:eastAsia="Consolas" w:hAnsi="Consolas"/>
          <w:color w:val="1B1B1B"/>
          <w:sz w:val="19"/>
          <w:szCs w:val="19"/>
        </w:rPr>
        <w:t xml:space="preserve">            budget_share[x, 'basket', s, k] = expenditure_on(x) / total_consumption   # single national figure</w:t>
      </w:r>
    </w:p>
    <w:p>
      <w:pPr>
        <w:shd w:fill="EFF3F6" w:val="clear"/>
        <w:spacing w:after="0" w:line="264"/>
        <w:ind w:left="160" w:right="160"/>
      </w:pPr>
      <w:r>
        <w:rPr>
          <w:rFonts w:ascii="Consolas" w:cs="Consolas" w:eastAsia="Consolas" w:hAnsi="Consolas"/>
          <w:color w:val="1B1B1B"/>
          <w:sz w:val="19"/>
          <w:szCs w:val="19"/>
        </w:rPr>
        <w:t xml:space="preserve">            FOR EACH decile d IN 1..10:</w:t>
      </w:r>
    </w:p>
    <w:p>
      <w:pPr>
        <w:shd w:fill="EFF3F6" w:val="clear"/>
        <w:spacing w:after="0" w:line="264"/>
        <w:ind w:left="160" w:right="160"/>
      </w:pPr>
      <w:r>
        <w:rPr>
          <w:rFonts w:ascii="Consolas" w:cs="Consolas" w:eastAsia="Consolas" w:hAnsi="Consolas"/>
          <w:color w:val="1B1B1B"/>
          <w:sz w:val="19"/>
          <w:szCs w:val="19"/>
        </w:rPr>
        <w:t xml:space="preserve">                budget_share[x, d, s, k] = expenditure_on(x, decile=d) / total_consumption(decile=d)</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spacing w:after="160" w:line="276"/>
      </w:pPr>
      <w:r>
        <w:rPr>
          <w:b w:val="false"/>
          <w:bCs w:val="false"/>
          <w:i w:val="false"/>
          <w:iCs w:val="false"/>
          <w:sz w:val="21"/>
          <w:szCs w:val="21"/>
        </w:rPr>
        <w:t xml:space="preserve">Direct fuels covered: coal (coa), electricity (ely), natural gas (nga), non-road/other oil (oil), gasoline (gso), diesel (die), kerosene (ker), LPG (lpg), plus traditional cooking fuels charcoal, ethanol and firewood. Indirect categories covered: appliances, chemicals, clothing, communications, education, food, health services, housing, other, paper, pharmaceuticals, recreation/tourism, transport equipment, public transportation (see Appendix B for the full code list).</w:t>
      </w:r>
    </w:p>
    <w:p>
      <w:pPr>
        <w:pStyle w:val="Heading2"/>
        <w:spacing w:after="160" w:before="360"/>
      </w:pPr>
      <w:r>
        <w:rPr>
          <w:b/>
          <w:bCs/>
          <w:color w:val="1F3864"/>
          <w:sz w:val="26"/>
          <w:szCs w:val="26"/>
        </w:rPr>
        <w:t xml:space="preserve">Step 4 — Direct consumption-loss effect (§C.V)</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FOR EACH decile d, sample s, statistic k:</w:t>
      </w:r>
    </w:p>
    <w:p>
      <w:pPr>
        <w:shd w:fill="EFF3F6" w:val="clear"/>
        <w:spacing w:after="0" w:line="264"/>
        <w:ind w:left="160" w:right="160"/>
      </w:pPr>
      <w:r>
        <w:rPr>
          <w:rFonts w:ascii="Consolas" w:cs="Consolas" w:eastAsia="Consolas" w:hAnsi="Consolas"/>
          <w:color w:val="1B1B1B"/>
          <w:sz w:val="19"/>
          <w:szCs w:val="19"/>
        </w:rPr>
        <w:t xml:space="preserve">        direct_effect[f, d, s, k] = budget_share[f, d, s, k]</w:t>
      </w:r>
    </w:p>
    <w:p>
      <w:pPr>
        <w:shd w:fill="EFF3F6" w:val="clear"/>
        <w:spacing w:after="0" w:line="264"/>
        <w:ind w:left="160" w:right="160"/>
      </w:pPr>
      <w:r>
        <w:rPr>
          <w:rFonts w:ascii="Consolas" w:cs="Consolas" w:eastAsia="Consolas" w:hAnsi="Consolas"/>
          <w:color w:val="1B1B1B"/>
          <w:sz w:val="19"/>
          <w:szCs w:val="19"/>
        </w:rPr>
        <w:t xml:space="preserve">                                   * price_change_direct[f]</w:t>
      </w:r>
    </w:p>
    <w:p>
      <w:pPr>
        <w:shd w:fill="EFF3F6" w:val="clear"/>
        <w:spacing w:after="0" w:line="264"/>
        <w:ind w:left="160" w:right="160"/>
      </w:pPr>
      <w:r>
        <w:rPr>
          <w:rFonts w:ascii="Consolas" w:cs="Consolas" w:eastAsia="Consolas" w:hAnsi="Consolas"/>
          <w:color w:val="1B1B1B"/>
          <w:sz w:val="19"/>
          <w:szCs w:val="19"/>
        </w:rPr>
        <w:t xml:space="preserve">                                   * behavior_adjustment[f, d]</w:t>
      </w:r>
    </w:p>
    <w:p>
      <w:pPr>
        <w:shd w:fill="EFF3F6" w:val="clear"/>
        <w:spacing w:after="0" w:line="264"/>
        <w:ind w:left="160" w:right="160"/>
      </w:pPr>
      <w:r>
        <w:rPr>
          <w:rFonts w:ascii="Consolas" w:cs="Consolas" w:eastAsia="Consolas" w:hAnsi="Consolas"/>
          <w:color w:val="1B1B1B"/>
          <w:sz w:val="19"/>
          <w:szCs w:val="19"/>
        </w:rPr>
        <w:t xml:space="preserve">                                   - dwl[f, d]</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Cooking-fuel exemption override (§4.5)</w:t>
      </w:r>
    </w:p>
    <w:p>
      <w:pPr>
        <w:shd w:fill="EFF3F6" w:val="clear"/>
        <w:spacing w:after="0" w:line="264"/>
        <w:ind w:left="160" w:right="160"/>
      </w:pPr>
      <w:r>
        <w:rPr>
          <w:rFonts w:ascii="Consolas" w:cs="Consolas" w:eastAsia="Consolas" w:hAnsi="Consolas"/>
          <w:color w:val="1B1B1B"/>
          <w:sz w:val="19"/>
          <w:szCs w:val="19"/>
        </w:rPr>
        <w:t xml:space="preserve">IF exempt_cooking_fuel_enabled:</w:t>
      </w:r>
    </w:p>
    <w:p>
      <w:pPr>
        <w:shd w:fill="EFF3F6" w:val="clear"/>
        <w:spacing w:after="0" w:line="264"/>
        <w:ind w:left="160" w:right="160"/>
      </w:pPr>
      <w:r>
        <w:rPr>
          <w:rFonts w:ascii="Consolas" w:cs="Consolas" w:eastAsia="Consolas" w:hAnsi="Consolas"/>
          <w:color w:val="1B1B1B"/>
          <w:sz w:val="19"/>
          <w:szCs w:val="19"/>
        </w:rPr>
        <w:t xml:space="preserve">    f_exempt = exempt_cooking_fuel               # e.g. kerosene</w:t>
      </w:r>
    </w:p>
    <w:p>
      <w:pPr>
        <w:shd w:fill="EFF3F6" w:val="clear"/>
        <w:spacing w:after="0" w:line="264"/>
        <w:ind w:left="160" w:right="160"/>
      </w:pPr>
      <w:r>
        <w:rPr>
          <w:rFonts w:ascii="Consolas" w:cs="Consolas" w:eastAsia="Consolas" w:hAnsi="Consolas"/>
          <w:color w:val="1B1B1B"/>
          <w:sz w:val="19"/>
          <w:szCs w:val="19"/>
        </w:rPr>
        <w:t xml:space="preserve">    FOR EACH decile d IN exempt_deciles:</w:t>
      </w:r>
    </w:p>
    <w:p>
      <w:pPr>
        <w:shd w:fill="EFF3F6" w:val="clear"/>
        <w:spacing w:after="0" w:line="264"/>
        <w:ind w:left="160" w:right="160"/>
      </w:pPr>
      <w:r>
        <w:rPr>
          <w:rFonts w:ascii="Consolas" w:cs="Consolas" w:eastAsia="Consolas" w:hAnsi="Consolas"/>
          <w:color w:val="1B1B1B"/>
          <w:sz w:val="19"/>
          <w:szCs w:val="19"/>
        </w:rPr>
        <w:t xml:space="preserve">        direct_effect[f_exempt, d, *, *] = direct_effect[f_exempt, d, *, *] * (1 - exempt_share)</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FOR EACH decile d, sample s, statistic k:</w:t>
      </w:r>
    </w:p>
    <w:p>
      <w:pPr>
        <w:shd w:fill="EFF3F6" w:val="clear"/>
        <w:spacing w:after="0" w:line="264"/>
        <w:ind w:left="160" w:right="160"/>
      </w:pPr>
      <w:r>
        <w:rPr>
          <w:rFonts w:ascii="Consolas" w:cs="Consolas" w:eastAsia="Consolas" w:hAnsi="Consolas"/>
          <w:color w:val="1B1B1B"/>
          <w:sz w:val="19"/>
          <w:szCs w:val="19"/>
        </w:rPr>
        <w:t xml:space="preserve">    total_direct_effect[d, s, k] = SUM OVER f( direct_effect[f, d, s, k] )</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5 — Indirect consumption-loss effect (§C.VI)</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FOR EACH decile d, sample s, statistic k:</w:t>
      </w:r>
    </w:p>
    <w:p>
      <w:pPr>
        <w:shd w:fill="EFF3F6" w:val="clear"/>
        <w:spacing w:after="0" w:line="264"/>
        <w:ind w:left="160" w:right="160"/>
      </w:pPr>
      <w:r>
        <w:rPr>
          <w:rFonts w:ascii="Consolas" w:cs="Consolas" w:eastAsia="Consolas" w:hAnsi="Consolas"/>
          <w:color w:val="1B1B1B"/>
          <w:sz w:val="19"/>
          <w:szCs w:val="19"/>
        </w:rPr>
        <w:t xml:space="preserve">        indirect_effect[c, d, s, k] = budget_share[c, d, s, k]</w:t>
      </w:r>
    </w:p>
    <w:p>
      <w:pPr>
        <w:shd w:fill="EFF3F6" w:val="clear"/>
        <w:spacing w:after="0" w:line="264"/>
        <w:ind w:left="160" w:right="160"/>
      </w:pPr>
      <w:r>
        <w:rPr>
          <w:rFonts w:ascii="Consolas" w:cs="Consolas" w:eastAsia="Consolas" w:hAnsi="Consolas"/>
          <w:color w:val="1B1B1B"/>
          <w:sz w:val="19"/>
          <w:szCs w:val="19"/>
        </w:rPr>
        <w:t xml:space="preserve">                                     * price_change_indirect[c]     # from Step 1.6, pass-through adjusted</w:t>
      </w:r>
    </w:p>
    <w:p>
      <w:pPr>
        <w:shd w:fill="EFF3F6" w:val="clear"/>
        <w:spacing w:after="0" w:line="264"/>
        <w:ind w:left="160" w:right="160"/>
      </w:pPr>
      <w:r>
        <w:rPr>
          <w:rFonts w:ascii="Consolas" w:cs="Consolas" w:eastAsia="Consolas" w:hAnsi="Consolas"/>
          <w:color w:val="1B1B1B"/>
          <w:sz w:val="19"/>
          <w:szCs w:val="19"/>
        </w:rPr>
        <w:t xml:space="preserve">                                     * behavior_adjustment[c, d]</w:t>
      </w:r>
    </w:p>
    <w:p>
      <w:pPr>
        <w:shd w:fill="EFF3F6" w:val="clear"/>
        <w:spacing w:after="0" w:line="264"/>
        <w:ind w:left="160" w:right="160"/>
      </w:pPr>
      <w:r>
        <w:rPr>
          <w:rFonts w:ascii="Consolas" w:cs="Consolas" w:eastAsia="Consolas" w:hAnsi="Consolas"/>
          <w:color w:val="1B1B1B"/>
          <w:sz w:val="19"/>
          <w:szCs w:val="19"/>
        </w:rPr>
        <w:t xml:space="preserve">                                     - dwl[c, d]</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FOR EACH decile d, sample s, statistic k:</w:t>
      </w:r>
    </w:p>
    <w:p>
      <w:pPr>
        <w:shd w:fill="EFF3F6" w:val="clear"/>
        <w:spacing w:after="0" w:line="264"/>
        <w:ind w:left="160" w:right="160"/>
      </w:pPr>
      <w:r>
        <w:rPr>
          <w:rFonts w:ascii="Consolas" w:cs="Consolas" w:eastAsia="Consolas" w:hAnsi="Consolas"/>
          <w:color w:val="1B1B1B"/>
          <w:sz w:val="19"/>
          <w:szCs w:val="19"/>
        </w:rPr>
        <w:t xml:space="preserve">    total_indirect_effect[d, s, k] = SUM OVER c( indirect_effect[c, d, s, k] )</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6 — Total consumption effect / carbon-tax burden (§C.VII)</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total_effect[d, s, k] = total_direct_effect[d, s, k] + total_indirect_effect[d, s, k]</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7 — Household-survey-to-national-accounts rebasing (§C.VIII)</w:t>
      </w:r>
    </w:p>
    <w:p>
      <w:pPr>
        <w:spacing w:after="160" w:line="276"/>
      </w:pPr>
      <w:r>
        <w:rPr>
          <w:b w:val="false"/>
          <w:bCs w:val="false"/>
          <w:i w:val="false"/>
          <w:iCs w:val="false"/>
          <w:sz w:val="21"/>
          <w:szCs w:val="21"/>
        </w:rPr>
        <w:t xml:space="preserve">Goal: household budget surveys under-report total consumption relative to national accounts (GDP-based) estimates. Rescale survey population and consumption to national-accounts levels before computing currency-denominated (not just %) burdens, so absolute LCU results and the Gini/compensation calculations are on a consistent basis.</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adjusted_population[d, s]  = survey_population[d, s] * population_adj_factor</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national_accounts_consumption = real_gdp[analysis_year] * hh_consumption_to_gdp_ratio</w:t>
      </w:r>
    </w:p>
    <w:p>
      <w:pPr>
        <w:shd w:fill="EFF3F6" w:val="clear"/>
        <w:spacing w:after="0" w:line="264"/>
        <w:ind w:left="160" w:right="160"/>
      </w:pPr>
      <w:r>
        <w:rPr>
          <w:rFonts w:ascii="Consolas" w:cs="Consolas" w:eastAsia="Consolas" w:hAnsi="Consolas"/>
          <w:color w:val="1B1B1B"/>
          <w:sz w:val="19"/>
          <w:szCs w:val="19"/>
        </w:rPr>
        <w:t xml:space="preserve">survey_implied_consumption    = deflate( total_consumption_from_survey, survey_year -&gt; analysis_year )</w:t>
      </w:r>
    </w:p>
    <w:p>
      <w:pPr>
        <w:shd w:fill="EFF3F6" w:val="clear"/>
        <w:spacing w:after="0" w:line="264"/>
        <w:ind w:left="160" w:right="160"/>
      </w:pPr>
      <w:r>
        <w:rPr>
          <w:rFonts w:ascii="Consolas" w:cs="Consolas" w:eastAsia="Consolas" w:hAnsi="Consolas"/>
          <w:color w:val="1B1B1B"/>
          <w:sz w:val="19"/>
          <w:szCs w:val="19"/>
        </w:rPr>
        <w:t xml:space="preserve">household_consumption_adj_factor = national_accounts_consumption / survey_implied_consumption</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FOR EACH decile d, sample s, statistic k:</w:t>
      </w:r>
    </w:p>
    <w:p>
      <w:pPr>
        <w:shd w:fill="EFF3F6" w:val="clear"/>
        <w:spacing w:after="0" w:line="264"/>
        <w:ind w:left="160" w:right="160"/>
      </w:pPr>
      <w:r>
        <w:rPr>
          <w:rFonts w:ascii="Consolas" w:cs="Consolas" w:eastAsia="Consolas" w:hAnsi="Consolas"/>
          <w:color w:val="1B1B1B"/>
          <w:sz w:val="19"/>
          <w:szCs w:val="19"/>
        </w:rPr>
        <w:t xml:space="preserve">    adjusted_consumption[d, s, k] = deflate(survey_consumption[d, s, k], survey_year -&gt; analysis_year)</w:t>
      </w:r>
    </w:p>
    <w:p>
      <w:pPr>
        <w:shd w:fill="EFF3F6" w:val="clear"/>
        <w:spacing w:after="0" w:line="264"/>
        <w:ind w:left="160" w:right="160"/>
      </w:pPr>
      <w:r>
        <w:rPr>
          <w:rFonts w:ascii="Consolas" w:cs="Consolas" w:eastAsia="Consolas" w:hAnsi="Consolas"/>
          <w:color w:val="1B1B1B"/>
          <w:sz w:val="19"/>
          <w:szCs w:val="19"/>
        </w:rPr>
        <w:t xml:space="preserve">                                    * household_consumption_adj_factor</w:t>
      </w:r>
    </w:p>
    <w:p>
      <w:pPr>
        <w:shd w:fill="EFF3F6" w:val="clear"/>
        <w:spacing w:after="0" w:line="264"/>
        <w:ind w:left="160" w:right="160"/>
      </w:pPr>
      <w:r>
        <w:rPr>
          <w:rFonts w:ascii="Consolas" w:cs="Consolas" w:eastAsia="Consolas" w:hAnsi="Consolas"/>
          <w:color w:val="1B1B1B"/>
          <w:sz w:val="19"/>
          <w:szCs w:val="19"/>
        </w:rPr>
        <w:t xml:space="preserve">    adjusted_per_capita_consumption[d, s, k] = adjusted_consumption[d, s, k] / adjusted_population[d, s]</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 Currency-denominated, pre-behavioural-response tax burden per decile (used by Steps 8-10)</w:t>
      </w:r>
    </w:p>
    <w:p>
      <w:pPr>
        <w:shd w:fill="EFF3F6" w:val="clear"/>
        <w:spacing w:after="0" w:line="264"/>
        <w:ind w:left="160" w:right="160"/>
      </w:pPr>
      <w:r>
        <w:rPr>
          <w:rFonts w:ascii="Consolas" w:cs="Consolas" w:eastAsia="Consolas" w:hAnsi="Consolas"/>
          <w:color w:val="1B1B1B"/>
          <w:sz w:val="19"/>
          <w:szCs w:val="19"/>
        </w:rPr>
        <w:t xml:space="preserve">    tax_burden_pre_behavior[d, s, k] = total_effect_pre_behavior[d, s, k] * adjusted_consumption[d, s, k]</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8 — Revenue recycling: labor tax / PIT, targeted transfers, public investment, current spending (§C.X–C.XI)</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INPUT  share_labor_tax, share_targeted_transfer, share_public_investment, share_current_spending   # sum to &lt;= 100%</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revenue_labor_tax        = total_cp_revenue_analysis_year * share_labor_tax</w:t>
      </w:r>
    </w:p>
    <w:p>
      <w:pPr>
        <w:shd w:fill="EFF3F6" w:val="clear"/>
        <w:spacing w:after="0" w:line="264"/>
        <w:ind w:left="160" w:right="160"/>
      </w:pPr>
      <w:r>
        <w:rPr>
          <w:rFonts w:ascii="Consolas" w:cs="Consolas" w:eastAsia="Consolas" w:hAnsi="Consolas"/>
          <w:color w:val="1B1B1B"/>
          <w:sz w:val="19"/>
          <w:szCs w:val="19"/>
        </w:rPr>
        <w:t xml:space="preserve">revenue_targeted_transfer= total_cp_revenue_analysis_year * share_targeted_transfer</w:t>
      </w:r>
    </w:p>
    <w:p>
      <w:pPr>
        <w:shd w:fill="EFF3F6" w:val="clear"/>
        <w:spacing w:after="0" w:line="264"/>
        <w:ind w:left="160" w:right="160"/>
      </w:pPr>
      <w:r>
        <w:rPr>
          <w:rFonts w:ascii="Consolas" w:cs="Consolas" w:eastAsia="Consolas" w:hAnsi="Consolas"/>
          <w:color w:val="1B1B1B"/>
          <w:sz w:val="19"/>
          <w:szCs w:val="19"/>
        </w:rPr>
        <w:t xml:space="preserve">revenue_public_investment= total_cp_revenue_analysis_year * share_public_investment</w:t>
      </w:r>
    </w:p>
    <w:p>
      <w:pPr>
        <w:shd w:fill="EFF3F6" w:val="clear"/>
        <w:spacing w:after="0" w:line="264"/>
        <w:ind w:left="160" w:right="160"/>
      </w:pPr>
      <w:r>
        <w:rPr>
          <w:rFonts w:ascii="Consolas" w:cs="Consolas" w:eastAsia="Consolas" w:hAnsi="Consolas"/>
          <w:color w:val="1B1B1B"/>
          <w:sz w:val="19"/>
          <w:szCs w:val="19"/>
        </w:rPr>
        <w:t xml:space="preserve">revenue_current_spending = total_cp_revenue_analysis_year * share_current_spending</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8.1 Labor tax / PIT reduction (method-dependent; three mutually exclusive methods)</w:t>
      </w:r>
    </w:p>
    <w:p>
      <w:pPr>
        <w:shd w:fill="EFF3F6" w:val="clear"/>
        <w:spacing w:after="0" w:line="264"/>
        <w:ind w:left="160" w:right="160"/>
      </w:pPr>
      <w:r>
        <w:rPr>
          <w:rFonts w:ascii="Consolas" w:cs="Consolas" w:eastAsia="Consolas" w:hAnsi="Consolas"/>
          <w:color w:val="1B1B1B"/>
          <w:sz w:val="19"/>
          <w:szCs w:val="19"/>
        </w:rPr>
        <w:t xml:space="preserve">baseline_pit_share[d] = decile_share_in_baseline_pit_paid[d]      # rescaled if country has incomplete PIT-incidence data</w:t>
      </w:r>
    </w:p>
    <w:p>
      <w:pPr>
        <w:shd w:fill="EFF3F6" w:val="clear"/>
        <w:spacing w:after="0" w:line="264"/>
        <w:ind w:left="160" w:right="160"/>
      </w:pPr>
      <w:r>
        <w:rPr>
          <w:rFonts w:ascii="Consolas" w:cs="Consolas" w:eastAsia="Consolas" w:hAnsi="Consolas"/>
          <w:color w:val="1B1B1B"/>
          <w:sz w:val="19"/>
          <w:szCs w:val="19"/>
        </w:rPr>
        <w:t xml:space="preserve">SWITCH labor_tax_reduction_method:</w:t>
      </w:r>
    </w:p>
    <w:p>
      <w:pPr>
        <w:shd w:fill="EFF3F6" w:val="clear"/>
        <w:spacing w:after="0" w:line="264"/>
        <w:ind w:left="160" w:right="160"/>
      </w:pPr>
      <w:r>
        <w:rPr>
          <w:rFonts w:ascii="Consolas" w:cs="Consolas" w:eastAsia="Consolas" w:hAnsi="Consolas"/>
          <w:color w:val="1B1B1B"/>
          <w:sz w:val="19"/>
          <w:szCs w:val="19"/>
        </w:rPr>
        <w:t xml:space="preserve">  CASE 'Proportional Compensation':</w:t>
      </w:r>
    </w:p>
    <w:p>
      <w:pPr>
        <w:shd w:fill="EFF3F6" w:val="clear"/>
        <w:spacing w:after="0" w:line="264"/>
        <w:ind w:left="160" w:right="160"/>
      </w:pPr>
      <w:r>
        <w:rPr>
          <w:rFonts w:ascii="Consolas" w:cs="Consolas" w:eastAsia="Consolas" w:hAnsi="Consolas"/>
          <w:color w:val="1B1B1B"/>
          <w:sz w:val="19"/>
          <w:szCs w:val="19"/>
        </w:rPr>
        <w:t xml:space="preserve">      FOR EACH decile d: pit_reduction[d] = baseline_pit_paid[d] * labor_tax_cut_coefficient</w:t>
      </w:r>
    </w:p>
    <w:p>
      <w:pPr>
        <w:shd w:fill="EFF3F6" w:val="clear"/>
        <w:spacing w:after="0" w:line="264"/>
        <w:ind w:left="160" w:right="160"/>
      </w:pPr>
      <w:r>
        <w:rPr>
          <w:rFonts w:ascii="Consolas" w:cs="Consolas" w:eastAsia="Consolas" w:hAnsi="Consolas"/>
          <w:color w:val="1B1B1B"/>
          <w:sz w:val="19"/>
          <w:szCs w:val="19"/>
        </w:rPr>
        <w:t xml:space="preserve">  CASE 'Personal Allowance':</w:t>
      </w:r>
    </w:p>
    <w:p>
      <w:pPr>
        <w:shd w:fill="EFF3F6" w:val="clear"/>
        <w:spacing w:after="0" w:line="264"/>
        <w:ind w:left="160" w:right="160"/>
      </w:pPr>
      <w:r>
        <w:rPr>
          <w:rFonts w:ascii="Consolas" w:cs="Consolas" w:eastAsia="Consolas" w:hAnsi="Consolas"/>
          <w:color w:val="1B1B1B"/>
          <w:sz w:val="19"/>
          <w:szCs w:val="19"/>
        </w:rPr>
        <w:t xml:space="preserve">      max_transfer_pc = revenue_labor_tax / total_population</w:t>
      </w:r>
    </w:p>
    <w:p>
      <w:pPr>
        <w:shd w:fill="EFF3F6" w:val="clear"/>
        <w:spacing w:after="0" w:line="264"/>
        <w:ind w:left="160" w:right="160"/>
      </w:pPr>
      <w:r>
        <w:rPr>
          <w:rFonts w:ascii="Consolas" w:cs="Consolas" w:eastAsia="Consolas" w:hAnsi="Consolas"/>
          <w:color w:val="1B1B1B"/>
          <w:sz w:val="19"/>
          <w:szCs w:val="19"/>
        </w:rPr>
        <w:t xml:space="preserve">      FOR EACH decile d:</w:t>
      </w:r>
    </w:p>
    <w:p>
      <w:pPr>
        <w:shd w:fill="EFF3F6" w:val="clear"/>
        <w:spacing w:after="0" w:line="264"/>
        <w:ind w:left="160" w:right="160"/>
      </w:pPr>
      <w:r>
        <w:rPr>
          <w:rFonts w:ascii="Consolas" w:cs="Consolas" w:eastAsia="Consolas" w:hAnsi="Consolas"/>
          <w:color w:val="1B1B1B"/>
          <w:sz w:val="19"/>
          <w:szCs w:val="19"/>
        </w:rPr>
        <w:t xml:space="preserve">          effective_transfer_pc[d] = MIN(max_transfer_pc, pit_liability_pc[d])</w:t>
      </w:r>
    </w:p>
    <w:p>
      <w:pPr>
        <w:shd w:fill="EFF3F6" w:val="clear"/>
        <w:spacing w:after="0" w:line="264"/>
        <w:ind w:left="160" w:right="160"/>
      </w:pPr>
      <w:r>
        <w:rPr>
          <w:rFonts w:ascii="Consolas" w:cs="Consolas" w:eastAsia="Consolas" w:hAnsi="Consolas"/>
          <w:color w:val="1B1B1B"/>
          <w:sz w:val="19"/>
          <w:szCs w:val="19"/>
        </w:rPr>
        <w:t xml:space="preserve">          shortfall[d] = max_transfer_pc - effective_transfer_pc[d]</w:t>
      </w:r>
    </w:p>
    <w:p>
      <w:pPr>
        <w:shd w:fill="EFF3F6" w:val="clear"/>
        <w:spacing w:after="0" w:line="264"/>
        <w:ind w:left="160" w:right="160"/>
      </w:pPr>
      <w:r>
        <w:rPr>
          <w:rFonts w:ascii="Consolas" w:cs="Consolas" w:eastAsia="Consolas" w:hAnsi="Consolas"/>
          <w:color w:val="1B1B1B"/>
          <w:sz w:val="19"/>
          <w:szCs w:val="19"/>
        </w:rPr>
        <w:t xml:space="preserve">      redistribute SUM(shortfall) proportionally across deciles with remaining PIT liability   # 'undercoverage' revenue reuse</w:t>
      </w:r>
    </w:p>
    <w:p>
      <w:pPr>
        <w:shd w:fill="EFF3F6" w:val="clear"/>
        <w:spacing w:after="0" w:line="264"/>
        <w:ind w:left="160" w:right="160"/>
      </w:pPr>
      <w:r>
        <w:rPr>
          <w:rFonts w:ascii="Consolas" w:cs="Consolas" w:eastAsia="Consolas" w:hAnsi="Consolas"/>
          <w:color w:val="1B1B1B"/>
          <w:sz w:val="19"/>
          <w:szCs w:val="19"/>
        </w:rPr>
        <w:t xml:space="preserve">      pit_reduction[d] = effective_transfer_pc[d] * population[d]   FOR EACH d</w:t>
      </w:r>
    </w:p>
    <w:p>
      <w:pPr>
        <w:shd w:fill="EFF3F6" w:val="clear"/>
        <w:spacing w:after="0" w:line="264"/>
        <w:ind w:left="160" w:right="160"/>
      </w:pPr>
      <w:r>
        <w:rPr>
          <w:rFonts w:ascii="Consolas" w:cs="Consolas" w:eastAsia="Consolas" w:hAnsi="Consolas"/>
          <w:color w:val="1B1B1B"/>
          <w:sz w:val="19"/>
          <w:szCs w:val="19"/>
        </w:rPr>
        <w:t xml:space="preserve">  CASE 'Targeted Exemption':</w:t>
      </w:r>
    </w:p>
    <w:p>
      <w:pPr>
        <w:shd w:fill="EFF3F6" w:val="clear"/>
        <w:spacing w:after="0" w:line="264"/>
        <w:ind w:left="160" w:right="160"/>
      </w:pPr>
      <w:r>
        <w:rPr>
          <w:rFonts w:ascii="Consolas" w:cs="Consolas" w:eastAsia="Consolas" w:hAnsi="Consolas"/>
          <w:color w:val="1B1B1B"/>
          <w:sz w:val="19"/>
          <w:szCs w:val="19"/>
        </w:rPr>
        <w:t xml:space="preserve">      exempt_deciles = bottom_N_deciles   # user input</w:t>
      </w:r>
    </w:p>
    <w:p>
      <w:pPr>
        <w:shd w:fill="EFF3F6" w:val="clear"/>
        <w:spacing w:after="0" w:line="264"/>
        <w:ind w:left="160" w:right="160"/>
      </w:pPr>
      <w:r>
        <w:rPr>
          <w:rFonts w:ascii="Consolas" w:cs="Consolas" w:eastAsia="Consolas" w:hAnsi="Consolas"/>
          <w:color w:val="1B1B1B"/>
          <w:sz w:val="19"/>
          <w:szCs w:val="19"/>
        </w:rPr>
        <w:t xml:space="preserve">      FOR EACH decile d IN exempt_deciles: hypothetical_reduction[d] = pit_liability[d]</w:t>
      </w:r>
    </w:p>
    <w:p>
      <w:pPr>
        <w:shd w:fill="EFF3F6" w:val="clear"/>
        <w:spacing w:after="0" w:line="264"/>
        <w:ind w:left="160" w:right="160"/>
      </w:pPr>
      <w:r>
        <w:rPr>
          <w:rFonts w:ascii="Consolas" w:cs="Consolas" w:eastAsia="Consolas" w:hAnsi="Consolas"/>
          <w:color w:val="1B1B1B"/>
          <w:sz w:val="19"/>
          <w:szCs w:val="19"/>
        </w:rPr>
        <w:t xml:space="preserve">      scale hypothetical_reduction[] down proportionally if SUM &gt; revenue_labor_tax  (i.e. cap at available revenue)</w:t>
      </w:r>
    </w:p>
    <w:p>
      <w:pPr>
        <w:shd w:fill="EFF3F6" w:val="clear"/>
        <w:spacing w:after="0" w:line="264"/>
        <w:ind w:left="160" w:right="160"/>
      </w:pPr>
      <w:r>
        <w:rPr>
          <w:rFonts w:ascii="Consolas" w:cs="Consolas" w:eastAsia="Consolas" w:hAnsi="Consolas"/>
          <w:color w:val="1B1B1B"/>
          <w:sz w:val="19"/>
          <w:szCs w:val="19"/>
        </w:rPr>
        <w:t xml:space="preserve">      pit_reduction[d] = effective, capped hypothetical_reduction[d]</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8.2 Targeted transfers, public investment, current spending: use ASPIRE incidence shares when available, else fallback</w:t>
      </w:r>
    </w:p>
    <w:p>
      <w:pPr>
        <w:shd w:fill="EFF3F6" w:val="clear"/>
        <w:spacing w:after="0" w:line="264"/>
        <w:ind w:left="160" w:right="160"/>
      </w:pPr>
      <w:r>
        <w:rPr>
          <w:rFonts w:ascii="Consolas" w:cs="Consolas" w:eastAsia="Consolas" w:hAnsi="Consolas"/>
          <w:color w:val="1B1B1B"/>
          <w:sz w:val="19"/>
          <w:szCs w:val="19"/>
        </w:rPr>
        <w:t xml:space="preserve">FOR EACH channel IN {targeted_transfer, public_investment, current_spending}:</w:t>
      </w:r>
    </w:p>
    <w:p>
      <w:pPr>
        <w:shd w:fill="EFF3F6" w:val="clear"/>
        <w:spacing w:after="0" w:line="264"/>
        <w:ind w:left="160" w:right="160"/>
      </w:pPr>
      <w:r>
        <w:rPr>
          <w:rFonts w:ascii="Consolas" w:cs="Consolas" w:eastAsia="Consolas" w:hAnsi="Consolas"/>
          <w:color w:val="1B1B1B"/>
          <w:sz w:val="19"/>
          <w:szCs w:val="19"/>
        </w:rPr>
        <w:t xml:space="preserve">    IF aspire_data_available[channel, country]:</w:t>
      </w:r>
    </w:p>
    <w:p>
      <w:pPr>
        <w:shd w:fill="EFF3F6" w:val="clear"/>
        <w:spacing w:after="0" w:line="264"/>
        <w:ind w:left="160" w:right="160"/>
      </w:pPr>
      <w:r>
        <w:rPr>
          <w:rFonts w:ascii="Consolas" w:cs="Consolas" w:eastAsia="Consolas" w:hAnsi="Consolas"/>
          <w:color w:val="1B1B1B"/>
          <w:sz w:val="19"/>
          <w:szCs w:val="19"/>
        </w:rPr>
        <w:t xml:space="preserve">        incidence_share[d] = aspire_incidence[channel, program_code, d]   # decile's share of program benefits</w:t>
      </w:r>
    </w:p>
    <w:p>
      <w:pPr>
        <w:shd w:fill="EFF3F6" w:val="clear"/>
        <w:spacing w:after="0" w:line="264"/>
        <w:ind w:left="160" w:right="160"/>
      </w:pPr>
      <w:r>
        <w:rPr>
          <w:rFonts w:ascii="Consolas" w:cs="Consolas" w:eastAsia="Consolas" w:hAnsi="Consolas"/>
          <w:color w:val="1B1B1B"/>
          <w:sz w:val="19"/>
          <w:szCs w:val="19"/>
        </w:rPr>
        <w:t xml:space="preserve">    ELSE:</w:t>
      </w:r>
    </w:p>
    <w:p>
      <w:pPr>
        <w:shd w:fill="EFF3F6" w:val="clear"/>
        <w:spacing w:after="0" w:line="264"/>
        <w:ind w:left="160" w:right="160"/>
      </w:pPr>
      <w:r>
        <w:rPr>
          <w:rFonts w:ascii="Consolas" w:cs="Consolas" w:eastAsia="Consolas" w:hAnsi="Consolas"/>
          <w:color w:val="1B1B1B"/>
          <w:sz w:val="19"/>
          <w:szCs w:val="19"/>
        </w:rPr>
        <w:t xml:space="preserve">        incidence_share[d] = fallback_distribution[d]        # e.g. flat per-capita, or GDP-ratio-based proxy</w:t>
      </w:r>
    </w:p>
    <w:p>
      <w:pPr>
        <w:shd w:fill="EFF3F6" w:val="clear"/>
        <w:spacing w:after="0" w:line="264"/>
        <w:ind w:left="160" w:right="160"/>
      </w:pPr>
      <w:r>
        <w:rPr>
          <w:rFonts w:ascii="Consolas" w:cs="Consolas" w:eastAsia="Consolas" w:hAnsi="Consolas"/>
          <w:color w:val="1B1B1B"/>
          <w:sz w:val="19"/>
          <w:szCs w:val="19"/>
        </w:rPr>
        <w:t xml:space="preserve">    amount_received[channel, d] = revenue[channel] * incidence_share[d]</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8.3 Combine</w:t>
      </w:r>
    </w:p>
    <w:p>
      <w:pPr>
        <w:shd w:fill="EFF3F6" w:val="clear"/>
        <w:spacing w:after="0" w:line="264"/>
        <w:ind w:left="160" w:right="160"/>
      </w:pPr>
      <w:r>
        <w:rPr>
          <w:rFonts w:ascii="Consolas" w:cs="Consolas" w:eastAsia="Consolas" w:hAnsi="Consolas"/>
          <w:color w:val="1B1B1B"/>
          <w:sz w:val="19"/>
          <w:szCs w:val="19"/>
        </w:rPr>
        <w:t xml:space="preserve">FOR EACH decile d, sample s:</w:t>
      </w:r>
    </w:p>
    <w:p>
      <w:pPr>
        <w:shd w:fill="EFF3F6" w:val="clear"/>
        <w:spacing w:after="0" w:line="264"/>
        <w:ind w:left="160" w:right="160"/>
      </w:pPr>
      <w:r>
        <w:rPr>
          <w:rFonts w:ascii="Consolas" w:cs="Consolas" w:eastAsia="Consolas" w:hAnsi="Consolas"/>
          <w:color w:val="1B1B1B"/>
          <w:sz w:val="19"/>
          <w:szCs w:val="19"/>
        </w:rPr>
        <w:t xml:space="preserve">    amount_recycled[d, s] = pit_reduction[d, s]</w:t>
      </w:r>
    </w:p>
    <w:p>
      <w:pPr>
        <w:shd w:fill="EFF3F6" w:val="clear"/>
        <w:spacing w:after="0" w:line="264"/>
        <w:ind w:left="160" w:right="160"/>
      </w:pPr>
      <w:r>
        <w:rPr>
          <w:rFonts w:ascii="Consolas" w:cs="Consolas" w:eastAsia="Consolas" w:hAnsi="Consolas"/>
          <w:color w:val="1B1B1B"/>
          <w:sz w:val="19"/>
          <w:szCs w:val="19"/>
        </w:rPr>
        <w:t xml:space="preserve">                           + amount_received[targeted_transfer, d, s]</w:t>
      </w:r>
    </w:p>
    <w:p>
      <w:pPr>
        <w:shd w:fill="EFF3F6" w:val="clear"/>
        <w:spacing w:after="0" w:line="264"/>
        <w:ind w:left="160" w:right="160"/>
      </w:pPr>
      <w:r>
        <w:rPr>
          <w:rFonts w:ascii="Consolas" w:cs="Consolas" w:eastAsia="Consolas" w:hAnsi="Consolas"/>
          <w:color w:val="1B1B1B"/>
          <w:sz w:val="19"/>
          <w:szCs w:val="19"/>
        </w:rPr>
        <w:t xml:space="preserve">                           + amount_received[public_investment, d, s]</w:t>
      </w:r>
    </w:p>
    <w:p>
      <w:pPr>
        <w:shd w:fill="EFF3F6" w:val="clear"/>
        <w:spacing w:after="0" w:line="264"/>
        <w:ind w:left="160" w:right="160"/>
      </w:pPr>
      <w:r>
        <w:rPr>
          <w:rFonts w:ascii="Consolas" w:cs="Consolas" w:eastAsia="Consolas" w:hAnsi="Consolas"/>
          <w:color w:val="1B1B1B"/>
          <w:sz w:val="19"/>
          <w:szCs w:val="19"/>
        </w:rPr>
        <w:t xml:space="preserve">                           + amount_received[current_spending, d, s]</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The 'Targeted Exemption' and 'Personal Allowance' branches both include a revenue-conservation check ('Check: Total CP revenues remaining after …') — keep these as explicit assertions/outputs in the implementation so any rounding or capping errors are visible rather than silently absorbed.</w:t>
      </w:r>
    </w:p>
    <w:p>
      <w:pPr>
        <w:pStyle w:val="Heading2"/>
        <w:spacing w:after="160" w:before="360"/>
      </w:pPr>
      <w:r>
        <w:rPr>
          <w:b/>
          <w:bCs/>
          <w:color w:val="1F3864"/>
          <w:sz w:val="26"/>
          <w:szCs w:val="26"/>
        </w:rPr>
        <w:t xml:space="preserve">Step 9 — Post-policy consumption &amp; shares (§C.VIII–C.IX)</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net_effect[d, s, k] = total_effect[d, s, k] - ( amount_recycled[d, s] / adjusted_consumption[d, s, k] )</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post_cp_consumption_excl_recycling[d, s, k] = adjusted_consumption[d, s, k] * (1 - total_effect[d, s, k])</w:t>
      </w:r>
    </w:p>
    <w:p>
      <w:pPr>
        <w:shd w:fill="EFF3F6" w:val="clear"/>
        <w:spacing w:after="0" w:line="264"/>
        <w:ind w:left="160" w:right="160"/>
      </w:pPr>
      <w:r>
        <w:rPr>
          <w:rFonts w:ascii="Consolas" w:cs="Consolas" w:eastAsia="Consolas" w:hAnsi="Consolas"/>
          <w:color w:val="1B1B1B"/>
          <w:sz w:val="19"/>
          <w:szCs w:val="19"/>
        </w:rPr>
        <w:t xml:space="preserve">    post_cp_consumption_incl_recycling[d, s, k] = post_cp_consumption_excl_recycling[d, s, k] + amount_recycled[d, s]</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FOR EACH consumption_series IN {baseline, post_cp_excl_recycling, post_cp_incl_recycling}:</w:t>
      </w:r>
    </w:p>
    <w:p>
      <w:pPr>
        <w:shd w:fill="EFF3F6" w:val="clear"/>
        <w:spacing w:after="0" w:line="264"/>
        <w:ind w:left="160" w:right="160"/>
      </w:pPr>
      <w:r>
        <w:rPr>
          <w:rFonts w:ascii="Consolas" w:cs="Consolas" w:eastAsia="Consolas" w:hAnsi="Consolas"/>
          <w:color w:val="1B1B1B"/>
          <w:sz w:val="19"/>
          <w:szCs w:val="19"/>
        </w:rPr>
        <w:t xml:space="preserve">    FOR EACH sample s, statistic k:</w:t>
      </w:r>
    </w:p>
    <w:p>
      <w:pPr>
        <w:shd w:fill="EFF3F6" w:val="clear"/>
        <w:spacing w:after="0" w:line="264"/>
        <w:ind w:left="160" w:right="160"/>
      </w:pPr>
      <w:r>
        <w:rPr>
          <w:rFonts w:ascii="Consolas" w:cs="Consolas" w:eastAsia="Consolas" w:hAnsi="Consolas"/>
          <w:color w:val="1B1B1B"/>
          <w:sz w:val="19"/>
          <w:szCs w:val="19"/>
        </w:rPr>
        <w:t xml:space="preserve">        total = SUM OVER d( consumption_series[d, s, k] )</w:t>
      </w:r>
    </w:p>
    <w:p>
      <w:pPr>
        <w:shd w:fill="EFF3F6" w:val="clear"/>
        <w:spacing w:after="0" w:line="264"/>
        <w:ind w:left="160" w:right="160"/>
      </w:pPr>
      <w:r>
        <w:rPr>
          <w:rFonts w:ascii="Consolas" w:cs="Consolas" w:eastAsia="Consolas" w:hAnsi="Consolas"/>
          <w:color w:val="1B1B1B"/>
          <w:sz w:val="19"/>
          <w:szCs w:val="19"/>
        </w:rPr>
        <w:t xml:space="preserve">        FOR EACH decile d:</w:t>
      </w:r>
    </w:p>
    <w:p>
      <w:pPr>
        <w:shd w:fill="EFF3F6" w:val="clear"/>
        <w:spacing w:after="0" w:line="264"/>
        <w:ind w:left="160" w:right="160"/>
      </w:pPr>
      <w:r>
        <w:rPr>
          <w:rFonts w:ascii="Consolas" w:cs="Consolas" w:eastAsia="Consolas" w:hAnsi="Consolas"/>
          <w:color w:val="1B1B1B"/>
          <w:sz w:val="19"/>
          <w:szCs w:val="19"/>
        </w:rPr>
        <w:t xml:space="preserve">            share[consumption_series, d, s, k] = consumption_series[d, s, k] / total</w:t>
      </w:r>
    </w:p>
    <w:p>
      <w:pPr>
        <w:shd w:fill="EFF3F6" w:val="clear"/>
        <w:spacing w:after="0" w:line="264"/>
        <w:ind w:left="160" w:right="160"/>
      </w:pPr>
      <w:r>
        <w:rPr>
          <w:rFonts w:ascii="Consolas" w:cs="Consolas" w:eastAsia="Consolas" w:hAnsi="Consolas"/>
          <w:color w:val="1B1B1B"/>
          <w:sz w:val="19"/>
          <w:szCs w:val="19"/>
        </w:rPr>
        <w:t xml:space="preserve">        # cumulative share, deciles ordered poorest -&gt; wealthiest, prefixed with a 0 at 'population share = 0'</w:t>
      </w:r>
    </w:p>
    <w:p>
      <w:pPr>
        <w:shd w:fill="EFF3F6" w:val="clear"/>
        <w:spacing w:after="0" w:line="264"/>
        <w:ind w:left="160" w:right="160"/>
      </w:pPr>
      <w:r>
        <w:rPr>
          <w:rFonts w:ascii="Consolas" w:cs="Consolas" w:eastAsia="Consolas" w:hAnsi="Consolas"/>
          <w:color w:val="1B1B1B"/>
          <w:sz w:val="19"/>
          <w:szCs w:val="19"/>
        </w:rPr>
        <w:t xml:space="preserve">        cumulative_share[consumption_series, 0, s, k] = 0</w:t>
      </w:r>
    </w:p>
    <w:p>
      <w:pPr>
        <w:shd w:fill="EFF3F6" w:val="clear"/>
        <w:spacing w:after="0" w:line="264"/>
        <w:ind w:left="160" w:right="160"/>
      </w:pPr>
      <w:r>
        <w:rPr>
          <w:rFonts w:ascii="Consolas" w:cs="Consolas" w:eastAsia="Consolas" w:hAnsi="Consolas"/>
          <w:color w:val="1B1B1B"/>
          <w:sz w:val="19"/>
          <w:szCs w:val="19"/>
        </w:rPr>
        <w:t xml:space="preserve">        FOR d IN 1..10:</w:t>
      </w:r>
    </w:p>
    <w:p>
      <w:pPr>
        <w:shd w:fill="EFF3F6" w:val="clear"/>
        <w:spacing w:after="0" w:line="264"/>
        <w:ind w:left="160" w:right="160"/>
      </w:pPr>
      <w:r>
        <w:rPr>
          <w:rFonts w:ascii="Consolas" w:cs="Consolas" w:eastAsia="Consolas" w:hAnsi="Consolas"/>
          <w:color w:val="1B1B1B"/>
          <w:sz w:val="19"/>
          <w:szCs w:val="19"/>
        </w:rPr>
        <w:t xml:space="preserve">            cumulative_share[consumption_series, d, s, k] = cumulative_share[consumption_series, d-1, s, k] + share[consumption_series, d, s, k]</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10 — Gini coefficient &amp; Lorenz curve (§C.IX)</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FOR EACH sample s:</w:t>
      </w:r>
    </w:p>
    <w:p>
      <w:pPr>
        <w:shd w:fill="EFF3F6" w:val="clear"/>
        <w:spacing w:after="0" w:line="264"/>
        <w:ind w:left="160" w:right="160"/>
      </w:pPr>
      <w:r>
        <w:rPr>
          <w:rFonts w:ascii="Consolas" w:cs="Consolas" w:eastAsia="Consolas" w:hAnsi="Consolas"/>
          <w:color w:val="1B1B1B"/>
          <w:sz w:val="19"/>
          <w:szCs w:val="19"/>
        </w:rPr>
        <w:t xml:space="preserve">        # Trapezoidal-rule area under the Lorenz curve, using 10 equal population-share increments (deciles)</w:t>
      </w:r>
    </w:p>
    <w:p>
      <w:pPr>
        <w:shd w:fill="EFF3F6" w:val="clear"/>
        <w:spacing w:after="0" w:line="264"/>
        <w:ind w:left="160" w:right="160"/>
      </w:pPr>
      <w:r>
        <w:rPr>
          <w:rFonts w:ascii="Consolas" w:cs="Consolas" w:eastAsia="Consolas" w:hAnsi="Consolas"/>
          <w:color w:val="1B1B1B"/>
          <w:sz w:val="19"/>
          <w:szCs w:val="19"/>
        </w:rPr>
        <w:t xml:space="preserve">        area = 0</w:t>
      </w:r>
    </w:p>
    <w:p>
      <w:pPr>
        <w:shd w:fill="EFF3F6" w:val="clear"/>
        <w:spacing w:after="0" w:line="264"/>
        <w:ind w:left="160" w:right="160"/>
      </w:pPr>
      <w:r>
        <w:rPr>
          <w:rFonts w:ascii="Consolas" w:cs="Consolas" w:eastAsia="Consolas" w:hAnsi="Consolas"/>
          <w:color w:val="1B1B1B"/>
          <w:sz w:val="19"/>
          <w:szCs w:val="19"/>
        </w:rPr>
        <w:t xml:space="preserve">        FOR d IN 1..10:</w:t>
      </w:r>
    </w:p>
    <w:p>
      <w:pPr>
        <w:shd w:fill="EFF3F6" w:val="clear"/>
        <w:spacing w:after="0" w:line="264"/>
        <w:ind w:left="160" w:right="160"/>
      </w:pPr>
      <w:r>
        <w:rPr>
          <w:rFonts w:ascii="Consolas" w:cs="Consolas" w:eastAsia="Consolas" w:hAnsi="Consolas"/>
          <w:color w:val="1B1B1B"/>
          <w:sz w:val="19"/>
          <w:szCs w:val="19"/>
        </w:rPr>
        <w:t xml:space="preserve">            a = cumulative_share[lorenz_series, d-1, s, mean]     # lower cumulative consumption share</w:t>
      </w:r>
    </w:p>
    <w:p>
      <w:pPr>
        <w:shd w:fill="EFF3F6" w:val="clear"/>
        <w:spacing w:after="0" w:line="264"/>
        <w:ind w:left="160" w:right="160"/>
      </w:pPr>
      <w:r>
        <w:rPr>
          <w:rFonts w:ascii="Consolas" w:cs="Consolas" w:eastAsia="Consolas" w:hAnsi="Consolas"/>
          <w:color w:val="1B1B1B"/>
          <w:sz w:val="19"/>
          <w:szCs w:val="19"/>
        </w:rPr>
        <w:t xml:space="preserve">            b = cumulative_share[lorenz_series, d, s, mean]       # upper cumulative consumption share</w:t>
      </w:r>
    </w:p>
    <w:p>
      <w:pPr>
        <w:shd w:fill="EFF3F6" w:val="clear"/>
        <w:spacing w:after="0" w:line="264"/>
        <w:ind w:left="160" w:right="160"/>
      </w:pPr>
      <w:r>
        <w:rPr>
          <w:rFonts w:ascii="Consolas" w:cs="Consolas" w:eastAsia="Consolas" w:hAnsi="Consolas"/>
          <w:color w:val="1B1B1B"/>
          <w:sz w:val="19"/>
          <w:szCs w:val="19"/>
        </w:rPr>
        <w:t xml:space="preserve">            trapezoid_area = 0.1 * (a + b) / 2                    # width 0.1 (one decile of population) x avg height</w:t>
      </w:r>
    </w:p>
    <w:p>
      <w:pPr>
        <w:shd w:fill="EFF3F6" w:val="clear"/>
        <w:spacing w:after="0" w:line="264"/>
        <w:ind w:left="160" w:right="160"/>
      </w:pPr>
      <w:r>
        <w:rPr>
          <w:rFonts w:ascii="Consolas" w:cs="Consolas" w:eastAsia="Consolas" w:hAnsi="Consolas"/>
          <w:color w:val="1B1B1B"/>
          <w:sz w:val="19"/>
          <w:szCs w:val="19"/>
        </w:rPr>
        <w:t xml:space="preserve">            area = area + trapezoid_area</w:t>
      </w:r>
    </w:p>
    <w:p>
      <w:pPr>
        <w:shd w:fill="EFF3F6" w:val="clear"/>
        <w:spacing w:after="0" w:line="264"/>
        <w:ind w:left="160" w:right="160"/>
      </w:pPr>
      <w:r>
        <w:rPr>
          <w:rFonts w:ascii="Consolas" w:cs="Consolas" w:eastAsia="Consolas" w:hAnsi="Consolas"/>
          <w:color w:val="1B1B1B"/>
          <w:sz w:val="19"/>
          <w:szCs w:val="19"/>
        </w:rPr>
        <w:t xml:space="preserve">        gini[lorenz_series, s] = 1 - 2 * area</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delta_gini_excl_recycling[s] = gini[post_cp_excl_recycling, s] - gini[baseline, s]</w:t>
      </w:r>
    </w:p>
    <w:p>
      <w:pPr>
        <w:shd w:fill="EFF3F6" w:val="clear"/>
        <w:spacing w:after="0" w:line="264"/>
        <w:ind w:left="160" w:right="160"/>
      </w:pPr>
      <w:r>
        <w:rPr>
          <w:rFonts w:ascii="Consolas" w:cs="Consolas" w:eastAsia="Consolas" w:hAnsi="Consolas"/>
          <w:color w:val="1B1B1B"/>
          <w:sz w:val="19"/>
          <w:szCs w:val="19"/>
        </w:rPr>
        <w:t xml:space="preserve">delta_gini_incl_recycling[s] = gini[post_cp_incl_recycling, s] - gini[baseline, s]</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spacing w:after="160" w:line="276"/>
      </w:pPr>
      <w:r>
        <w:rPr>
          <w:b w:val="false"/>
          <w:bCs w:val="false"/>
          <w:i w:val="false"/>
          <w:iCs w:val="false"/>
          <w:sz w:val="21"/>
          <w:szCs w:val="21"/>
        </w:rPr>
        <w:t xml:space="preserve">This matches the model's own “area parameter” (a, b per decile) construction in §C.IX: for each Lorenz series and sample it stores a running (a, b) pair per decile — the lower and upper cumulative consumption share bounding that decile's population slice — from which the trapezoid area, and hence the Gini coefficient, is derived exactly as above.</w:t>
      </w:r>
    </w:p>
    <w:p>
      <w:pPr>
        <w:pStyle w:val="Heading2"/>
        <w:spacing w:after="160" w:before="360"/>
      </w:pPr>
      <w:r>
        <w:rPr>
          <w:b/>
          <w:bCs/>
          <w:color w:val="1F3864"/>
          <w:sz w:val="26"/>
          <w:szCs w:val="26"/>
        </w:rPr>
        <w:t xml:space="preserve">Step 11 — Horizontal equity (§D.IV)</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horizontal_distribution_before_recycling[d] = { p25: total_effect[d,*,p25], mean: total_effect[d,*,mean], p75: total_effect[d,*,p75] }</w:t>
      </w:r>
    </w:p>
    <w:p>
      <w:pPr>
        <w:shd w:fill="EFF3F6" w:val="clear"/>
        <w:spacing w:after="0" w:line="264"/>
        <w:ind w:left="160" w:right="160"/>
      </w:pPr>
      <w:r>
        <w:rPr>
          <w:rFonts w:ascii="Consolas" w:cs="Consolas" w:eastAsia="Consolas" w:hAnsi="Consolas"/>
          <w:color w:val="1B1B1B"/>
          <w:sz w:val="19"/>
          <w:szCs w:val="19"/>
        </w:rPr>
        <w:t xml:space="preserve">    horizontal_distribution_after_recycling[d]  = { p25: net_effect[d,*,p25],   mean: net_effect[d,*,mean],   p75: net_effect[d,*,p75]   }</w:t>
      </w:r>
    </w:p>
    <w:p>
      <w:pPr>
        <w:shd w:fill="EFF3F6" w:val="clear"/>
        <w:spacing w:after="0" w:line="264"/>
        <w:ind w:left="160" w:right="160"/>
      </w:pPr>
      <w:r>
        <w:rPr>
          <w:rFonts w:ascii="Consolas" w:cs="Consolas" w:eastAsia="Consolas" w:hAnsi="Consolas"/>
          <w:color w:val="1B1B1B"/>
          <w:sz w:val="19"/>
          <w:szCs w:val="19"/>
        </w:rPr>
        <w:t xml:space="preserve">    urban_net_effect_distribution[d] = net_effect[d, urban, *]</w:t>
      </w:r>
    </w:p>
    <w:p>
      <w:pPr>
        <w:shd w:fill="EFF3F6" w:val="clear"/>
        <w:spacing w:after="0" w:line="264"/>
        <w:ind w:left="160" w:right="160"/>
      </w:pPr>
      <w:r>
        <w:rPr>
          <w:rFonts w:ascii="Consolas" w:cs="Consolas" w:eastAsia="Consolas" w:hAnsi="Consolas"/>
          <w:color w:val="1B1B1B"/>
          <w:sz w:val="19"/>
          <w:szCs w:val="19"/>
        </w:rPr>
        <w:t xml:space="preserve">    rural_net_effect_distribution[d] = net_effect[d, rural, *]</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OUTPUT within-decile (p25/mean/p75) spread of total_effect and net_effect, and the urban/rural split</w:t>
      </w:r>
    </w:p>
    <w:p>
      <w:pPr>
        <w:shd w:fill="EFF3F6" w:val="clear"/>
        <w:spacing w:after="0" w:line="264"/>
        <w:ind w:left="160" w:right="160"/>
      </w:pPr>
      <w:r>
        <w:rPr>
          <w:rFonts w:ascii="Consolas" w:cs="Consolas" w:eastAsia="Consolas" w:hAnsi="Consolas"/>
          <w:color w:val="1B1B1B"/>
          <w:sz w:val="19"/>
          <w:szCs w:val="19"/>
        </w:rPr>
        <w:t xml:space="preserve"># Purpose: shows that households WITHIN the same decile can face very different burdens</w:t>
      </w:r>
    </w:p>
    <w:p>
      <w:pPr>
        <w:pBdr>
          <w:bottom w:val="single" w:color="D9D9D9" w:sz="6" w:space="4"/>
        </w:pBdr>
        <w:spacing w:after="240" w:line="264"/>
      </w:pPr>
    </w:p>
    <w:p>
      <w:pPr>
        <w:pStyle w:val="Heading2"/>
        <w:spacing w:after="160" w:before="360"/>
      </w:pPr>
      <w:r>
        <w:rPr>
          <w:b/>
          <w:bCs/>
          <w:color w:val="1F3864"/>
          <w:sz w:val="26"/>
          <w:szCs w:val="26"/>
        </w:rPr>
        <w:t xml:space="preserve">Step 12 — Compensation requirement (§D.V)</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FOR EACH decile d:</w:t>
      </w:r>
    </w:p>
    <w:p>
      <w:pPr>
        <w:shd w:fill="EFF3F6" w:val="clear"/>
        <w:spacing w:after="0" w:line="264"/>
        <w:ind w:left="160" w:right="160"/>
      </w:pPr>
      <w:r>
        <w:rPr>
          <w:rFonts w:ascii="Consolas" w:cs="Consolas" w:eastAsia="Consolas" w:hAnsi="Consolas"/>
          <w:color w:val="1B1B1B"/>
          <w:sz w:val="19"/>
          <w:szCs w:val="19"/>
        </w:rPr>
        <w:t xml:space="preserve">        loss_amount[d] = total_effect[d, s, mean] * baseline_consumption_share[d, s, mean]</w:t>
      </w:r>
    </w:p>
    <w:p>
      <w:pPr>
        <w:shd w:fill="EFF3F6" w:val="clear"/>
        <w:spacing w:after="0" w:line="264"/>
        <w:ind w:left="160" w:right="160"/>
      </w:pPr>
      <w:r>
        <w:rPr>
          <w:rFonts w:ascii="Consolas" w:cs="Consolas" w:eastAsia="Consolas" w:hAnsi="Consolas"/>
          <w:color w:val="1B1B1B"/>
          <w:sz w:val="19"/>
          <w:szCs w:val="19"/>
        </w:rPr>
        <w:t xml:space="preserve">    total_loss = SUM OVER d( loss_amount[d] )</w:t>
      </w:r>
    </w:p>
    <w:p>
      <w:pPr>
        <w:shd w:fill="EFF3F6" w:val="clear"/>
        <w:spacing w:after="0" w:line="264"/>
        <w:ind w:left="160" w:right="160"/>
      </w:pPr>
      <w:r>
        <w:rPr>
          <w:rFonts w:ascii="Consolas" w:cs="Consolas" w:eastAsia="Consolas" w:hAnsi="Consolas"/>
          <w:color w:val="1B1B1B"/>
          <w:sz w:val="19"/>
          <w:szCs w:val="19"/>
        </w:rPr>
        <w:t xml:space="preserve">    FOR EACH decile d:</w:t>
      </w:r>
    </w:p>
    <w:p>
      <w:pPr>
        <w:shd w:fill="EFF3F6" w:val="clear"/>
        <w:spacing w:after="0" w:line="264"/>
        <w:ind w:left="160" w:right="160"/>
      </w:pPr>
      <w:r>
        <w:rPr>
          <w:rFonts w:ascii="Consolas" w:cs="Consolas" w:eastAsia="Consolas" w:hAnsi="Consolas"/>
          <w:color w:val="1B1B1B"/>
          <w:sz w:val="19"/>
          <w:szCs w:val="19"/>
        </w:rPr>
        <w:t xml:space="preserve">        share_of_revenue_to_compensate[d, s] = loss_amount[d] / total_loss</w:t>
      </w:r>
    </w:p>
    <w:p>
      <w:pPr>
        <w:shd w:fill="EFF3F6" w:val="clear"/>
        <w:spacing w:after="0" w:line="264"/>
        <w:ind w:left="160" w:right="160"/>
      </w:pPr>
      <w:r>
        <w:rPr>
          <w:rFonts w:ascii="Consolas" w:cs="Consolas" w:eastAsia="Consolas" w:hAnsi="Consolas"/>
          <w:color w:val="1B1B1B"/>
          <w:sz w:val="19"/>
          <w:szCs w:val="19"/>
        </w:rPr>
        <w:t xml:space="preserve">    # cumulative, poorest -&gt; wealthiest: % of total CP revenue needed to fully compensate the bottom d deciles</w:t>
      </w:r>
    </w:p>
    <w:p>
      <w:pPr>
        <w:shd w:fill="EFF3F6" w:val="clear"/>
        <w:spacing w:after="0" w:line="264"/>
        <w:ind w:left="160" w:right="160"/>
      </w:pPr>
      <w:r>
        <w:rPr>
          <w:rFonts w:ascii="Consolas" w:cs="Consolas" w:eastAsia="Consolas" w:hAnsi="Consolas"/>
          <w:color w:val="1B1B1B"/>
          <w:sz w:val="19"/>
          <w:szCs w:val="19"/>
        </w:rPr>
        <w:t xml:space="preserve">    cumulative_share_to_compensate[0, s] = 0</w:t>
      </w:r>
    </w:p>
    <w:p>
      <w:pPr>
        <w:shd w:fill="EFF3F6" w:val="clear"/>
        <w:spacing w:after="0" w:line="264"/>
        <w:ind w:left="160" w:right="160"/>
      </w:pPr>
      <w:r>
        <w:rPr>
          <w:rFonts w:ascii="Consolas" w:cs="Consolas" w:eastAsia="Consolas" w:hAnsi="Consolas"/>
          <w:color w:val="1B1B1B"/>
          <w:sz w:val="19"/>
          <w:szCs w:val="19"/>
        </w:rPr>
        <w:t xml:space="preserve">    FOR d IN 1..10:</w:t>
      </w:r>
    </w:p>
    <w:p>
      <w:pPr>
        <w:shd w:fill="EFF3F6" w:val="clear"/>
        <w:spacing w:after="0" w:line="264"/>
        <w:ind w:left="160" w:right="160"/>
      </w:pPr>
      <w:r>
        <w:rPr>
          <w:rFonts w:ascii="Consolas" w:cs="Consolas" w:eastAsia="Consolas" w:hAnsi="Consolas"/>
          <w:color w:val="1B1B1B"/>
          <w:sz w:val="19"/>
          <w:szCs w:val="19"/>
        </w:rPr>
        <w:t xml:space="preserve">        cumulative_share_to_compensate[d, s] = cumulative_share_to_compensate[d-1, s] + share_of_revenue_to_compensate[d, s]</w:t>
      </w:r>
    </w:p>
    <w:p>
      <w:pPr>
        <w:shd w:fill="EFF3F6" w:val="clear"/>
        <w:spacing w:after="0" w:line="264"/>
        <w:ind w:left="160" w:right="160"/>
      </w:pPr>
      <w:r>
        <w:rPr>
          <w:rFonts w:ascii="Consolas" w:cs="Consolas" w:eastAsia="Consolas" w:hAnsi="Consolas"/>
          <w:color w:val="1B1B1B"/>
          <w:sz w:val="19"/>
          <w:szCs w:val="19"/>
        </w:rPr>
        <w:t xml:space="preserve"/>
      </w:r>
    </w:p>
    <w:p>
      <w:pPr>
        <w:pBdr>
          <w:bottom w:val="single" w:color="D9D9D9" w:sz="6" w:space="4"/>
        </w:pBdr>
        <w:spacing w:after="240" w:line="264"/>
      </w:pPr>
    </w:p>
    <w:p>
      <w:pPr>
        <w:pStyle w:val="Heading2"/>
        <w:spacing w:after="160" w:before="360"/>
      </w:pPr>
      <w:r>
        <w:rPr>
          <w:b/>
          <w:bCs/>
          <w:color w:val="1F3864"/>
          <w:sz w:val="26"/>
          <w:szCs w:val="26"/>
        </w:rPr>
        <w:t xml:space="preserve">Step 13 — Sectoral input-cost / output-price outputs (§D.VI)</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sorted_by_hh_demand      = SORT gtap_sectors BY hh_demand[g] DESCENDING</w:t>
      </w:r>
    </w:p>
    <w:p>
      <w:pPr>
        <w:shd w:fill="EFF3F6" w:val="clear"/>
        <w:spacing w:after="0" w:line="264"/>
        <w:ind w:left="160" w:right="160"/>
      </w:pPr>
      <w:r>
        <w:rPr>
          <w:rFonts w:ascii="Consolas" w:cs="Consolas" w:eastAsia="Consolas" w:hAnsi="Consolas"/>
          <w:color w:val="1B1B1B"/>
          <w:sz w:val="19"/>
          <w:szCs w:val="19"/>
        </w:rPr>
        <w:t xml:space="preserve">top_20_by_price_increase = FIRST 20 OF sorted_by_price_increase   # of 59 total GTAP sectors</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OUTPUT sorted_by_price_increase, sorted_by_hh_demand, top_20_by_price_increase,</w:t>
      </w:r>
    </w:p>
    <w:p>
      <w:pPr>
        <w:pBdr>
          <w:bottom w:val="single" w:color="D9D9D9" w:sz="6" w:space="4"/>
        </w:pBdr>
        <w:spacing w:after="240" w:line="264"/>
      </w:pPr>
    </w:p>
    <w:p>
      <w:pPr>
        <w:pStyle w:val="Heading2"/>
        <w:spacing w:after="160" w:before="360"/>
      </w:pPr>
      <w:r>
        <w:rPr>
          <w:b/>
          <w:bCs/>
          <w:color w:val="1F3864"/>
          <w:sz w:val="26"/>
          <w:szCs w:val="26"/>
        </w:rPr>
        <w:t xml:space="preserve">Step 14 — Assemble chart-ready outputs and Mitigation-module handoff (§D, §F)</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(statistic mean/median/p25/p75) x (sample overall/urban/rural) x (basket + deciles 1-10)</w:t>
      </w:r>
    </w:p>
    <w:p>
      <w:pPr>
        <w:shd w:fill="EFF3F6" w:val="clear"/>
        <w:spacing w:after="0" w:line="264"/>
        <w:ind w:left="160" w:right="160"/>
      </w:pPr>
      <w:r>
        <w:rPr>
          <w:rFonts w:ascii="Consolas" w:cs="Consolas" w:eastAsia="Consolas" w:hAnsi="Consolas"/>
          <w:color w:val="1B1B1B"/>
          <w:sz w:val="19"/>
          <w:szCs w:val="19"/>
        </w:rPr>
        <w:t xml:space="preserve">PACKAGE budget_share, direct_effect, indirect_effect, total_effect, net_effect,</w:t>
      </w:r>
    </w:p>
    <w:p>
      <w:pPr>
        <w:shd w:fill="EFF3F6" w:val="clear"/>
        <w:spacing w:after="0" w:line="264"/>
        <w:ind w:left="160" w:right="160"/>
      </w:pPr>
      <w:r>
        <w:rPr>
          <w:rFonts w:ascii="Consolas" w:cs="Consolas" w:eastAsia="Consolas" w:hAnsi="Consolas"/>
          <w:color w:val="1B1B1B"/>
          <w:sz w:val="19"/>
          <w:szCs w:val="19"/>
        </w:rPr>
        <w:t xml:space="preserve">        adjusted_per_capita_consumption, consumption_share, cumulative_share,</w:t>
      </w:r>
    </w:p>
    <w:p>
      <w:pPr>
        <w:shd w:fill="EFF3F6" w:val="clear"/>
        <w:spacing w:after="0" w:line="264"/>
        <w:ind w:left="160" w:right="160"/>
      </w:pPr>
      <w:r>
        <w:rPr>
          <w:rFonts w:ascii="Consolas" w:cs="Consolas" w:eastAsia="Consolas" w:hAnsi="Consolas"/>
          <w:color w:val="1B1B1B"/>
          <w:sz w:val="19"/>
          <w:szCs w:val="19"/>
        </w:rPr>
        <w:t xml:space="preserve">        gini / delta_gini, share_of_revenue_to_compensate, cumulative_share_to_compensate,</w:t>
      </w:r>
    </w:p>
    <w:p>
      <w:pPr>
        <w:shd w:fill="EFF3F6" w:val="clear"/>
        <w:spacing w:after="0" w:line="264"/>
        <w:ind w:left="160" w:right="160"/>
      </w:pPr>
      <w:r>
        <w:rPr>
          <w:rFonts w:ascii="Consolas" w:cs="Consolas" w:eastAsia="Consolas" w:hAnsi="Consolas"/>
          <w:color w:val="1B1B1B"/>
          <w:sz w:val="19"/>
          <w:szCs w:val="19"/>
        </w:rPr>
        <w:t xml:space="preserve">        pit_reduction, amount_received[targeted_transfer|public_investment|current_spending]</w:t>
      </w:r>
    </w:p>
    <w:p>
      <w:pPr>
        <w:shd w:fill="EFF3F6" w:val="clear"/>
        <w:spacing w:after="0" w:line="264"/>
        <w:ind w:left="160" w:right="160"/>
      </w:pPr>
      <w:r>
        <w:rPr>
          <w:rFonts w:ascii="Consolas" w:cs="Consolas" w:eastAsia="Consolas" w:hAnsi="Consolas"/>
          <w:color w:val="1B1B1B"/>
          <w:sz w:val="19"/>
          <w:szCs w:val="19"/>
        </w:rPr>
        <w:t xml:space="preserve">        FOR the charts listed in §6 (Outputs).</w:t>
      </w:r>
    </w:p>
    <w:p>
      <w:pPr>
        <w:shd w:fill="EFF3F6" w:val="clear"/>
        <w:spacing w:after="0" w:line="264"/>
        <w:ind w:left="160" w:right="160"/>
      </w:pPr>
      <w:r>
        <w:rPr>
          <w:rFonts w:ascii="Consolas" w:cs="Consolas" w:eastAsia="Consolas" w:hAnsi="Consolas"/>
          <w:color w:val="1B1B1B"/>
          <w:sz w:val="19"/>
          <w:szCs w:val="19"/>
        </w:rPr>
        <w:t xml:space="preserve"/>
      </w:r>
    </w:p>
    <w:p>
      <w:pPr>
        <w:shd w:fill="EFF3F6" w:val="clear"/>
        <w:spacing w:after="0" w:line="264"/>
        <w:ind w:left="160" w:right="160"/>
      </w:pPr>
      <w:r>
        <w:rPr>
          <w:rFonts w:ascii="Consolas" w:cs="Consolas" w:eastAsia="Consolas" w:hAnsi="Consolas"/>
          <w:color w:val="1B1B1B"/>
          <w:sz w:val="19"/>
          <w:szCs w:val="19"/>
        </w:rPr>
        <w:t xml:space="preserve"># 14.2 Return summary scalars to the Mitigation module for cross-module consistency checks</w:t>
      </w:r>
    </w:p>
    <w:p>
      <w:pPr>
        <w:shd w:fill="EFF3F6" w:val="clear"/>
        <w:spacing w:after="0" w:line="264"/>
        <w:ind w:left="160" w:right="160"/>
      </w:pPr>
      <w:r>
        <w:rPr>
          <w:rFonts w:ascii="Consolas" w:cs="Consolas" w:eastAsia="Consolas" w:hAnsi="Consolas"/>
          <w:color w:val="1B1B1B"/>
          <w:sz w:val="19"/>
          <w:szCs w:val="19"/>
        </w:rPr>
        <w:t xml:space="preserve">RETURN TO Mitigation module:</w:t>
      </w:r>
    </w:p>
    <w:p>
      <w:pPr>
        <w:shd w:fill="EFF3F6" w:val="clear"/>
        <w:spacing w:after="0" w:line="264"/>
        <w:ind w:left="160" w:right="160"/>
      </w:pPr>
      <w:r>
        <w:rPr>
          <w:rFonts w:ascii="Consolas" w:cs="Consolas" w:eastAsia="Consolas" w:hAnsi="Consolas"/>
          <w:color w:val="1B1B1B"/>
          <w:sz w:val="19"/>
          <w:szCs w:val="19"/>
        </w:rPr>
        <w:t xml:space="preserve">    direct_price_increase[f]  (echoed back, unadjusted)</w:t>
      </w:r>
    </w:p>
    <w:p>
      <w:pPr>
        <w:shd w:fill="EFF3F6" w:val="clear"/>
        <w:spacing w:after="0" w:line="264"/>
        <w:ind w:left="160" w:right="160"/>
      </w:pPr>
      <w:r>
        <w:rPr>
          <w:rFonts w:ascii="Consolas" w:cs="Consolas" w:eastAsia="Consolas" w:hAnsi="Consolas"/>
          <w:color w:val="1B1B1B"/>
          <w:sz w:val="19"/>
          <w:szCs w:val="19"/>
        </w:rPr>
        <w:t xml:space="preserve">    indirect_price_increase[g]  (by GTAP sector, pre-CPAT-aggregation)</w:t>
      </w:r>
    </w:p>
    <w:p>
      <w:pPr>
        <w:shd w:fill="EFF3F6" w:val="clear"/>
        <w:spacing w:after="0" w:line="264"/>
        <w:ind w:left="160" w:right="160"/>
      </w:pPr>
      <w:r>
        <w:rPr>
          <w:rFonts w:ascii="Consolas" w:cs="Consolas" w:eastAsia="Consolas" w:hAnsi="Consolas"/>
          <w:color w:val="1B1B1B"/>
          <w:sz w:val="19"/>
          <w:szCs w:val="19"/>
        </w:rPr>
        <w:t xml:space="preserve">    top_20_most_affected_sectors</w:t>
      </w:r>
    </w:p>
    <w:p>
      <w:pPr>
        <w:pBdr>
          <w:bottom w:val="single" w:color="D9D9D9" w:sz="6" w:space="4"/>
        </w:pBdr>
        <w:spacing w:after="240" w:line="264"/>
      </w:pPr>
    </w:p>
    <w:p>
      <w:pPr>
        <w:pStyle w:val="Heading1"/>
        <w:pageBreakBefore/>
        <w:pBdr>
          <w:bottom w:val="single" w:color="1F3864" w:sz="8" w:space="4"/>
        </w:pBdr>
        <w:spacing w:after="240" w:before="480"/>
      </w:pPr>
      <w:r>
        <w:rPr>
          <w:b/>
          <w:bCs/>
          <w:color w:val="1F3864"/>
          <w:sz w:val="32"/>
          <w:szCs w:val="32"/>
        </w:rPr>
        <w:t xml:space="preserve">6. Outputs</w:t>
      </w:r>
    </w:p>
    <w:p>
      <w:pPr>
        <w:spacing w:after="160" w:line="276"/>
      </w:pPr>
      <w:r>
        <w:rPr>
          <w:b w:val="false"/>
          <w:bCs w:val="false"/>
          <w:i w:val="false"/>
          <w:iCs w:val="false"/>
          <w:sz w:val="21"/>
          <w:szCs w:val="21"/>
        </w:rPr>
        <w:t xml:space="preserve">Outputs are grouped as in Section D (“Outputs for charts”) and Section F (“Results for MT”) of the Excel sheet. All decile-level outputs are produced at every (statistic × sample) combination unless noted; charts typically display only the active “Statistic – Outputs” selection (default: mean, overall sample).</w:t>
      </w:r>
    </w:p>
    <w:p>
      <w:pPr>
        <w:pStyle w:val="Heading2"/>
        <w:spacing w:after="160" w:before="360"/>
      </w:pPr>
      <w:r>
        <w:rPr>
          <w:b/>
          <w:bCs/>
          <w:color w:val="1F3864"/>
          <w:sz w:val="26"/>
          <w:szCs w:val="26"/>
        </w:rPr>
        <w:t xml:space="preserve">6.1 Core numeric outputs (all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3830"/>
        <w:gridCol w:w="2822"/>
      </w:tblGrid>
      <w:tr>
        <w:trPr>
          <w:tblHeader/>
        </w:trPr>
        <w:tc>
          <w:tcPr>
            <w:tcW w:type="dxa" w:w="342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Output</w:t>
            </w:r>
          </w:p>
        </w:tc>
        <w:tc>
          <w:tcPr>
            <w:tcW w:type="dxa" w:w="383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Dimensions</w:t>
            </w:r>
          </w:p>
        </w:tc>
        <w:tc>
          <w:tcPr>
            <w:tcW w:type="dxa" w:w="2822"/>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Produced in</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Direct effect by fuel</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fuel × decile × sample × statistic, % of consumption</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4</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direct effect</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 of consumption</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4</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Indirect effect by category</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category × decile × sample × statistic, % of consumption</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5</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indirect effect</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 of consumption</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5</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effect (“carbon tax burden”)</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 of consumption</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6</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Adjusted (NA-basis) consumption, per-capita and total</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real analysis-year LCU</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7</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Tax burden, pre-behavioural-response</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real analysis-year LCU</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7</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Amount recycled (total, and by channel: PIT / transfers / investment / spending)</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real analysis-year LCU</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8</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Net effect (post-recycling burden)</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 of consumption</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9</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Post-CP consumption, excl. / incl. recycling</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 statistic, real LCU and % share</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9</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Cumulative consumption shares (Lorenz points)</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4 series (baseline / post excl. / post incl. / perfect equality)</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9</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Gini coefficient, and ΔGini (excl. / incl. recycling)</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sample × 4 series</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10</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Within-decile p25/mean/p75 spread, and urban/rural split</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statistic</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11</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Share of CP revenue required to compensate each decile</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12</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Cumulative share of CP revenue required to compensate deciles</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decile × sample, %</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12</w:t>
            </w:r>
          </w:p>
        </w:tc>
      </w:tr>
      <w:tr>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GTAP-sector price increases, ranked</w:t>
            </w:r>
          </w:p>
        </w:tc>
        <w:tc>
          <w:tcPr>
            <w:tcW w:type="dxa" w:w="383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up to 59 sectors, %</w:t>
            </w:r>
          </w:p>
        </w:tc>
        <w:tc>
          <w:tcPr>
            <w:tcW w:type="dxa" w:w="2822"/>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13</w:t>
            </w:r>
          </w:p>
        </w:tc>
      </w:tr>
      <w:tr>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Top 20 most price-affected sectors</w:t>
            </w:r>
          </w:p>
        </w:tc>
        <w:tc>
          <w:tcPr>
            <w:tcW w:type="dxa" w:w="383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20 sectors × (price increase, hh-demand share)</w:t>
            </w:r>
          </w:p>
        </w:tc>
        <w:tc>
          <w:tcPr>
            <w:tcW w:type="dxa" w:w="2822"/>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13</w:t>
            </w:r>
          </w:p>
        </w:tc>
      </w:tr>
    </w:tbl>
    <w:p>
      <w:pPr>
        <w:pStyle w:val="Heading2"/>
        <w:spacing w:after="160" w:before="360"/>
      </w:pPr>
      <w:r>
        <w:rPr>
          <w:b/>
          <w:bCs/>
          <w:color w:val="1F3864"/>
          <w:sz w:val="26"/>
          <w:szCs w:val="26"/>
        </w:rPr>
        <w:t xml:space="preserve">6.2 Chart-ready output packs (Section D of the source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5846"/>
        <w:gridCol w:w="3024"/>
      </w:tblGrid>
      <w:tr>
        <w:trPr>
          <w:tblHeader/>
        </w:trPr>
        <w:tc>
          <w:tcPr>
            <w:tcW w:type="dxa" w:w="121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Section</w:t>
            </w:r>
          </w:p>
        </w:tc>
        <w:tc>
          <w:tcPr>
            <w:tcW w:type="dxa" w:w="584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Chart / table</w:t>
            </w:r>
          </w:p>
        </w:tc>
        <w:tc>
          <w:tcPr>
            <w:tcW w:type="dxa" w:w="3024"/>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Built from</w:t>
            </w:r>
          </w:p>
        </w:tc>
      </w:tr>
      <w:tr>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w:t>
            </w:r>
          </w:p>
        </w:tc>
        <w:tc>
          <w:tcPr>
            <w:tcW w:type="dxa" w:w="584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Quantile / decile consumption-bracket labels (chart axis labels)</w:t>
            </w:r>
          </w:p>
        </w:tc>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7 per-capita consumption</w:t>
            </w:r>
          </w:p>
        </w:tc>
      </w:tr>
      <w:tr>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D.II</w:t>
            </w:r>
          </w:p>
        </w:tc>
        <w:tc>
          <w:tcPr>
            <w:tcW w:type="dxa" w:w="584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Relative direct vs. indirect effect, by fuel/non-fuel and by decile; composition of direct and indirect effects; urban vs. rural comparison</w:t>
            </w:r>
          </w:p>
        </w:tc>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Steps 3–6</w:t>
            </w:r>
          </w:p>
        </w:tc>
      </w:tr>
      <w:tr>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D.III</w:t>
            </w:r>
          </w:p>
        </w:tc>
        <w:tc>
          <w:tcPr>
            <w:tcW w:type="dxa" w:w="584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Absolute per-capita effect by decile; ΔGini (excl. and incl. recycling); Lorenz curve chart; urban vs. rural absolute effect</w:t>
            </w:r>
          </w:p>
        </w:tc>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Steps 7, 9, 10</w:t>
            </w:r>
          </w:p>
        </w:tc>
      </w:tr>
      <w:tr>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D.IV</w:t>
            </w:r>
          </w:p>
        </w:tc>
        <w:tc>
          <w:tcPr>
            <w:tcW w:type="dxa" w:w="584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Horizontal distribution of total and net effects (before/after recycling), overall/urban/rural</w:t>
            </w:r>
          </w:p>
        </w:tc>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11</w:t>
            </w:r>
          </w:p>
        </w:tc>
      </w:tr>
      <w:tr>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D.V</w:t>
            </w:r>
          </w:p>
        </w:tc>
        <w:tc>
          <w:tcPr>
            <w:tcW w:type="dxa" w:w="584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 of CP revenue required to compensate each decile, and cumulative version, overall/urban/rural</w:t>
            </w:r>
          </w:p>
        </w:tc>
        <w:tc>
          <w:tcPr>
            <w:tcW w:type="dxa" w:w="3024"/>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12</w:t>
            </w:r>
          </w:p>
        </w:tc>
      </w:tr>
      <w:tr>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D.VI</w:t>
            </w:r>
          </w:p>
        </w:tc>
        <w:tc>
          <w:tcPr>
            <w:tcW w:type="dxa" w:w="584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Sectoral input-cost/output-price shocks; top-20 most affected sectors; sectors ordered by household demand or by price increase</w:t>
            </w:r>
          </w:p>
        </w:tc>
        <w:tc>
          <w:tcPr>
            <w:tcW w:type="dxa" w:w="3024"/>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13</w:t>
            </w:r>
          </w:p>
        </w:tc>
      </w:tr>
    </w:tbl>
    <w:p>
      <w:pPr>
        <w:pStyle w:val="Heading2"/>
        <w:spacing w:after="160" w:before="360"/>
      </w:pPr>
      <w:r>
        <w:rPr>
          <w:b/>
          <w:bCs/>
          <w:color w:val="1F3864"/>
          <w:sz w:val="26"/>
          <w:szCs w:val="26"/>
        </w:rPr>
        <w:t xml:space="preserve">6.3 Handoff outputs to the Mitigation module (Section F)</w:t>
      </w:r>
    </w:p>
    <w:p>
      <w:pPr>
        <w:pStyle w:val="ListParagraph"/>
        <w:numPr>
          <w:ilvl w:val="0"/>
          <w:numId w:val="2"/>
        </w:numPr>
        <w:spacing w:after="80" w:line="264"/>
      </w:pPr>
      <w:r>
        <w:rPr>
          <w:sz w:val="21"/>
          <w:szCs w:val="21"/>
        </w:rPr>
        <w:t xml:space="preserve">Direct price changes by fuel (echoed, for consistency display in the Mitigation module UI).</w:t>
      </w:r>
    </w:p>
    <w:p>
      <w:pPr>
        <w:pStyle w:val="ListParagraph"/>
        <w:numPr>
          <w:ilvl w:val="0"/>
          <w:numId w:val="2"/>
        </w:numPr>
        <w:spacing w:after="80" w:line="264"/>
      </w:pPr>
      <w:r>
        <w:rPr>
          <w:sz w:val="21"/>
          <w:szCs w:val="21"/>
        </w:rPr>
        <w:t xml:space="preserve">Indirect price changes by GTAP sector.</w:t>
      </w:r>
    </w:p>
    <w:p>
      <w:pPr>
        <w:pStyle w:val="ListParagraph"/>
        <w:numPr>
          <w:ilvl w:val="0"/>
          <w:numId w:val="2"/>
        </w:numPr>
        <w:spacing w:after="80" w:line="264"/>
      </w:pPr>
      <w:r>
        <w:rPr>
          <w:sz w:val="21"/>
          <w:szCs w:val="21"/>
        </w:rPr>
        <w:t xml:space="preserve">Top-20 most affected sectors (same as §6.2, D.VI) surfaced in the Mitigation module's own results view.</w:t>
      </w:r>
    </w:p>
    <w:p>
      <w:pPr>
        <w:pStyle w:val="ListParagraph"/>
        <w:numPr>
          <w:ilvl w:val="0"/>
          <w:numId w:val="2"/>
        </w:numPr>
        <w:spacing w:after="80" w:line="264"/>
      </w:pPr>
      <w:r>
        <w:rPr>
          <w:sz w:val="21"/>
          <w:szCs w:val="21"/>
        </w:rPr>
        <w:t xml:space="preserve">Revenue adjustment/reconciliation factor from Step 1.3, so discrepancies between the Mitigation module's bottom-up revenue estimate and this module's IO-implied estimate are visible rather than silently absorbed.</w:t>
      </w:r>
    </w:p>
    <w:p>
      <w:pPr>
        <w:pStyle w:val="Heading2"/>
        <w:spacing w:after="160" w:before="360"/>
      </w:pPr>
      <w:r>
        <w:rPr>
          <w:b/>
          <w:bCs/>
          <w:color w:val="1F3864"/>
          <w:sz w:val="26"/>
          <w:szCs w:val="26"/>
        </w:rPr>
        <w:t xml:space="preserve">6.4 Reporting granularity</w:t>
      </w:r>
    </w:p>
    <w:p>
      <w:pPr>
        <w:spacing w:after="160" w:line="276"/>
      </w:pPr>
      <w:r>
        <w:rPr>
          <w:b w:val="false"/>
          <w:bCs w:val="false"/>
          <w:i w:val="false"/>
          <w:iCs w:val="false"/>
          <w:sz w:val="21"/>
          <w:szCs w:val="21"/>
        </w:rPr>
        <w:t xml:space="preserve">Every table in §6.1–§6.2 should be implemented so it can be filtered/sliced by:</w:t>
      </w:r>
    </w:p>
    <w:p>
      <w:pPr>
        <w:pStyle w:val="ListParagraph"/>
        <w:numPr>
          <w:ilvl w:val="0"/>
          <w:numId w:val="2"/>
        </w:numPr>
        <w:spacing w:after="80" w:line="264"/>
      </w:pPr>
      <w:r>
        <w:rPr>
          <w:sz w:val="21"/>
          <w:szCs w:val="21"/>
        </w:rPr>
        <w:t xml:space="preserve">Statistic: mean (default), median, p25, p75</w:t>
      </w:r>
    </w:p>
    <w:p>
      <w:pPr>
        <w:pStyle w:val="ListParagraph"/>
        <w:numPr>
          <w:ilvl w:val="0"/>
          <w:numId w:val="2"/>
        </w:numPr>
        <w:spacing w:after="80" w:line="264"/>
      </w:pPr>
      <w:r>
        <w:rPr>
          <w:sz w:val="21"/>
          <w:szCs w:val="21"/>
        </w:rPr>
        <w:t xml:space="preserve">Sample: overall, urban, rural</w:t>
      </w:r>
    </w:p>
    <w:p>
      <w:pPr>
        <w:pStyle w:val="ListParagraph"/>
        <w:numPr>
          <w:ilvl w:val="0"/>
          <w:numId w:val="2"/>
        </w:numPr>
        <w:spacing w:after="80" w:line="264"/>
      </w:pPr>
      <w:r>
        <w:rPr>
          <w:sz w:val="21"/>
          <w:szCs w:val="21"/>
        </w:rPr>
        <w:t xml:space="preserve">Aggregation: basket (single national figure) or the 10 deciles</w:t>
      </w:r>
    </w:p>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Where the Excel model repeats an identical row/label (e.g. several 'National Accounts-Adjusted Post-CP/Recycling Consumption – Urban Sample' rows in §C.VIII/§C.IX appear to be copy artefacts — one is very likely meant to be the Rural sample), the Python/Excel rebuild should de-duplicate by sample explicitly (overall/urban/rural) rather than copying the row labelling verbatim. Flag and confirm this against the live workbook (or the public documentation, once reachable) before implementation.</w:t>
      </w:r>
    </w:p>
    <w:p>
      <w:pPr>
        <w:pStyle w:val="Heading1"/>
        <w:pageBreakBefore/>
        <w:pBdr>
          <w:bottom w:val="single" w:color="1F3864" w:sz="8" w:space="4"/>
        </w:pBdr>
        <w:spacing w:after="240" w:before="480"/>
      </w:pPr>
      <w:r>
        <w:rPr>
          <w:b/>
          <w:bCs/>
          <w:color w:val="1F3864"/>
          <w:sz w:val="32"/>
          <w:szCs w:val="32"/>
        </w:rPr>
        <w:t xml:space="preserve">7. Key Formulas</w:t>
      </w:r>
    </w:p>
    <w:p>
      <w:pPr>
        <w:spacing w:after="160" w:line="276"/>
      </w:pPr>
      <w:r>
        <w:rPr>
          <w:b w:val="false"/>
          <w:bCs w:val="false"/>
          <w:i w:val="false"/>
          <w:iCs w:val="false"/>
          <w:sz w:val="21"/>
          <w:szCs w:val="21"/>
        </w:rPr>
        <w:t xml:space="preserve">These are transcribed from the model's own “E. Notes” section, which documents the underlying economics in prose (the sheet's embedded equation objects could not be extracted as text, so the notation below is a direct pseudocode rendering of that prose, cross-checked against the calculation blocks in Steps 1, 2 and 4–5).</w:t>
      </w:r>
    </w:p>
    <w:p>
      <w:pPr>
        <w:pStyle w:val="Heading3"/>
        <w:spacing w:after="120" w:before="240"/>
      </w:pPr>
      <w:r>
        <w:rPr>
          <w:b/>
          <w:bCs/>
          <w:color w:val="0E7C7B"/>
          <w:sz w:val="23"/>
          <w:szCs w:val="23"/>
        </w:rPr>
        <w:t xml:space="preserve">7.1 Consumer incidence of an energy-based upstream carbon tax (direct effect)</w:t>
      </w:r>
    </w:p>
    <w:p>
      <w:pPr>
        <w:spacing w:after="160" w:line="276"/>
      </w:pPr>
      <w:r>
        <w:rPr>
          <w:b w:val="false"/>
          <w:bCs w:val="false"/>
          <w:i w:val="false"/>
          <w:iCs w:val="false"/>
          <w:sz w:val="21"/>
          <w:szCs w:val="21"/>
        </w:rPr>
        <w:t xml:space="preserve">“The proportion of additional expenditures P of household j after the policy intervention is a multiplicative function of (i) average energy intensities e_fg (USD/USD) in fuel f of consumption items from each sector g (note that f ∈ g), (ii) total expenditures C, and (iii) the tax rate t for fuel f in sector g, expressed as the price change post- (p2) to pre-reform (p1) (USD_p2/USD_p1).”</w:t>
      </w:r>
    </w:p>
    <w:p>
      <w:pPr>
        <w:pBdr>
          <w:bottom w:val="single" w:color="D9D9D9" w:sz="6" w:space="4"/>
        </w:pBdr>
        <w:spacing w:after="240" w:line="264"/>
      </w:pPr>
    </w:p>
    <w:p>
      <w:pPr>
        <w:pStyle w:val="Heading3"/>
        <w:spacing w:after="120" w:before="240"/>
      </w:pPr>
      <w:r>
        <w:rPr>
          <w:b/>
          <w:bCs/>
          <w:color w:val="0E7C7B"/>
          <w:sz w:val="23"/>
          <w:szCs w:val="23"/>
        </w:rPr>
        <w:t xml:space="preserve">7.2 Indirect effect from goods/services consumption (energy intensity of non-fuel sectors)</w:t>
      </w:r>
    </w:p>
    <w:p>
      <w:pPr>
        <w:spacing w:after="160" w:line="276"/>
      </w:pPr>
      <w:r>
        <w:rPr>
          <w:b w:val="false"/>
          <w:bCs w:val="false"/>
          <w:i w:val="false"/>
          <w:iCs w:val="false"/>
          <w:sz w:val="21"/>
          <w:szCs w:val="21"/>
        </w:rPr>
        <w:t xml:space="preserve">“For each fossil fuel sector, f is a vector assigning a (domestic) energy coefficient to each non-fuel sector. The matrix (I − A)^−1, or Leontief inverse, propagates the upstream fuel cost through the whole production network.”</w:t>
      </w:r>
    </w:p>
    <w:p>
      <w:pPr>
        <w:pBdr>
          <w:bottom w:val="single" w:color="D9D9D9" w:sz="6" w:space="4"/>
        </w:pBdr>
        <w:spacing w:after="240" w:line="264"/>
      </w:pPr>
    </w:p>
    <w:p>
      <w:pPr>
        <w:pStyle w:val="Heading3"/>
        <w:spacing w:after="120" w:before="240"/>
      </w:pPr>
      <w:r>
        <w:rPr>
          <w:b/>
          <w:bCs/>
          <w:color w:val="0E7C7B"/>
          <w:sz w:val="23"/>
          <w:szCs w:val="23"/>
        </w:rPr>
        <w:t xml:space="preserve">7.3 Imperfect price pass-through</w:t>
      </w:r>
    </w:p>
    <w:p>
      <w:pPr>
        <w:spacing w:after="160" w:line="276"/>
      </w:pPr>
      <w:r>
        <w:rPr>
          <w:b w:val="false"/>
          <w:bCs w:val="false"/>
          <w:i w:val="false"/>
          <w:iCs w:val="false"/>
          <w:sz w:val="21"/>
          <w:szCs w:val="21"/>
        </w:rPr>
        <w:t xml:space="preserve">“Differentiated pass-through coefficients are applied to the tax rate t for sector g … such that the downward-adjusted energy price change can be expressed as:”</w:t>
      </w:r>
    </w:p>
    <w:p>
      <w:pPr>
        <w:pBdr>
          <w:bottom w:val="single" w:color="D9D9D9" w:sz="6" w:space="4"/>
        </w:pBdr>
        <w:spacing w:after="240" w:line="264"/>
      </w:pPr>
    </w:p>
    <w:p>
      <w:pPr>
        <w:pStyle w:val="Heading3"/>
        <w:spacing w:after="120" w:before="240"/>
      </w:pPr>
      <w:r>
        <w:rPr>
          <w:b/>
          <w:bCs/>
          <w:color w:val="0E7C7B"/>
          <w:sz w:val="23"/>
          <w:szCs w:val="23"/>
        </w:rPr>
        <w:t xml:space="preserve">7.4 Mitigation-adjusted tax burden</w:t>
      </w:r>
    </w:p>
    <w:p>
      <w:pPr>
        <w:spacing w:after="160" w:line="276"/>
      </w:pPr>
      <w:r>
        <w:rPr>
          <w:b w:val="false"/>
          <w:bCs w:val="false"/>
          <w:i w:val="false"/>
          <w:iCs w:val="false"/>
          <w:sz w:val="21"/>
          <w:szCs w:val="21"/>
        </w:rPr>
        <w:t xml:space="preserve">“Let the economy-wide tax burden, or revenue, estimated in the Mitigation Module be Pm, and in the Distribution Module be Pd (Pm &lt; Pd …). Then the downward adjustment factor to the tax incidence on consumers follows as:”</w:t>
      </w:r>
    </w:p>
    <w:p>
      <w:pPr>
        <w:pBdr>
          <w:top w:val="single" w:color="D9D9D9" w:sz="6" w:space="4"/>
        </w:pBdr>
        <w:spacing w:after="0" w:before="120" w:line="264"/>
      </w:pPr>
    </w:p>
    <w:p>
      <w:pPr>
        <w:pBdr>
          <w:bottom w:val="single" w:color="D9D9D9" w:sz="6" w:space="4"/>
        </w:pBdr>
        <w:spacing w:after="240" w:line="264"/>
      </w:pPr>
    </w:p>
    <w:p>
      <w:pPr>
        <w:pStyle w:val="Heading3"/>
        <w:spacing w:after="120" w:before="240"/>
      </w:pPr>
      <w:r>
        <w:rPr>
          <w:b/>
          <w:bCs/>
          <w:color w:val="0E7C7B"/>
          <w:sz w:val="23"/>
          <w:szCs w:val="23"/>
        </w:rPr>
        <w:t xml:space="preserve">7.5 Emissions-based adjustment of product price changes</w:t>
      </w:r>
    </w:p>
    <w:p>
      <w:pPr>
        <w:spacing w:after="160" w:line="276"/>
      </w:pPr>
      <w:r>
        <w:rPr>
          <w:b w:val="false"/>
          <w:bCs w:val="false"/>
          <w:i w:val="false"/>
          <w:iCs w:val="false"/>
          <w:sz w:val="21"/>
          <w:szCs w:val="21"/>
        </w:rPr>
        <w:t xml:space="preserve">“Scales price changes of goods and services from domestic IO-coefficients to reflect empirically observed domestic emissions by fuel-sector pair (based on IEA Balances '21, GAINS emissions factors and IMF prices).”</w:t>
      </w:r>
    </w:p>
    <w:p>
      <w:pPr>
        <w:pBdr>
          <w:bottom w:val="single" w:color="D9D9D9" w:sz="6" w:space="4"/>
        </w:pBdr>
        <w:spacing w:after="240" w:line="264"/>
      </w:pPr>
    </w:p>
    <w:p>
      <w:pPr>
        <w:pStyle w:val="Heading3"/>
        <w:spacing w:after="120" w:before="240"/>
      </w:pPr>
      <w:r>
        <w:rPr>
          <w:b/>
          <w:bCs/>
          <w:color w:val="0E7C7B"/>
          <w:sz w:val="23"/>
          <w:szCs w:val="23"/>
        </w:rPr>
        <w:t xml:space="preserve">7.6 Gini coefficient from grouped (decile) data</w:t>
      </w:r>
    </w:p>
    <w:p>
      <w:pPr>
        <w:pBdr>
          <w:top w:val="single" w:color="D9D9D9" w:sz="6" w:space="4"/>
        </w:pBdr>
        <w:spacing w:after="0" w:before="120" w:line="264"/>
      </w:pPr>
    </w:p>
    <w:p>
      <w:pPr>
        <w:shd w:fill="EFF3F6" w:val="clear"/>
        <w:spacing w:after="0" w:line="264"/>
        <w:ind w:left="160" w:right="160"/>
      </w:pPr>
      <w:r>
        <w:rPr>
          <w:rFonts w:ascii="Consolas" w:cs="Consolas" w:eastAsia="Consolas" w:hAnsi="Consolas"/>
          <w:color w:val="1B1B1B"/>
          <w:sz w:val="19"/>
          <w:szCs w:val="19"/>
        </w:rPr>
        <w:t xml:space="preserve">  where L(d) = cumulative share of total consumption held by the poorest d deciles,  L(0) = 0, L(10) = 1</w:t>
      </w:r>
    </w:p>
    <w:p>
      <w:pPr>
        <w:pBdr>
          <w:bottom w:val="single" w:color="D9D9D9" w:sz="6" w:space="4"/>
        </w:pBdr>
        <w:spacing w:after="240" w:line="264"/>
      </w:pPr>
    </w:p>
    <w:p>
      <w:pPr>
        <w:pStyle w:val="Heading3"/>
        <w:spacing w:after="120" w:before="240"/>
      </w:pPr>
      <w:r>
        <w:rPr>
          <w:b/>
          <w:bCs/>
          <w:color w:val="0E7C7B"/>
          <w:sz w:val="23"/>
          <w:szCs w:val="23"/>
        </w:rPr>
        <w:t xml:space="preserve">7.7 Deadweight loss (Harberger triangle)</w:t>
      </w:r>
    </w:p>
    <w:p>
      <w:pPr>
        <w:pBdr>
          <w:bottom w:val="single" w:color="D9D9D9" w:sz="6" w:space="4"/>
        </w:pBdr>
        <w:spacing w:after="240" w:line="264"/>
      </w:pPr>
    </w:p>
    <w:p>
      <w:pPr>
        <w:pStyle w:val="Heading1"/>
        <w:pageBreakBefore/>
        <w:pBdr>
          <w:bottom w:val="single" w:color="1F3864" w:sz="8" w:space="4"/>
        </w:pBdr>
        <w:spacing w:after="240" w:before="480"/>
      </w:pPr>
      <w:r>
        <w:rPr>
          <w:b/>
          <w:bCs/>
          <w:color w:val="1F3864"/>
          <w:sz w:val="32"/>
          <w:szCs w:val="32"/>
        </w:rPr>
        <w:t xml:space="preserve">8. Traceability to the Source Excel Workbook</w:t>
      </w:r>
    </w:p>
    <w:p>
      <w:pPr>
        <w:spacing w:after="160" w:line="276"/>
      </w:pPr>
      <w:r>
        <w:rPr>
          <w:b w:val="false"/>
          <w:bCs w:val="false"/>
          <w:i w:val="false"/>
          <w:iCs w:val="false"/>
          <w:sz w:val="21"/>
          <w:szCs w:val="21"/>
        </w:rPr>
        <w:t xml:space="preserve">For audit purposes, every step above maps back to a specific section and row range in cpat_excel/original/CPAT 1.0pre_456_NoPropData.xlsb, sheet “Distribution”: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210"/>
        <w:gridCol w:w="4637"/>
        <w:gridCol w:w="2016"/>
      </w:tblGrid>
      <w:tr>
        <w:trPr>
          <w:tblHeader/>
        </w:trPr>
        <w:tc>
          <w:tcPr>
            <w:tcW w:type="dxa" w:w="2218"/>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Sheet section</w:t>
            </w:r>
          </w:p>
        </w:tc>
        <w:tc>
          <w:tcPr>
            <w:tcW w:type="dxa" w:w="121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Row range</w:t>
            </w:r>
          </w:p>
        </w:tc>
        <w:tc>
          <w:tcPr>
            <w:tcW w:type="dxa" w:w="463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Content</w:t>
            </w:r>
          </w:p>
        </w:tc>
        <w:tc>
          <w:tcPr>
            <w:tcW w:type="dxa" w:w="201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Pseudocode step</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 Module overview</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1–119</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Description, country coverage (85 countries)</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 Appendix A</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 Key assumptions and inputs</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120–488</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Basic inputs, incidence switches, CP revenue, recycling config, exemptions, population/GDP/consumption rebasing inputs, energy price change data, price-change calculations, pass-through assumptions</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 Step 1</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C.I Price changes from policy scenario</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489–736</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GTAP sector price increases, GTAP–CPAT revenue reconciliation, emissions-based adjustment, pass-through, HHD-weighted aggregation to CPAT categories</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1</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C.II Elasticities / behavioral / DWL</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737–883</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Elasticity data, price-change data, elasticity adjustment factors, behavioral/structural change factors, deadweight losses</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2</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C.III Direct budget shares</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884–1183</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Budget share by fuel (11 fuels incl. cooking biomass) × decile/basket × sample × statistic</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3</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C.IV Indirect budget shares</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1184–1575</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Budget share by 14 non-fuel categories</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3</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C.V Direct consumption losses</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1576–1819</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Direct effect by fuel</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4</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C.VI Indirect consumption losses</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1820–2212</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Indirect effect by category</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5</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C.VII Total consumption losses</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2213–2240</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Total effect</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6</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C.VIII Survey-to-NA adjustments</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2241–2394</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Population/consumption rebasing, per-capita/total consumption, quantile shares, unadjusted carbon-tax burden, pre-behavioural tax burden</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7</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C.IX Change in Gini coefficient</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2395–2539</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Baseline/post-CP consumption &amp; shares, cumulative shares, Lorenz area parameters, Gini</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Steps 9–10</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C.X Transfers, investment, spending</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2540–2721</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Revenue recycling distribution logic (ASPIRE-based and fallback)</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8</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C.XI PIT reductions</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2722–2766</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Labor tax / PIT reduction methods (proportional, personal allowance, targeted exemption)</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 8</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 Outputs for charts</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2767–3323</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All chart-ready output packs (D.I–D.VI)</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Steps 11–13, §6.2</w:t>
            </w:r>
          </w:p>
        </w:tc>
      </w:tr>
      <w:tr>
        <w:tc>
          <w:tcPr>
            <w:tcW w:type="dxa" w:w="2218"/>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 Notes</w:t>
            </w:r>
          </w:p>
        </w:tc>
        <w:tc>
          <w:tcPr>
            <w:tcW w:type="dxa" w:w="121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3324–3358</w:t>
            </w:r>
          </w:p>
        </w:tc>
        <w:tc>
          <w:tcPr>
            <w:tcW w:type="dxa" w:w="463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Prose description of the core equations (embedded as equation objects, not extractable as text)</w:t>
            </w:r>
          </w:p>
        </w:tc>
        <w:tc>
          <w:tcPr>
            <w:tcW w:type="dxa" w:w="201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w:t>
            </w:r>
          </w:p>
        </w:tc>
      </w:tr>
      <w:tr>
        <w:tc>
          <w:tcPr>
            <w:tcW w:type="dxa" w:w="2218"/>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 Results for MT</w:t>
            </w:r>
          </w:p>
        </w:tc>
        <w:tc>
          <w:tcPr>
            <w:tcW w:type="dxa" w:w="121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3359–3381</w:t>
            </w:r>
          </w:p>
        </w:tc>
        <w:tc>
          <w:tcPr>
            <w:tcW w:type="dxa" w:w="463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Handoff outputs back to the Mitigation module</w:t>
            </w:r>
          </w:p>
        </w:tc>
        <w:tc>
          <w:tcPr>
            <w:tcW w:type="dxa" w:w="201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§6.3</w:t>
            </w:r>
          </w:p>
        </w:tc>
      </w:tr>
    </w:tbl>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Row numbers are 0-indexed as read via the pyxlsb library against the current workbook (CPAT 1.0pre_456_NoPropData.xlsb); they will drift slightly if the workbook is revised. Treat the section codes (A, B, C.I–C.XI, D.I–D.VI, E, F) as the stable reference and re-derive row numbers from a fresh read of the sheet if needed.</w:t>
      </w:r>
    </w:p>
    <w:p>
      <w:pPr>
        <w:pStyle w:val="Heading1"/>
        <w:pageBreakBefore/>
        <w:pBdr>
          <w:bottom w:val="single" w:color="1F3864" w:sz="8" w:space="4"/>
        </w:pBdr>
        <w:spacing w:after="240" w:before="480"/>
      </w:pPr>
      <w:r>
        <w:rPr>
          <w:b/>
          <w:bCs/>
          <w:color w:val="1F3864"/>
          <w:sz w:val="32"/>
          <w:szCs w:val="32"/>
        </w:rPr>
        <w:t xml:space="preserve">Appendix A — Country Coverage (85 countries)</w:t>
      </w:r>
    </w:p>
    <w:p>
      <w:pPr>
        <w:spacing w:after="160" w:line="276"/>
      </w:pPr>
      <w:r>
        <w:rPr>
          <w:b w:val="false"/>
          <w:bCs w:val="false"/>
          <w:i w:val="false"/>
          <w:iCs w:val="false"/>
          <w:sz w:val="21"/>
          <w:szCs w:val="21"/>
        </w:rPr>
        <w:t xml:space="preserve">Countries currently covered by the Distribution module's underlying data (HHSurvey, ASPIRE, GTAP10 mapping, WHOCooking), as listed in Section A.II of the source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26"/>
        <w:gridCol w:w="3326"/>
        <w:gridCol w:w="3427"/>
      </w:tblGrid>
      <w:tr>
        <w:trPr>
          <w:tblHeader/>
        </w:trPr>
        <w:tc>
          <w:tcPr>
            <w:tcW w:type="dxa" w:w="332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c>
          <w:tcPr>
            <w:tcW w:type="dxa" w:w="3326"/>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c>
          <w:tcPr>
            <w:tcW w:type="dxa" w:w="3427"/>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 Albania</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 Argentina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 Armenia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 Austria</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 Belgium</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 Bangladesh</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 Bulgaria</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 Bosnia and Herzegovina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9. Bolivia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10. Brazil</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11. Botswana</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12. Canada</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13. Chile</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14. China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15. Côte d'Ivoire</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16. Colombia</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17. Cabo Verde</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18. Costa Rica</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19. Cyprus</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20. Czechia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21. Germany</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22. Denmark</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23. Dominican Republic</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24. Ecuador</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25. Egypt</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26. Spain</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27. Estonia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28. Finland</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29. France</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30. United Kingdom</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31. Georgia</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32. Ghana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33. Gambia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34. Greece</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35. Honduras</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36. Croatia</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37. Hungary</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38. Indonesia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39. India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40. Ireland</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41. Italy</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42. Japan</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43. Kazakhstan</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44. Kenya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45. Cambodia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46. Sri Lanka</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47. Lithuania</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48. Luxembourg</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49. Latvia</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50. Morocco</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51. Moldova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52. Madagascar</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53. Mexico</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54. North Macedonia</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55. Mali</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56. Malta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57. Montenegro</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58. Mauritania</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59. Malaysia</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60. Netherlands</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61. Norway</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62. Nepal</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63. Pakistan</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64. Peru</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65. Philippines</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66. Poland</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67. Portugal</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68. Romania</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69. Rwanda</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70. Senegal</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71. Serbia</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72. Slovak Republic</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73. Slovenia</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74. Sweden</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75. Thailand</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76. Turkiye</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77. Tanzania</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78. Uganda</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79. Ukraine</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80. Uruguay</w:t>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81. United States</w:t>
            </w:r>
          </w:p>
        </w:tc>
      </w:tr>
      <w:tr>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82. Uzbekistan</w:t>
            </w:r>
          </w:p>
        </w:tc>
        <w:tc>
          <w:tcPr>
            <w:tcW w:type="dxa" w:w="3326"/>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83. Vietnam</w:t>
            </w:r>
          </w:p>
        </w:tc>
        <w:tc>
          <w:tcPr>
            <w:tcW w:type="dxa" w:w="3427"/>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84. Kosovo</w:t>
            </w:r>
          </w:p>
        </w:tc>
      </w:tr>
      <w:tr>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85. South Africa</w:t>
            </w:r>
          </w:p>
        </w:tc>
        <w:tc>
          <w:tcPr>
            <w:tcW w:type="dxa" w:w="3326"/>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
            </w:r>
          </w:p>
        </w:tc>
        <w:tc>
          <w:tcPr>
            <w:tcW w:type="dxa" w:w="3427"/>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
            </w:r>
          </w:p>
        </w:tc>
      </w:tr>
    </w:tbl>
    <w:p>
      <w:pPr>
        <w:pStyle w:val="Heading1"/>
        <w:pageBreakBefore/>
        <w:pBdr>
          <w:bottom w:val="single" w:color="1F3864" w:sz="8" w:space="4"/>
        </w:pBdr>
        <w:spacing w:after="240" w:before="480"/>
      </w:pPr>
      <w:r>
        <w:rPr>
          <w:b/>
          <w:bCs/>
          <w:color w:val="1F3864"/>
          <w:sz w:val="32"/>
          <w:szCs w:val="32"/>
        </w:rPr>
        <w:t xml:space="preserve">Appendix B — Fuel &amp; Consumption Category Codes</w:t>
      </w:r>
    </w:p>
    <w:p>
      <w:pPr>
        <w:pStyle w:val="Heading2"/>
        <w:spacing w:after="160" w:before="360"/>
      </w:pPr>
      <w:r>
        <w:rPr>
          <w:b/>
          <w:bCs/>
          <w:color w:val="1F3864"/>
          <w:sz w:val="26"/>
          <w:szCs w:val="26"/>
        </w:rPr>
        <w:t xml:space="preserve">B.1 Direct fuels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Code</w:t>
            </w:r>
          </w:p>
        </w:tc>
        <w:tc>
          <w:tcPr>
            <w:tcW w:type="dxa" w:w="756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Fuel</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coa</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Coal</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ely</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Electricity</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nga</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Natural gas</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oil</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Other/non-road oil products</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gso</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Gasoline</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die</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Diesel</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ker</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Kerosene</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lpg</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LPG</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cha</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Charcoal (traditional cooking fuel)</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eth</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Ethanol (traditional cooking fuel)</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fwd</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Firewood (traditional cooking fuel)</w:t>
            </w:r>
          </w:p>
        </w:tc>
      </w:tr>
    </w:tbl>
    <w:p>
      <w:pPr>
        <w:pStyle w:val="Heading2"/>
        <w:spacing w:after="160" w:before="360"/>
      </w:pPr>
      <w:r>
        <w:rPr>
          <w:b/>
          <w:bCs/>
          <w:color w:val="1F3864"/>
          <w:sz w:val="26"/>
          <w:szCs w:val="26"/>
        </w:rPr>
        <w:t xml:space="preserve">B.2 Indirect (non-fuel) consumption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Code</w:t>
            </w:r>
          </w:p>
        </w:tc>
        <w:tc>
          <w:tcPr>
            <w:tcW w:type="dxa" w:w="756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Category</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app</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Appliances</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che</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Chemicals</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clo</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Clothing</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com</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Communications</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edu</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Education</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food</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Food</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hea</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Health services</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hou</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Housing</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oth</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Other</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pap</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Paper</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pha</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Pharmaceuticals</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ret</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Recreation / tourism</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teq</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Transportation equipment</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tpu</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Public transportation</w:t>
            </w:r>
          </w:p>
        </w:tc>
      </w:tr>
    </w:tbl>
    <w:p>
      <w:pPr>
        <w:pStyle w:val="Heading2"/>
        <w:spacing w:after="160" w:before="360"/>
      </w:pPr>
      <w:r>
        <w:rPr>
          <w:b/>
          <w:bCs/>
          <w:color w:val="1F3864"/>
          <w:sz w:val="26"/>
          <w:szCs w:val="26"/>
        </w:rPr>
        <w:t xml:space="preserve">B.3 GTAP sectors referenced in pass-through assumptions (§B.IV)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Code</w:t>
            </w:r>
          </w:p>
        </w:tc>
        <w:tc>
          <w:tcPr>
            <w:tcW w:type="dxa" w:w="756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Sector</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pow</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Electricity production</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ral</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Rail</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rod</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Road</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avi</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Domestic aviation</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nav</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Domestic navigation</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res</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Residential sector</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foo</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Food &amp; forestry</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srv</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Services (public &amp; private)</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mch</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Mining &amp; chemicals</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irn</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Iron and steel</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nfm</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Non-ferrous metals</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mac</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Machinery</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cem</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Cement</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omn</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Other manufacturing</w:t>
            </w:r>
          </w:p>
        </w:tc>
      </w:tr>
      <w:tr>
        <w:tc>
          <w:tcPr>
            <w:tcW w:type="dxa" w:w="252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cst</w:t>
            </w:r>
          </w:p>
        </w:tc>
        <w:tc>
          <w:tcPr>
            <w:tcW w:type="dxa" w:w="7560"/>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Construction</w:t>
            </w:r>
          </w:p>
        </w:tc>
      </w:tr>
      <w:tr>
        <w:tc>
          <w:tcPr>
            <w:tcW w:type="dxa" w:w="252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ftr</w:t>
            </w:r>
          </w:p>
        </w:tc>
        <w:tc>
          <w:tcPr>
            <w:tcW w:type="dxa" w:w="7560"/>
            <w:shd w:fill="F2F2F2" w:val="clear"/>
            <w:tcMar>
              <w:top w:type="dxa" w:w="60"/>
              <w:left w:type="dxa" w:w="100"/>
              <w:bottom w:type="dxa" w:w="60"/>
              <w:right w:type="dxa" w:w="100"/>
            </w:tcMar>
            <w:vAlign w:val="center"/>
          </w:tcPr>
          <w:p>
            <w:r>
              <w:rPr>
                <w:rFonts w:ascii="Calibri" w:cs="Calibri" w:eastAsia="Calibri" w:hAnsi="Calibri"/>
                <w:b w:val="false"/>
                <w:bCs w:val="false"/>
                <w:color w:val="1B1B1B"/>
                <w:sz w:val="19"/>
                <w:szCs w:val="19"/>
              </w:rPr>
              <w:t xml:space="preserve">Fuel transformation &amp; transportation / pipeline transport</w:t>
            </w:r>
          </w:p>
        </w:tc>
      </w:tr>
    </w:tbl>
    <w:p>
      <w:pPr>
        <w:pBdr>
          <w:top w:val="single" w:color="E8A33D" w:sz="4" w:space="4"/>
          <w:bottom w:val="single" w:color="E8A33D" w:sz="4" w:space="4"/>
          <w:left w:val="single" w:color="E8A33D" w:sz="16" w:space="8"/>
          <w:right w:val="single" w:color="E8A33D" w:sz="4" w:space="4"/>
        </w:pBdr>
        <w:shd w:fill="FFF4DE" w:val="clear"/>
        <w:spacing w:after="200" w:before="80"/>
      </w:pPr>
      <w:r>
        <w:rPr>
          <w:b/>
          <w:bCs/>
          <w:sz w:val="20"/>
          <w:szCs w:val="20"/>
        </w:rPr>
        <w:t xml:space="preserve">Note: </w:t>
      </w:r>
      <w:r>
        <w:rPr>
          <w:sz w:val="20"/>
          <w:szCs w:val="20"/>
        </w:rPr>
        <w:t xml:space="preserve">This is a representative subset shown in the pass-through assumptions block; the full GTAP10 sector list (~59 sectors) is carried in the IO_GTAP data table and the Mapping_SectorCrosswalk / Mapping_CPATSectorsToISIC / Mapping_ISICToCPAT tables, not reproduced in full here.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r>
      <w:rPr>
        <w:color w:val="AA5B00"/>
        <w:sz w:val="16"/>
        <w:szCs w:val="16"/>
      </w:rPr>
      <w:t xml:space="preserve">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color w:val="777777"/>
        <w:sz w:val="16"/>
        <w:szCs w:val="16"/>
      </w:rPr>
      <w:t xml:space="preserve">CPAT Distribution Module — Pseudocode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rPr>
  </w:style>
  <w:style w:type="paragraph" w:styleId="Heading2">
    <w:name w:val="Heading 2"/>
    <w:basedOn w:val="Normal"/>
    <w:next w:val="Normal"/>
    <w:qFormat/>
    <w:pPr>
      <w:spacing w:after="160" w:before="360"/>
    </w:pPr>
    <w:rPr>
      <w:rFonts w:ascii="Calibri" w:cs="Calibri" w:eastAsia="Calibri" w:hAnsi="Calibri"/>
    </w:rPr>
  </w:style>
  <w:style w:type="paragraph" w:styleId="Heading3">
    <w:name w:val="Heading 3"/>
    <w:basedOn w:val="Normal"/>
    <w:next w:val="Normal"/>
    <w:qFormat/>
    <w:pPr>
      <w:spacing w:after="120" w:before="240"/>
    </w:pPr>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 Distribution Module — Pseudocode Specification</dc:title>
  <dc:creator>CPAT Distribution Module Working Group</dc:creator>
  <dc:description>Inputs, algorithm and outputs pseudocode for the CPAT Distribution module, ahead of Python and Excel implementation.</dc:description>
  <cp:lastModifiedBy>Un-named</cp:lastModifiedBy>
  <cp:revision>1</cp:revision>
  <dcterms:created xsi:type="dcterms:W3CDTF">2026-09-21T22:38:03.471Z</dcterms:created>
  <dcterms:modified xsi:type="dcterms:W3CDTF">2026-09-21T22:38:03.471Z</dcterms:modified>
</cp:coreProperties>
</file>

<file path=docProps/custom.xml><?xml version="1.0" encoding="utf-8"?>
<Properties xmlns="http://schemas.openxmlformats.org/officeDocument/2006/custom-properties" xmlns:vt="http://schemas.openxmlformats.org/officeDocument/2006/docPropsVTypes"/>
</file>