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CPAT-AI-Mitigation-MVP</w:t>
      </w:r>
      <w:r>
        <w:t xml:space="preserve"> </w:t>
      </w:r>
      <w:r>
        <w:t xml:space="preserve">v1.07:</w:t>
      </w:r>
      <w:r>
        <w:t xml:space="preserve"> </w:t>
      </w:r>
      <w:r>
        <w:t xml:space="preserve">documentation</w:t>
      </w:r>
    </w:p>
    <w:p>
      <w:pPr>
        <w:pStyle w:val="Subtitle"/>
      </w:pPr>
      <w:r>
        <w:t xml:space="preserve">AI-generated,</w:t>
      </w:r>
      <w:r>
        <w:t xml:space="preserve"> </w:t>
      </w:r>
      <w:r>
        <w:t xml:space="preserve">copy-pasteable</w:t>
      </w:r>
      <w:r>
        <w:t xml:space="preserve"> </w:t>
      </w:r>
      <w:r>
        <w:t xml:space="preserve">replacement</w:t>
      </w:r>
      <w:r>
        <w:t xml:space="preserve"> </w:t>
      </w:r>
      <w:r>
        <w:t xml:space="preserve">of</w:t>
      </w:r>
      <w:r>
        <w:t xml:space="preserve"> </w:t>
      </w:r>
      <w:r>
        <w:t xml:space="preserve">the</w:t>
      </w:r>
      <w:r>
        <w:t xml:space="preserve"> </w:t>
      </w:r>
      <w:r>
        <w:t xml:space="preserve">CPAT</w:t>
      </w:r>
      <w:r>
        <w:t xml:space="preserve"> </w:t>
      </w:r>
      <w:r>
        <w:t xml:space="preserve">mitigation</w:t>
      </w:r>
      <w:r>
        <w:t xml:space="preserve"> </w:t>
      </w:r>
      <w:r>
        <w:t xml:space="preserve">module</w:t>
      </w:r>
      <w:r>
        <w:t xml:space="preserve"> </w:t>
      </w:r>
      <w:r>
        <w:t xml:space="preserve">(Egypt</w:t>
      </w:r>
      <w:r>
        <w:t xml:space="preserve"> </w:t>
      </w:r>
      <w:r>
        <w:t xml:space="preserve">data)</w:t>
      </w:r>
    </w:p>
    <w:p>
      <w:pPr>
        <w:pStyle w:val="Date"/>
      </w:pPr>
      <w:r>
        <w:t xml:space="preserve">2026-10-09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out-this-document"/>
    <w:p>
      <w:pPr>
        <w:pStyle w:val="Heading1"/>
      </w:pPr>
      <w:r>
        <w:t xml:space="preserve">About this document</w:t>
      </w:r>
    </w:p>
    <w:p>
      <w:pPr>
        <w:pStyle w:val="FirstParagraph"/>
      </w:pPr>
      <w:r>
        <w:t xml:space="preserve">Workbook:</w:t>
      </w:r>
      <w:r>
        <w:t xml:space="preserve"> </w:t>
      </w:r>
      <w:r>
        <w:rPr>
          <w:rStyle w:val="VerbatimChar"/>
        </w:rPr>
        <w:t xml:space="preserve">CPAT-AI-Mitigation-MVP-v1.07.xlsm</w:t>
      </w:r>
      <w:r>
        <w:t xml:space="preserve"> </w:t>
      </w:r>
      <w:r>
        <w:t xml:space="preserve">(macro-enabled) (built by</w:t>
      </w:r>
      <w:r>
        <w:t xml:space="preserve"> </w:t>
      </w:r>
      <w:r>
        <w:rPr>
          <w:rStyle w:val="VerbatimChar"/>
        </w:rPr>
        <w:t xml:space="preserve">build_v1_07.py</w:t>
      </w:r>
      <w:r>
        <w:t xml:space="preserve">, checked by</w:t>
      </w:r>
      <w:r>
        <w:t xml:space="preserve"> </w:t>
      </w:r>
      <w:r>
        <w:rPr>
          <w:rStyle w:val="VerbatimChar"/>
        </w:rPr>
        <w:t xml:space="preserve">check_v1_07.py</w:t>
      </w:r>
      <w:r>
        <w:t xml:space="preserve">, report</w:t>
      </w:r>
      <w:r>
        <w:t xml:space="preserve"> </w:t>
      </w:r>
      <w:r>
        <w:rPr>
          <w:rStyle w:val="VerbatimChar"/>
        </w:rPr>
        <w:t xml:space="preserve">check_report_v1.07.md</w:t>
      </w:r>
      <w:r>
        <w:t xml:space="preserve">: PASS). This document collects the model overview, the method notes, and appendices on the differences with legacy CPAT (sheet</w:t>
      </w:r>
      <w:r>
        <w:t xml:space="preserve"> </w:t>
      </w:r>
      <w:r>
        <w:rPr>
          <w:rStyle w:val="VerbatimChar"/>
        </w:rPr>
        <w:t xml:space="preserve">LegacyDiff</w:t>
      </w:r>
      <w:r>
        <w:t xml:space="preserve">), the version log (sheet</w:t>
      </w:r>
      <w:r>
        <w:t xml:space="preserve"> </w:t>
      </w:r>
      <w:r>
        <w:rPr>
          <w:rStyle w:val="VerbatimChar"/>
        </w:rPr>
        <w:t xml:space="preserve">Settings</w:t>
      </w:r>
      <w:r>
        <w:t xml:space="preserve">), the verification and the presentations. Caveats per task are in</w:t>
      </w:r>
      <w:r>
        <w:t xml:space="preserve"> </w:t>
      </w:r>
      <w:r>
        <w:rPr>
          <w:rStyle w:val="VerbatimChar"/>
        </w:rPr>
        <w:t xml:space="preserve">CAVEATS.md</w:t>
      </w:r>
      <w:r>
        <w:t xml:space="preserve"> </w:t>
      </w:r>
      <w:r>
        <w:t xml:space="preserve">at the repository root.</w:t>
      </w:r>
    </w:p>
    <w:bookmarkEnd w:id="20"/>
    <w:bookmarkStart w:id="25" w:name="model-overview-layout-and-files"/>
    <w:p>
      <w:pPr>
        <w:pStyle w:val="Heading1"/>
      </w:pPr>
      <w:r>
        <w:t xml:space="preserve">Model overview, layout and files</w:t>
      </w:r>
    </w:p>
    <w:p>
      <w:pPr>
        <w:pStyle w:val="FirstParagraph"/>
      </w:pPr>
      <w:r>
        <w:rPr>
          <w:iCs/>
          <w:i/>
        </w:rPr>
        <w:t xml:space="preserve">Source:</w:t>
      </w:r>
      <w:r>
        <w:rPr>
          <w:iCs/>
          <w:i/>
        </w:rPr>
        <w:t xml:space="preserve"> </w:t>
      </w:r>
      <w:r>
        <w:rPr>
          <w:rStyle w:val="VerbatimChar"/>
          <w:iCs/>
          <w:i/>
        </w:rPr>
        <w:t xml:space="preserve">README.md</w:t>
      </w:r>
      <w:r>
        <w:rPr>
          <w:iCs/>
          <w:i/>
        </w:rPr>
        <w:t xml:space="preserve">.</w:t>
      </w:r>
    </w:p>
    <w:p>
      <w:pPr>
        <w:pStyle w:val="BodyText"/>
      </w:pPr>
      <w:r>
        <w:t xml:space="preserve">Replacement for the CPAT mitigation module whose formulas are</w:t>
      </w:r>
      <w:r>
        <w:t xml:space="preserve"> </w:t>
      </w:r>
      <w:r>
        <w:rPr>
          <w:bCs/>
          <w:b/>
        </w:rPr>
        <w:t xml:space="preserve">fully copy-pasteable</w:t>
      </w:r>
      <w:r>
        <w:t xml:space="preserve">: one formula per block, valid across (years) and down (subsectors x fuels), and a whole scenario group can be copied to a new scenario. Goal: auditable equations that a model builder can extend by dragging.</w:t>
      </w:r>
    </w:p>
    <w:p>
      <w:pPr>
        <w:pStyle w:val="BodyText"/>
      </w:pPr>
      <w:r>
        <w:t xml:space="preserve">Current version:</w:t>
      </w:r>
      <w:r>
        <w:t xml:space="preserve"> </w:t>
      </w:r>
      <w:r>
        <w:rPr>
          <w:rStyle w:val="VerbatimChar"/>
        </w:rPr>
        <w:t xml:space="preserve">CPAT-AI-Mitigation-MVP-v1.07.xlsm</w:t>
      </w:r>
      <w:r>
        <w:t xml:space="preserve"> </w:t>
      </w:r>
      <w:r>
        <w:t xml:space="preserve">(macro-enabled; every cell formula at most 100 characters, planned retirement by generation type, electricity demand memo lines, power indicators and charts (v1.07); power engineer model with demand, dispatch, retirement and investment, power CO2 in section 13, ten legacy bugs fixed (v1.06,</w:t>
      </w:r>
      <w:r>
        <w:t xml:space="preserve"> </w:t>
      </w:r>
      <w:r>
        <w:rPr>
          <w:rStyle w:val="VerbatimChar"/>
        </w:rPr>
        <w:t xml:space="preserve">PowerModel_Method_v0_2.md</w:t>
      </w:r>
      <w:r>
        <w:t xml:space="preserve">, report</w:t>
      </w:r>
      <w:r>
        <w:t xml:space="preserve"> </w:t>
      </w:r>
      <w:r>
        <w:rPr>
          <w:rStyle w:val="VerbatimChar"/>
        </w:rPr>
        <w:t xml:space="preserve">PowerModel_BugsAndImprovements_v1_0.docx</w:t>
      </w:r>
      <w:r>
        <w:t xml:space="preserve">); power generation costs and electricity prices in section 3 (v1.05,</w:t>
      </w:r>
      <w:r>
        <w:t xml:space="preserve"> </w:t>
      </w:r>
      <w:r>
        <w:rPr>
          <w:rStyle w:val="VerbatimChar"/>
        </w:rPr>
        <w:t xml:space="preserve">PowerPrices_Method_v0_1.md</w:t>
      </w:r>
      <w:r>
        <w:t xml:space="preserve">); first-run test macro CheckBatchRun with sheet MacroCheck (v1.04); renamed from CPAT_Mitigation_CopyPaste at v1.00; multiple scenarios through scenario definitions, a VBA batch run, StoredResults and ScenarioCompare (v1.03,</w:t>
      </w:r>
      <w:r>
        <w:t xml:space="preserve"> </w:t>
      </w:r>
      <w:r>
        <w:rPr>
          <w:rStyle w:val="VerbatimChar"/>
        </w:rPr>
        <w:t xml:space="preserve">Scenarios_Method_v0_1.md</w:t>
      </w:r>
      <w:r>
        <w:t xml:space="preserve">); policies incl. a cap-based new ETS with benchmarks (v1.02,</w:t>
      </w:r>
      <w:r>
        <w:t xml:space="preserve"> </w:t>
      </w:r>
      <w:r>
        <w:rPr>
          <w:rStyle w:val="VerbatimChar"/>
        </w:rPr>
        <w:t xml:space="preserve">ETS_Method_v0_1.md</w:t>
      </w:r>
      <w:r>
        <w:t xml:space="preserve">) and feebates with sectoral shadow prices, domestic prices with existing taxes and subsidies, price -&gt; fuel use, revenues, CO2 emissions, 2022-2040). Earlier versions in</w:t>
      </w:r>
      <w:r>
        <w:t xml:space="preserve"> </w:t>
      </w:r>
      <w:r>
        <w:rPr>
          <w:rStyle w:val="VerbatimChar"/>
        </w:rPr>
        <w:t xml:space="preserve">Old/</w:t>
      </w:r>
      <w:r>
        <w:t xml:space="preserve">. Price method and the explicit real/nominal assumptions:</w:t>
      </w:r>
      <w:r>
        <w:t xml:space="preserve"> </w:t>
      </w:r>
      <w:r>
        <w:rPr>
          <w:rStyle w:val="VerbatimChar"/>
        </w:rPr>
        <w:t xml:space="preserve">PriceProjection_Method_v0.4.md</w:t>
      </w:r>
      <w:r>
        <w:t xml:space="preserve">. Differences with legacy CPAT: workbook sheet</w:t>
      </w:r>
      <w:r>
        <w:t xml:space="preserve"> </w:t>
      </w:r>
      <w:r>
        <w:rPr>
          <w:rStyle w:val="VerbatimChar"/>
        </w:rPr>
        <w:t xml:space="preserve">LegacyDiff</w:t>
      </w:r>
      <w:r>
        <w:t xml:space="preserve">. Data changed by assumption (other oil products, VAT rate) is bright yellow with red text in</w:t>
      </w:r>
      <w:r>
        <w:t xml:space="preserve"> </w:t>
      </w:r>
      <w:r>
        <w:rPr>
          <w:rStyle w:val="VerbatimChar"/>
        </w:rPr>
        <w:t xml:space="preserve">Inputs_prices</w:t>
      </w:r>
      <w:r>
        <w:t xml:space="preserve">.</w:t>
      </w:r>
    </w:p>
    <w:bookmarkStart w:id="21" w:name="design-agreed"/>
    <w:p>
      <w:pPr>
        <w:pStyle w:val="Heading3"/>
      </w:pPr>
      <w:r>
        <w:t xml:space="preserve">Design (agreed)</w:t>
      </w:r>
    </w:p>
    <w:p>
      <w:pPr>
        <w:pStyle w:val="FirstParagraph"/>
      </w:pPr>
      <w:r>
        <w:t xml:space="preserve">Layout follows the legacy CPAT Mitigation sheet: numbered sections</w:t>
      </w:r>
      <w:r>
        <w:t xml:space="preserve"> </w:t>
      </w:r>
      <w:r>
        <w:rPr>
          <w:bCs/>
          <w:b/>
        </w:rPr>
        <w:t xml:space="preserve">1. Policies</w:t>
      </w:r>
      <w:r>
        <w:t xml:space="preserve">,</w:t>
      </w:r>
      <w:r>
        <w:t xml:space="preserve"> </w:t>
      </w:r>
      <w:r>
        <w:rPr>
          <w:bCs/>
          <w:b/>
        </w:rPr>
        <w:t xml:space="preserve">2. Retail energy prices</w:t>
      </w:r>
      <w:r>
        <w:t xml:space="preserve">,</w:t>
      </w:r>
      <w:r>
        <w:t xml:space="preserve"> </w:t>
      </w:r>
      <w:r>
        <w:rPr>
          <w:bCs/>
          <w:b/>
        </w:rPr>
        <w:t xml:space="preserve">3. Power sector</w:t>
      </w:r>
      <w:r>
        <w:t xml:space="preserve"> </w:t>
      </w:r>
      <w:r>
        <w:t xml:space="preserve">(engineer model, generation costs and electricity prices, v1.05-v1.07),</w:t>
      </w:r>
      <w:r>
        <w:t xml:space="preserve"> </w:t>
      </w:r>
      <w:r>
        <w:rPr>
          <w:bCs/>
          <w:b/>
        </w:rPr>
        <w:t xml:space="preserve">5. Transport</w:t>
      </w:r>
      <w:r>
        <w:t xml:space="preserve">,</w:t>
      </w:r>
      <w:r>
        <w:t xml:space="preserve"> </w:t>
      </w:r>
      <w:r>
        <w:rPr>
          <w:bCs/>
          <w:b/>
        </w:rPr>
        <w:t xml:space="preserve">6. Buildings</w:t>
      </w:r>
      <w:r>
        <w:t xml:space="preserve">,</w:t>
      </w:r>
      <w:r>
        <w:t xml:space="preserve"> </w:t>
      </w:r>
      <w:r>
        <w:rPr>
          <w:bCs/>
          <w:b/>
        </w:rPr>
        <w:t xml:space="preserve">7. Industrial</w:t>
      </w:r>
      <w:r>
        <w:t xml:space="preserve">,</w:t>
      </w:r>
      <w:r>
        <w:t xml:space="preserve"> </w:t>
      </w:r>
      <w:r>
        <w:rPr>
          <w:bCs/>
          <w:b/>
        </w:rPr>
        <w:t xml:space="preserve">8. Other energy use</w:t>
      </w:r>
      <w:r>
        <w:t xml:space="preserve">,</w:t>
      </w:r>
      <w:r>
        <w:t xml:space="preserve"> </w:t>
      </w:r>
      <w:r>
        <w:rPr>
          <w:bCs/>
          <w:b/>
        </w:rPr>
        <w:t xml:space="preserve">11. Results - energy consumption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Axis</w:t>
            </w:r>
          </w:p>
        </w:tc>
        <w:tc>
          <w:tcPr/>
          <w:p>
            <w:pPr>
              <w:pStyle w:val="Compact"/>
              <w:jc w:val="left"/>
            </w:pPr>
            <w:r>
              <w:t xml:space="preserve">Nest</w:t>
            </w:r>
          </w:p>
        </w:tc>
      </w:tr>
      <w:tr>
        <w:tc>
          <w:tcPr/>
          <w:p>
            <w:pPr>
              <w:pStyle w:val="Compact"/>
              <w:jc w:val="left"/>
            </w:pPr>
            <w:r>
              <w:t xml:space="preserve">Scenario</w:t>
            </w:r>
          </w:p>
        </w:tc>
        <w:tc>
          <w:tcPr/>
          <w:p>
            <w:pPr>
              <w:pStyle w:val="Compact"/>
              <w:jc w:val="left"/>
            </w:pPr>
            <w:r>
              <w:t xml:space="preserve">columns</w:t>
            </w:r>
          </w:p>
        </w:tc>
        <w:tc>
          <w:tcPr/>
          <w:p>
            <w:pPr>
              <w:pStyle w:val="Compact"/>
              <w:jc w:val="left"/>
            </w:pPr>
            <w:r>
              <w:t xml:space="preserve">outer: one group per scenario (output-code column, base year 2022 - column L for scenario 1 as in legacy - and 2023-2040, then a blank spacer column)</w:t>
            </w:r>
          </w:p>
        </w:tc>
      </w:tr>
      <w:tr>
        <w:tc>
          <w:tcPr/>
          <w:p>
            <w:pPr>
              <w:pStyle w:val="Compact"/>
              <w:jc w:val="left"/>
            </w:pPr>
            <w:r>
              <w:t xml:space="preserve">Year</w:t>
            </w:r>
          </w:p>
        </w:tc>
        <w:tc>
          <w:tcPr/>
          <w:p>
            <w:pPr>
              <w:pStyle w:val="Compact"/>
              <w:jc w:val="left"/>
            </w:pPr>
            <w:r>
              <w:t xml:space="preserve">columns</w:t>
            </w:r>
          </w:p>
        </w:tc>
        <w:tc>
          <w:tcPr/>
          <w:p>
            <w:pPr>
              <w:pStyle w:val="Compact"/>
              <w:jc w:val="left"/>
            </w:pPr>
            <w:r>
              <w:t xml:space="preserve">inner</w:t>
            </w:r>
          </w:p>
        </w:tc>
      </w:tr>
      <w:tr>
        <w:tc>
          <w:tcPr/>
          <w:p>
            <w:pPr>
              <w:pStyle w:val="Compact"/>
              <w:jc w:val="left"/>
            </w:pPr>
            <w:r>
              <w:t xml:space="preserve">Sector section</w:t>
            </w:r>
          </w:p>
        </w:tc>
        <w:tc>
          <w:tcPr/>
          <w:p>
            <w:pPr>
              <w:pStyle w:val="Compact"/>
              <w:jc w:val="left"/>
            </w:pPr>
            <w:r>
              <w:t xml:space="preserve">rows</w:t>
            </w:r>
          </w:p>
        </w:tc>
        <w:tc>
          <w:tcPr/>
          <w:p>
            <w:pPr>
              <w:pStyle w:val="Compact"/>
              <w:jc w:val="left"/>
            </w:pPr>
            <w:r>
              <w:t xml:space="preserve">outer (sections 5-8), each with a total fuel-use line</w:t>
            </w:r>
          </w:p>
        </w:tc>
      </w:tr>
      <w:tr>
        <w:tc>
          <w:tcPr/>
          <w:p>
            <w:pPr>
              <w:pStyle w:val="Compact"/>
              <w:jc w:val="left"/>
            </w:pPr>
            <w:r>
              <w:t xml:space="preserve">Subsector</w:t>
            </w:r>
          </w:p>
        </w:tc>
        <w:tc>
          <w:tcPr/>
          <w:p>
            <w:pPr>
              <w:pStyle w:val="Compact"/>
              <w:jc w:val="left"/>
            </w:pPr>
            <w:r>
              <w:t xml:space="preserve">rows</w:t>
            </w:r>
          </w:p>
        </w:tc>
        <w:tc>
          <w:tcPr/>
          <w:p>
            <w:pPr>
              <w:pStyle w:val="Compact"/>
              <w:jc w:val="left"/>
            </w:pPr>
            <w:r>
              <w:t xml:space="preserve">heading line (its total fuel use), the 16 CPAT energy-use subsectors</w:t>
            </w:r>
          </w:p>
        </w:tc>
      </w:tr>
      <w:tr>
        <w:tc>
          <w:tcPr/>
          <w:p>
            <w:pPr>
              <w:pStyle w:val="Compact"/>
              <w:jc w:val="left"/>
            </w:pPr>
            <w:r>
              <w:t xml:space="preserve">Variable</w:t>
            </w:r>
          </w:p>
        </w:tc>
        <w:tc>
          <w:tcPr/>
          <w:p>
            <w:pPr>
              <w:pStyle w:val="Compact"/>
              <w:jc w:val="left"/>
            </w:pPr>
            <w:r>
              <w:t xml:space="preserve">rows</w:t>
            </w:r>
          </w:p>
        </w:tc>
        <w:tc>
          <w:tcPr/>
          <w:p>
            <w:pPr>
              <w:pStyle w:val="Compact"/>
              <w:jc w:val="left"/>
            </w:pPr>
            <w:r>
              <w:rPr>
                <w:rStyle w:val="VerbatimChar"/>
              </w:rPr>
              <w:t xml:space="preserve">ctxnew</w:t>
            </w:r>
            <w:r>
              <w:t xml:space="preserve"> </w:t>
            </w:r>
            <w:r>
              <w:t xml:space="preserve">new carbon tax,</w:t>
            </w:r>
            <w:r>
              <w:t xml:space="preserve"> </w:t>
            </w:r>
            <w:r>
              <w:rPr>
                <w:rStyle w:val="VerbatimChar"/>
              </w:rPr>
              <w:t xml:space="preserve">ets</w:t>
            </w:r>
            <w:r>
              <w:t xml:space="preserve"> </w:t>
            </w:r>
            <w:r>
              <w:t xml:space="preserve">new ETS (tax-equivalent, auctioned part),</w:t>
            </w:r>
            <w:r>
              <w:t xml:space="preserve"> </w:t>
            </w:r>
            <w:r>
              <w:rPr>
                <w:rStyle w:val="VerbatimChar"/>
              </w:rPr>
              <w:t xml:space="preserve">ntx</w:t>
            </w:r>
            <w:r>
              <w:t xml:space="preserve"> </w:t>
            </w:r>
            <w:r>
              <w:t xml:space="preserve">new excise (fuel price reform),</w:t>
            </w:r>
            <w:r>
              <w:t xml:space="preserve"> </w:t>
            </w:r>
            <w:r>
              <w:rPr>
                <w:rStyle w:val="VerbatimChar"/>
              </w:rPr>
              <w:t xml:space="preserve">nce</w:t>
            </w:r>
            <w:r>
              <w:t xml:space="preserve"> </w:t>
            </w:r>
            <w:r>
              <w:t xml:space="preserve">total new policy,</w:t>
            </w:r>
            <w:r>
              <w:t xml:space="preserve"> </w:t>
            </w:r>
            <w:r>
              <w:rPr>
                <w:rStyle w:val="VerbatimChar"/>
              </w:rPr>
              <w:t xml:space="preserve">atp</w:t>
            </w:r>
            <w:r>
              <w:t xml:space="preserve"> </w:t>
            </w:r>
            <w:r>
              <w:t xml:space="preserve">after-tax price,</w:t>
            </w:r>
            <w:r>
              <w:t xml:space="preserve"> </w:t>
            </w:r>
            <w:r>
              <w:rPr>
                <w:rStyle w:val="VerbatimChar"/>
              </w:rPr>
              <w:t xml:space="preserve">shp</w:t>
            </w:r>
            <w:r>
              <w:t xml:space="preserve"> </w:t>
            </w:r>
            <w:r>
              <w:t xml:space="preserve">shadow price on the efficiency margin,</w:t>
            </w:r>
            <w:r>
              <w:t xml:space="preserve"> </w:t>
            </w:r>
            <w:r>
              <w:rPr>
                <w:rStyle w:val="VerbatimChar"/>
              </w:rPr>
              <w:t xml:space="preserve">ener</w:t>
            </w:r>
            <w:r>
              <w:t xml:space="preserve"> </w:t>
            </w:r>
            <w:r>
              <w:t xml:space="preserve">fuel use</w:t>
            </w:r>
          </w:p>
        </w:tc>
      </w:tr>
      <w:tr>
        <w:tc>
          <w:tcPr/>
          <w:p>
            <w:pPr>
              <w:pStyle w:val="Compact"/>
              <w:jc w:val="left"/>
            </w:pPr>
            <w:r>
              <w:t xml:space="preserve">Fuel</w:t>
            </w:r>
          </w:p>
        </w:tc>
        <w:tc>
          <w:tcPr/>
          <w:p>
            <w:pPr>
              <w:pStyle w:val="Compact"/>
              <w:jc w:val="left"/>
            </w:pPr>
            <w:r>
              <w:t xml:space="preserve">rows</w:t>
            </w:r>
          </w:p>
        </w:tc>
        <w:tc>
          <w:tcPr/>
          <w:p>
            <w:pPr>
              <w:pStyle w:val="Compact"/>
              <w:jc w:val="left"/>
            </w:pPr>
            <w:r>
              <w:t xml:space="preserve">inner: coa nga gso die lpg ker oop bio</w:t>
            </w:r>
          </w:p>
        </w:tc>
      </w:tr>
    </w:tbl>
    <w:p>
      <w:pPr>
        <w:numPr>
          <w:ilvl w:val="0"/>
          <w:numId w:val="1001"/>
        </w:numPr>
        <w:pStyle w:val="Compact"/>
      </w:pPr>
      <w:r>
        <w:rPr>
          <w:bCs/>
          <w:b/>
        </w:rPr>
        <w:t xml:space="preserve">Section 1 (policies)</w:t>
      </w:r>
      <w:r>
        <w:t xml:space="preserve"> </w:t>
      </w:r>
      <w:r>
        <w:t xml:space="preserve">reads the scenario inputs from</w:t>
      </w:r>
      <w:r>
        <w:t xml:space="preserve"> </w:t>
      </w:r>
      <w:r>
        <w:rPr>
          <w:rStyle w:val="VerbatimChar"/>
        </w:rPr>
        <w:t xml:space="preserve">MTInputs</w:t>
      </w:r>
      <w:r>
        <w:t xml:space="preserve"> </w:t>
      </w:r>
      <w:r>
        <w:t xml:space="preserve">(one</w:t>
      </w:r>
      <w:r>
        <w:t xml:space="preserve"> </w:t>
      </w:r>
      <w:r>
        <w:rPr>
          <w:iCs/>
          <w:i/>
        </w:rPr>
        <w:t xml:space="preserve">Used for calculation</w:t>
      </w:r>
      <w:r>
        <w:t xml:space="preserve"> </w:t>
      </w:r>
      <w:r>
        <w:t xml:space="preserve">column per scenario from column J; rows A:H = legacy template) by MTInputs row (hidden column D) and scenario number (row 5): carbon tax (</w:t>
      </w:r>
      <w:r>
        <w:rPr>
          <w:rStyle w:val="VerbatimChar"/>
        </w:rPr>
        <w:t xml:space="preserve">CPIntro</w:t>
      </w:r>
      <w:r>
        <w:t xml:space="preserve">..</w:t>
      </w:r>
      <w:r>
        <w:rPr>
          <w:rStyle w:val="VerbatimChar"/>
        </w:rPr>
        <w:t xml:space="preserve">CPOutro</w:t>
      </w:r>
      <w:r>
        <w:t xml:space="preserve">,</w:t>
      </w:r>
      <w:r>
        <w:t xml:space="preserve"> </w:t>
      </w:r>
      <w:r>
        <w:rPr>
          <w:rStyle w:val="VerbatimChar"/>
        </w:rPr>
        <w:t xml:space="preserve">ExtendCarbonPriceBeyondOutro</w:t>
      </w:r>
      <w:r>
        <w:t xml:space="preserve">), carbon-tax coverage by fuel and sector (</w:t>
      </w:r>
      <w:r>
        <w:rPr>
          <w:rStyle w:val="VerbatimChar"/>
        </w:rPr>
        <w:t xml:space="preserve">MCov*</w:t>
      </w:r>
      <w:r>
        <w:t xml:space="preserve">), fuel price reform (rows 140-169), feebates (rows 53-64, coverage 66-82). It computes the carbon price (legacy rule), the fuel price reform paths (14 price fuels) and the feebate rate paths (power, transport, residential, industry). One default for all paths: 0 before the start year, linear to the target, continuing linearly afterwards (the carbon price keeps its MTInputs switch). Shadow prices: by sector ($/tCO2, legacy rows 2345-2349) = feebate path (later + non-auctioned ETS, regulations); share impacting efficiency by subsector (</w:t>
      </w:r>
      <w:r>
        <w:rPr>
          <w:rStyle w:val="VerbatimChar"/>
        </w:rPr>
        <w:t xml:space="preserve">ssc</w:t>
      </w:r>
      <w:r>
        <w:t xml:space="preserve">, legacy rows 2403-2419) = feebate coverage x adjustment (1.0 for feebates).</w:t>
      </w:r>
    </w:p>
    <w:p>
      <w:pPr>
        <w:numPr>
          <w:ilvl w:val="0"/>
          <w:numId w:val="1001"/>
        </w:numPr>
        <w:pStyle w:val="Compact"/>
      </w:pPr>
      <w:r>
        <w:rPr>
          <w:bCs/>
          <w:b/>
        </w:rPr>
        <w:t xml:space="preserve">Real terms (v0.9):</w:t>
      </w:r>
      <w:r>
        <w:t xml:space="preserve"> </w:t>
      </w:r>
      <w:r>
        <w:t xml:space="preserve">everything is in real USD of</w:t>
      </w:r>
      <w:r>
        <w:t xml:space="preserve"> </w:t>
      </w:r>
      <w:r>
        <w:rPr>
          <w:rStyle w:val="VerbatimChar"/>
        </w:rPr>
        <w:t xml:space="preserve">ResultsYear</w:t>
      </w:r>
      <w:r>
        <w:t xml:space="preserve"> </w:t>
      </w:r>
      <w:r>
        <w:t xml:space="preserve">(2026) per GJ. Row</w:t>
      </w:r>
      <w:r>
        <w:t xml:space="preserve"> </w:t>
      </w:r>
      <w:r>
        <w:rPr>
          <w:rStyle w:val="VerbatimChar"/>
        </w:rPr>
        <w:t xml:space="preserve">infl</w:t>
      </w:r>
      <w:r>
        <w:t xml:space="preserve"> </w:t>
      </w:r>
      <w:r>
        <w:t xml:space="preserve">(US CPI index) converts nominal domestic data and nominal policy inputs; row</w:t>
      </w:r>
      <w:r>
        <w:t xml:space="preserve"> </w:t>
      </w:r>
      <w:r>
        <w:rPr>
          <w:rStyle w:val="VerbatimChar"/>
        </w:rPr>
        <w:t xml:space="preserve">defl</w:t>
      </w:r>
      <w:r>
        <w:t xml:space="preserve"> </w:t>
      </w:r>
      <w:r>
        <w:t xml:space="preserve">(US GDP deflator index) converts international prices. The two differ by up to 1.2% before 2030, so both are kept. MTInputs policy values are real, except a carbon price marked</w:t>
      </w:r>
      <w:r>
        <w:t xml:space="preserve"> </w:t>
      </w:r>
      <w:r>
        <w:rPr>
          <w:rStyle w:val="VerbatimChar"/>
        </w:rPr>
        <w:t xml:space="preserve">NomorReal</w:t>
      </w:r>
      <w:r>
        <w:t xml:space="preserve"> </w:t>
      </w:r>
      <w:r>
        <w:t xml:space="preserve">= Nominal. Values after 2030 are not a legacy target.</w:t>
      </w:r>
    </w:p>
    <w:p>
      <w:pPr>
        <w:numPr>
          <w:ilvl w:val="0"/>
          <w:numId w:val="1001"/>
        </w:numPr>
        <w:pStyle w:val="Compact"/>
      </w:pPr>
      <w:r>
        <w:rPr>
          <w:bCs/>
          <w:b/>
        </w:rPr>
        <w:t xml:space="preserve">Section 2 (prices, by 12 price fuels):</w:t>
      </w:r>
      <w:r>
        <w:t xml:space="preserve"> </w:t>
      </w:r>
      <w:r>
        <w:rPr>
          <w:rStyle w:val="VerbatimChar"/>
        </w:rPr>
        <w:t xml:space="preserve">gp</w:t>
      </w:r>
      <w:r>
        <w:t xml:space="preserve"> </w:t>
      </w:r>
      <w:r>
        <w:t xml:space="preserve">international prices (MTInputs source and High/Low adjustment; country gas market);</w:t>
      </w:r>
      <w:r>
        <w:t xml:space="preserve"> </w:t>
      </w:r>
      <w:r>
        <w:rPr>
          <w:rStyle w:val="VerbatimChar"/>
        </w:rPr>
        <w:t xml:space="preserve">sp</w:t>
      </w:r>
      <w:r>
        <w:t xml:space="preserve"> </w:t>
      </w:r>
      <w:r>
        <w:t xml:space="preserve">= data up to 2024, then fixsp + floating part x gp(t)/gp(t-1);</w:t>
      </w:r>
      <w:r>
        <w:t xml:space="preserve"> </w:t>
      </w:r>
      <w:r>
        <w:rPr>
          <w:rStyle w:val="VerbatimChar"/>
        </w:rPr>
        <w:t xml:space="preserve">txo</w:t>
      </w:r>
      <w:r>
        <w:t xml:space="preserve"> </w:t>
      </w:r>
      <w:r>
        <w:t xml:space="preserve">= data, then the legacy pass-through rule;</w:t>
      </w:r>
      <w:r>
        <w:t xml:space="preserve"> </w:t>
      </w:r>
      <w:r>
        <w:rPr>
          <w:rStyle w:val="VerbatimChar"/>
        </w:rPr>
        <w:t xml:space="preserve">rpb</w:t>
      </w:r>
      <w:r>
        <w:t xml:space="preserve"> </w:t>
      </w:r>
      <w:r>
        <w:t xml:space="preserve">= (sp + txo) x (1 + VAT rate). VAT rate: dataset where filled, else VAT_WEO (Egypt 14%) for residential coal/gas and oil products, 0 for power, industry, biomass (v0.10 assumption). Data step: sheet</w:t>
      </w:r>
      <w:r>
        <w:t xml:space="preserve"> </w:t>
      </w:r>
      <w:r>
        <w:rPr>
          <w:rStyle w:val="VerbatimChar"/>
        </w:rPr>
        <w:t xml:space="preserve">Inputs_prices</w:t>
      </w:r>
      <w:r>
        <w:t xml:space="preserve">.</w:t>
      </w:r>
    </w:p>
    <w:p>
      <w:pPr>
        <w:numPr>
          <w:ilvl w:val="0"/>
          <w:numId w:val="1001"/>
        </w:numPr>
        <w:pStyle w:val="Compact"/>
      </w:pPr>
      <w:r>
        <w:rPr>
          <w:bCs/>
          <w:b/>
        </w:rPr>
        <w:t xml:space="preserve">Wedges:</w:t>
      </w:r>
      <w:r>
        <w:t xml:space="preserve"> </w:t>
      </w:r>
      <w:r>
        <w:rPr>
          <w:rStyle w:val="VerbatimChar"/>
        </w:rPr>
        <w:t xml:space="preserve">ctxnew</w:t>
      </w:r>
      <w:r>
        <w:t xml:space="preserve"> </w:t>
      </w:r>
      <w:r>
        <w:t xml:space="preserve">= carbon price x EF x fuel coverage x sector coverage x (1 - ETS coverage);</w:t>
      </w:r>
      <w:r>
        <w:t xml:space="preserve"> </w:t>
      </w:r>
      <w:r>
        <w:rPr>
          <w:rStyle w:val="VerbatimChar"/>
        </w:rPr>
        <w:t xml:space="preserve">ets</w:t>
      </w:r>
      <w:r>
        <w:t xml:space="preserve"> </w:t>
      </w:r>
      <w:r>
        <w:t xml:space="preserve">= ETS tax-equivalent price x EF x effective ETS coverage x (1 - OBR share);</w:t>
      </w:r>
      <w:r>
        <w:t xml:space="preserve"> </w:t>
      </w:r>
      <w:r>
        <w:rPr>
          <w:rStyle w:val="VerbatimChar"/>
        </w:rPr>
        <w:t xml:space="preserve">ntx</w:t>
      </w:r>
      <w:r>
        <w:t xml:space="preserve"> </w:t>
      </w:r>
      <w:r>
        <w:t xml:space="preserve">= fuel price reform path / GJ per price unit;</w:t>
      </w:r>
      <w:r>
        <w:t xml:space="preserve"> </w:t>
      </w:r>
      <w:r>
        <w:rPr>
          <w:rStyle w:val="VerbatimChar"/>
        </w:rPr>
        <w:t xml:space="preserve">nce</w:t>
      </w:r>
      <w:r>
        <w:t xml:space="preserve"> </w:t>
      </w:r>
      <w:r>
        <w:t xml:space="preserve">=</w:t>
      </w:r>
      <w:r>
        <w:t xml:space="preserve"> </w:t>
      </w:r>
      <w:r>
        <w:rPr>
          <w:rStyle w:val="VerbatimChar"/>
        </w:rPr>
        <w:t xml:space="preserve">ctxnew</w:t>
      </w:r>
      <w:r>
        <w:t xml:space="preserve"> </w:t>
      </w:r>
      <w:r>
        <w:t xml:space="preserve">+</w:t>
      </w:r>
      <w:r>
        <w:t xml:space="preserve"> </w:t>
      </w:r>
      <w:r>
        <w:rPr>
          <w:rStyle w:val="VerbatimChar"/>
        </w:rPr>
        <w:t xml:space="preserve">ets</w:t>
      </w:r>
      <w:r>
        <w:t xml:space="preserve"> </w:t>
      </w:r>
      <w:r>
        <w:t xml:space="preserve">+</w:t>
      </w:r>
      <w:r>
        <w:t xml:space="preserve"> </w:t>
      </w:r>
      <w:r>
        <w:rPr>
          <w:rStyle w:val="VerbatimChar"/>
        </w:rPr>
        <w:t xml:space="preserve">ntx</w:t>
      </w:r>
      <w:r>
        <w:t xml:space="preserve">;</w:t>
      </w:r>
      <w:r>
        <w:t xml:space="preserve"> </w:t>
      </w:r>
      <w:r>
        <w:rPr>
          <w:rStyle w:val="VerbatimChar"/>
        </w:rPr>
        <w:t xml:space="preserve">atp</w:t>
      </w:r>
      <w:r>
        <w:t xml:space="preserve"> </w:t>
      </w:r>
      <w:r>
        <w:t xml:space="preserve">= max(</w:t>
      </w:r>
      <w:r>
        <w:rPr>
          <w:rStyle w:val="VerbatimChar"/>
        </w:rPr>
        <w:t xml:space="preserve">rpb</w:t>
      </w:r>
      <w:r>
        <w:t xml:space="preserve"> </w:t>
      </w:r>
      <w:r>
        <w:t xml:space="preserve">of the price fuel +</w:t>
      </w:r>
      <w:r>
        <w:t xml:space="preserve"> </w:t>
      </w:r>
      <w:r>
        <w:rPr>
          <w:rStyle w:val="VerbatimChar"/>
        </w:rPr>
        <w:t xml:space="preserve">nce</w:t>
      </w:r>
      <w:r>
        <w:t xml:space="preserve"> </w:t>
      </w:r>
      <w:r>
        <w:t xml:space="preserve">x (1 + VAT rate), 0.01);</w:t>
      </w:r>
      <w:r>
        <w:t xml:space="preserve"> </w:t>
      </w:r>
      <w:r>
        <w:rPr>
          <w:rStyle w:val="VerbatimChar"/>
        </w:rPr>
        <w:t xml:space="preserve">shp</w:t>
      </w:r>
      <w:r>
        <w:t xml:space="preserve"> </w:t>
      </w:r>
      <w:r>
        <w:t xml:space="preserve">= (sector shadow price x</w:t>
      </w:r>
      <w:r>
        <w:t xml:space="preserve"> </w:t>
      </w:r>
      <w:r>
        <w:rPr>
          <w:rStyle w:val="VerbatimChar"/>
        </w:rPr>
        <w:t xml:space="preserve">ssc</w:t>
      </w:r>
      <w:r>
        <w:t xml:space="preserve"> </w:t>
      </w:r>
      <w:r>
        <w:t xml:space="preserve">+ ETS tax-equivalent price x ETS coverage x OBR share) x EF.</w:t>
      </w:r>
    </w:p>
    <w:p>
      <w:pPr>
        <w:numPr>
          <w:ilvl w:val="0"/>
          <w:numId w:val="1001"/>
        </w:numPr>
        <w:pStyle w:val="Compact"/>
      </w:pPr>
      <w:r>
        <w:rPr>
          <w:bCs/>
          <w:b/>
        </w:rPr>
        <w:t xml:space="preserve">ETS (v1.02,</w:t>
      </w:r>
      <w:r>
        <w:rPr>
          <w:bCs/>
          <w:b/>
        </w:rPr>
        <w:t xml:space="preserve"> </w:t>
      </w:r>
      <w:r>
        <w:rPr>
          <w:rStyle w:val="VerbatimChar"/>
          <w:bCs/>
          <w:b/>
        </w:rPr>
        <w:t xml:space="preserve">ETS_Method_v0_1.md</w:t>
      </w:r>
      <w:r>
        <w:rPr>
          <w:bCs/>
          <w:b/>
        </w:rPr>
        <w:t xml:space="preserve">):</w:t>
      </w:r>
      <w:r>
        <w:t xml:space="preserve"> </w:t>
      </w:r>
      <w:r>
        <w:t xml:space="preserve">MTInputs rows 84-115 per scenario; replaces the carbon tax in covered sectors. Cap = baseline covered emissions (data rows</w:t>
      </w:r>
      <w:r>
        <w:t xml:space="preserve"> </w:t>
      </w:r>
      <w:r>
        <w:rPr>
          <w:rStyle w:val="VerbatimChar"/>
        </w:rPr>
        <w:t xml:space="preserve">bco2</w:t>
      </w:r>
      <w:r>
        <w:t xml:space="preserve"> </w:t>
      </w:r>
      <w:r>
        <w:t xml:space="preserve">= scenario 1’s CO2 by ETS sector, refreshed by the build) x (1 + change path). Price = fast estimate LN(cap/baseline) / (effective semi-elasticity x volatility adjustment), or the override row</w:t>
      </w:r>
      <w:r>
        <w:t xml:space="preserve"> </w:t>
      </w:r>
      <w:r>
        <w:rPr>
          <w:rStyle w:val="VerbatimChar"/>
        </w:rPr>
        <w:t xml:space="preserve">ets.ovr</w:t>
      </w:r>
      <w:r>
        <w:t xml:space="preserve"> </w:t>
      </w:r>
      <w:r>
        <w:t xml:space="preserve">(MTInputs</w:t>
      </w:r>
      <w:r>
        <w:t xml:space="preserve"> </w:t>
      </w:r>
      <w:r>
        <w:rPr>
          <w:rStyle w:val="VerbatimChar"/>
        </w:rPr>
        <w:t xml:space="preserve">D_ETSPriceOverride</w:t>
      </w:r>
      <w:r>
        <w:t xml:space="preserve"> </w:t>
      </w:r>
      <w:r>
        <w:t xml:space="preserve">= Yes; filled by</w:t>
      </w:r>
      <w:r>
        <w:t xml:space="preserve"> </w:t>
      </w:r>
      <w:r>
        <w:rPr>
          <w:rStyle w:val="VerbatimChar"/>
        </w:rPr>
        <w:t xml:space="preserve">ets_goalseek_v0_1.py</w:t>
      </w:r>
      <w:r>
        <w:t xml:space="preserve"> </w:t>
      </w:r>
      <w:r>
        <w:t xml:space="preserve">or by pasting</w:t>
      </w:r>
      <w:r>
        <w:t xml:space="preserve"> </w:t>
      </w:r>
      <w:r>
        <w:rPr>
          <w:rStyle w:val="VerbatimChar"/>
        </w:rPr>
        <w:t xml:space="preserve">ets.next</w:t>
      </w:r>
      <w:r>
        <w:t xml:space="preserve">). Benchmarks by sector group give the OBR share; the price splits into a tax-equivalent wedge in</w:t>
      </w:r>
      <w:r>
        <w:t xml:space="preserve"> </w:t>
      </w:r>
      <w:r>
        <w:rPr>
          <w:rStyle w:val="VerbatimChar"/>
        </w:rPr>
        <w:t xml:space="preserve">atp</w:t>
      </w:r>
      <w:r>
        <w:t xml:space="preserve"> </w:t>
      </w:r>
      <w:r>
        <w:t xml:space="preserve">(auctioned part) and a shadow price on the efficiency margin (OBR part). Volatility adjustment from MTInputs 95-97 (1/1.1 at Medium). Section 13 compares covered emissions with the cap. Sectoral shadow prices = feebates + OBR part of the ETS + regulations (placeholder 0).</w:t>
      </w:r>
    </w:p>
    <w:p>
      <w:pPr>
        <w:numPr>
          <w:ilvl w:val="0"/>
          <w:numId w:val="1001"/>
        </w:numPr>
        <w:pStyle w:val="Compact"/>
      </w:pPr>
      <w:r>
        <w:rPr>
          <w:bCs/>
          <w:b/>
        </w:rPr>
        <w:t xml:space="preserve">Power prices (v1.05,</w:t>
      </w:r>
      <w:r>
        <w:rPr>
          <w:bCs/>
          <w:b/>
        </w:rPr>
        <w:t xml:space="preserve"> </w:t>
      </w:r>
      <w:r>
        <w:rPr>
          <w:rStyle w:val="VerbatimChar"/>
          <w:bCs/>
          <w:b/>
        </w:rPr>
        <w:t xml:space="preserve">PowerPrices_Method_v0_1.md</w:t>
      </w:r>
      <w:r>
        <w:rPr>
          <w:bCs/>
          <w:b/>
        </w:rPr>
        <w:t xml:space="preserve">):</w:t>
      </w:r>
      <w:r>
        <w:t xml:space="preserve"> </w:t>
      </w:r>
      <w:r>
        <w:t xml:space="preserve">section 3 keeps legacy’s sub-tables. A inputs: capex time factor</w:t>
      </w:r>
      <w:r>
        <w:t xml:space="preserve"> </w:t>
      </w:r>
      <w:r>
        <w:rPr>
          <w:rStyle w:val="VerbatimChar"/>
        </w:rPr>
        <w:t xml:space="preserve">tcf</w:t>
      </w:r>
      <w:r>
        <w:t xml:space="preserve">; INTERIM data until the engineer model: generation shares</w:t>
      </w:r>
      <w:r>
        <w:t xml:space="preserve"> </w:t>
      </w:r>
      <w:r>
        <w:rPr>
          <w:rStyle w:val="VerbatimChar"/>
        </w:rPr>
        <w:t xml:space="preserve">gns</w:t>
      </w:r>
      <w:r>
        <w:t xml:space="preserve">, investment shares</w:t>
      </w:r>
      <w:r>
        <w:t xml:space="preserve"> </w:t>
      </w:r>
      <w:r>
        <w:rPr>
          <w:rStyle w:val="VerbatimChar"/>
        </w:rPr>
        <w:t xml:space="preserve">phi</w:t>
      </w:r>
      <w:r>
        <w:t xml:space="preserve">, consumption</w:t>
      </w:r>
      <w:r>
        <w:t xml:space="preserve"> </w:t>
      </w:r>
      <w:r>
        <w:rPr>
          <w:rStyle w:val="VerbatimChar"/>
        </w:rPr>
        <w:t xml:space="preserve">cons</w:t>
      </w:r>
      <w:r>
        <w:t xml:space="preserve"> </w:t>
      </w:r>
      <w:r>
        <w:t xml:space="preserve">(legacy baseline run, orange italic); storage cost paths. B:</w:t>
      </w:r>
      <w:r>
        <w:t xml:space="preserve"> </w:t>
      </w:r>
      <w:r>
        <w:rPr>
          <w:rStyle w:val="VerbatimChar"/>
        </w:rPr>
        <w:t xml:space="preserve">cax</w:t>
      </w:r>
      <w:r>
        <w:t xml:space="preserve">, vintage averages</w:t>
      </w:r>
      <w:r>
        <w:t xml:space="preserve"> </w:t>
      </w:r>
      <w:r>
        <w:rPr>
          <w:rStyle w:val="VerbatimChar"/>
        </w:rPr>
        <w:t xml:space="preserve">caxav</w:t>
      </w:r>
      <w:r>
        <w:t xml:space="preserve">,</w:t>
      </w:r>
      <w:r>
        <w:t xml:space="preserve"> </w:t>
      </w:r>
      <w:r>
        <w:rPr>
          <w:rStyle w:val="VerbatimChar"/>
        </w:rPr>
        <w:t xml:space="preserve">stoav</w:t>
      </w:r>
      <w:r>
        <w:t xml:space="preserve"> </w:t>
      </w:r>
      <w:r>
        <w:t xml:space="preserve">(last year’s investment share), amortised fixed cost</w:t>
      </w:r>
      <w:r>
        <w:t xml:space="preserve"> </w:t>
      </w:r>
      <w:r>
        <w:rPr>
          <w:rStyle w:val="VerbatimChar"/>
        </w:rPr>
        <w:t xml:space="preserve">fix</w:t>
      </w:r>
      <w:r>
        <w:t xml:space="preserve"> </w:t>
      </w:r>
      <w:r>
        <w:t xml:space="preserve">= caxav x acap + afix + stoav (legacy B3-B8 in one row). C: levelised fixed cost</w:t>
      </w:r>
      <w:r>
        <w:t xml:space="preserve"> </w:t>
      </w:r>
      <w:r>
        <w:rPr>
          <w:rStyle w:val="VerbatimChar"/>
        </w:rPr>
        <w:t xml:space="preserve">lfx</w:t>
      </w:r>
      <w:r>
        <w:t xml:space="preserve"> </w:t>
      </w:r>
      <w:r>
        <w:t xml:space="preserve">of new plants (investment only). D: variable cost</w:t>
      </w:r>
      <w:r>
        <w:t xml:space="preserve"> </w:t>
      </w:r>
      <w:r>
        <w:rPr>
          <w:rStyle w:val="VerbatimChar"/>
        </w:rPr>
        <w:t xml:space="preserve">vbc</w:t>
      </w:r>
      <w:r>
        <w:t xml:space="preserve"> </w:t>
      </w:r>
      <w:r>
        <w:t xml:space="preserve">= O&amp;M + section-2 fuel price x 0.0036/efficiency (spot prices; legacy uses a 5-year moving average); new policy cost per kWh</w:t>
      </w:r>
      <w:r>
        <w:t xml:space="preserve"> </w:t>
      </w:r>
      <w:r>
        <w:rPr>
          <w:rStyle w:val="VerbatimChar"/>
        </w:rPr>
        <w:t xml:space="preserve">ccp</w:t>
      </w:r>
      <w:r>
        <w:t xml:space="preserve"> </w:t>
      </w:r>
      <w:r>
        <w:t xml:space="preserve">(carbon tax, ETS, fuel price reform on power fuels). E: generation cost</w:t>
      </w:r>
      <w:r>
        <w:t xml:space="preserve"> </w:t>
      </w:r>
      <w:r>
        <w:rPr>
          <w:rStyle w:val="VerbatimChar"/>
        </w:rPr>
        <w:t xml:space="preserve">gnc</w:t>
      </w:r>
      <w:r>
        <w:t xml:space="preserve"> </w:t>
      </w:r>
      <w:r>
        <w:t xml:space="preserve">= fix + vbc, averages</w:t>
      </w:r>
      <w:r>
        <w:t xml:space="preserve"> </w:t>
      </w:r>
      <w:r>
        <w:rPr>
          <w:rStyle w:val="VerbatimChar"/>
        </w:rPr>
        <w:t xml:space="preserve">gncav</w:t>
      </w:r>
      <w:r>
        <w:t xml:space="preserve"> </w:t>
      </w:r>
      <w:r>
        <w:t xml:space="preserve">and</w:t>
      </w:r>
      <w:r>
        <w:t xml:space="preserve"> </w:t>
      </w:r>
      <w:r>
        <w:rPr>
          <w:rStyle w:val="VerbatimChar"/>
        </w:rPr>
        <w:t xml:space="preserve">ccpav</w:t>
      </w:r>
      <w:r>
        <w:t xml:space="preserve">. G (residential, industry): supply cost</w:t>
      </w:r>
      <w:r>
        <w:t xml:space="preserve"> </w:t>
      </w:r>
      <w:r>
        <w:rPr>
          <w:rStyle w:val="VerbatimChar"/>
        </w:rPr>
        <w:t xml:space="preserve">sc</w:t>
      </w:r>
      <w:r>
        <w:t xml:space="preserve"> </w:t>
      </w:r>
      <w:r>
        <w:t xml:space="preserve">= gncav of the previous year + T&amp;D; price before new policies</w:t>
      </w:r>
      <w:r>
        <w:t xml:space="preserve"> </w:t>
      </w:r>
      <w:r>
        <w:rPr>
          <w:rStyle w:val="VerbatimChar"/>
        </w:rPr>
        <w:t xml:space="preserve">rppre</w:t>
      </w:r>
      <w:r>
        <w:t xml:space="preserve"> </w:t>
      </w:r>
      <w:r>
        <w:t xml:space="preserve">= data to 2024, then + pass-through x change in sc x (1 + VAT); end-user price</w:t>
      </w:r>
      <w:r>
        <w:t xml:space="preserve"> </w:t>
      </w:r>
      <w:r>
        <w:rPr>
          <w:rStyle w:val="VerbatimChar"/>
        </w:rPr>
        <w:t xml:space="preserve">rp</w:t>
      </w:r>
      <w:r>
        <w:t xml:space="preserve"> </w:t>
      </w:r>
      <w:r>
        <w:t xml:space="preserve">= rppre + ccpav; subsidy gap</w:t>
      </w:r>
      <w:r>
        <w:t xml:space="preserve"> </w:t>
      </w:r>
      <w:r>
        <w:rPr>
          <w:rStyle w:val="VerbatimChar"/>
        </w:rPr>
        <w:t xml:space="preserve">sgap</w:t>
      </w:r>
      <w:r>
        <w:t xml:space="preserve">; revenues</w:t>
      </w:r>
      <w:r>
        <w:t xml:space="preserve"> </w:t>
      </w:r>
      <w:r>
        <w:rPr>
          <w:rStyle w:val="VerbatimChar"/>
        </w:rPr>
        <w:t xml:space="preserve">rvat</w:t>
      </w:r>
      <w:r>
        <w:t xml:space="preserve">,</w:t>
      </w:r>
      <w:r>
        <w:t xml:space="preserve"> </w:t>
      </w:r>
      <w:r>
        <w:rPr>
          <w:rStyle w:val="VerbatimChar"/>
        </w:rPr>
        <w:t xml:space="preserve">rcarb</w:t>
      </w:r>
      <w:r>
        <w:t xml:space="preserve">,</w:t>
      </w:r>
      <w:r>
        <w:t xml:space="preserve"> </w:t>
      </w:r>
      <w:r>
        <w:rPr>
          <w:rStyle w:val="VerbatimChar"/>
        </w:rPr>
        <w:t xml:space="preserve">rgap</w:t>
      </w:r>
      <w:r>
        <w:t xml:space="preserve"> </w:t>
      </w:r>
      <w:r>
        <w:t xml:space="preserve">(USD million, not yet in section 12). J: VRE share</w:t>
      </w:r>
      <w:r>
        <w:t xml:space="preserve"> </w:t>
      </w:r>
      <w:r>
        <w:rPr>
          <w:rStyle w:val="VerbatimChar"/>
        </w:rPr>
        <w:t xml:space="preserve">vre</w:t>
      </w:r>
      <w:r>
        <w:t xml:space="preserve">, storage cost per hour</w:t>
      </w:r>
      <w:r>
        <w:t xml:space="preserve"> </w:t>
      </w:r>
      <w:r>
        <w:rPr>
          <w:rStyle w:val="VerbatimChar"/>
        </w:rPr>
        <w:t xml:space="preserve">cph</w:t>
      </w:r>
      <w:r>
        <w:t xml:space="preserve">, marginal storage cost</w:t>
      </w:r>
      <w:r>
        <w:t xml:space="preserve"> </w:t>
      </w:r>
      <w:r>
        <w:rPr>
          <w:rStyle w:val="VerbatimChar"/>
        </w:rPr>
        <w:t xml:space="preserve">msc</w:t>
      </w:r>
      <w:r>
        <w:t xml:space="preserve">. Constants per type in sheet</w:t>
      </w:r>
      <w:r>
        <w:t xml:space="preserve"> </w:t>
      </w:r>
      <w:r>
        <w:rPr>
          <w:rStyle w:val="VerbatimChar"/>
        </w:rPr>
        <w:t xml:space="preserve">Inputs_power</w:t>
      </w:r>
      <w:r>
        <w:t xml:space="preserve"> </w:t>
      </w:r>
      <w:r>
        <w:t xml:space="preserve">(from data sheets</w:t>
      </w:r>
      <w:r>
        <w:t xml:space="preserve"> </w:t>
      </w:r>
      <w:r>
        <w:rPr>
          <w:rStyle w:val="VerbatimChar"/>
        </w:rPr>
        <w:t xml:space="preserve">PowerTech</w:t>
      </w:r>
      <w:r>
        <w:t xml:space="preserve">,</w:t>
      </w:r>
      <w:r>
        <w:t xml:space="preserve"> </w:t>
      </w:r>
      <w:r>
        <w:rPr>
          <w:rStyle w:val="VerbatimChar"/>
        </w:rPr>
        <w:t xml:space="preserve">PowerPaths</w:t>
      </w:r>
      <w:r>
        <w:t xml:space="preserve">,</w:t>
      </w:r>
      <w:r>
        <w:t xml:space="preserve"> </w:t>
      </w:r>
      <w:r>
        <w:rPr>
          <w:rStyle w:val="VerbatimChar"/>
        </w:rPr>
        <w:t xml:space="preserve">PowerParams</w:t>
      </w:r>
      <w:r>
        <w:t xml:space="preserve">, written by</w:t>
      </w:r>
      <w:r>
        <w:t xml:space="preserve"> </w:t>
      </w:r>
      <w:r>
        <w:rPr>
          <w:rStyle w:val="VerbatimChar"/>
        </w:rPr>
        <w:t xml:space="preserve">extract_power_v0_1.py</w:t>
      </w:r>
      <w:r>
        <w:t xml:space="preserve">). The method reproduces the cached legacy rows exactly (check 4b).</w:t>
      </w:r>
    </w:p>
    <w:p>
      <w:pPr>
        <w:numPr>
          <w:ilvl w:val="0"/>
          <w:numId w:val="1001"/>
        </w:numPr>
        <w:pStyle w:val="Compact"/>
      </w:pPr>
      <w:r>
        <w:rPr>
          <w:bCs/>
          <w:b/>
        </w:rPr>
        <w:t xml:space="preserve">Power engineer model (v1.06-v1.07,</w:t>
      </w:r>
      <w:r>
        <w:rPr>
          <w:bCs/>
          <w:b/>
        </w:rPr>
        <w:t xml:space="preserve"> </w:t>
      </w:r>
      <w:r>
        <w:rPr>
          <w:rStyle w:val="VerbatimChar"/>
          <w:bCs/>
          <w:b/>
        </w:rPr>
        <w:t xml:space="preserve">PowerModel_Method_v0_2.md</w:t>
      </w:r>
      <w:r>
        <w:rPr>
          <w:bCs/>
          <w:b/>
        </w:rPr>
        <w:t xml:space="preserve">):</w:t>
      </w:r>
      <w:r>
        <w:t xml:space="preserve"> </w:t>
      </w:r>
      <w:r>
        <w:t xml:space="preserve">section 3 continues with the legacy sub-tables H-L, year by year as legacy. H: electricity demand by subsector (15) grows with a multiple per demand group (efficiency, GDP with the income factor, last year’s electricity price); required generation = demand x balance factor. I: fixed-output types at their capacity factor, coal and gas by minima and a logit on variable cost; shares, fuel use, CO2. K: capacity carried forward, retirements, cost-based early coal retirement, capacity needed. L: investment by a logit on the levelised investment cost (C + D9) within scale-up limits, then cheapest remaining space; nameplate and USD investment; phi for the vintages. D6 shadow price and rebate, D9 levelised variable cost (look-ahead rows</w:t>
      </w:r>
      <w:r>
        <w:t xml:space="preserve"> </w:t>
      </w:r>
      <w:r>
        <w:rPr>
          <w:rStyle w:val="VerbatimChar"/>
        </w:rPr>
        <w:t xml:space="preserve">dsum</w:t>
      </w:r>
      <w:r>
        <w:t xml:space="preserve">,</w:t>
      </w:r>
      <w:r>
        <w:t xml:space="preserve"> </w:t>
      </w:r>
      <w:r>
        <w:rPr>
          <w:rStyle w:val="VerbatimChar"/>
        </w:rPr>
        <w:t xml:space="preserve">lvc</w:t>
      </w:r>
      <w:r>
        <w:t xml:space="preserve">: plain formulas), E1. Generation shares, investment shares and consumption are modelled (the v1.05 interim data are gone). Power CO2 is in section 13 (total, by fuel, ETS sector power). Aligned with legacy except ten bugs:</w:t>
      </w:r>
      <w:r>
        <w:t xml:space="preserve"> </w:t>
      </w:r>
      <w:r>
        <w:rPr>
          <w:rStyle w:val="VerbatimChar"/>
        </w:rPr>
        <w:t xml:space="preserve">power_model_ref_v0_2.py</w:t>
      </w:r>
      <w:r>
        <w:t xml:space="preserve"> </w:t>
      </w:r>
      <w:r>
        <w:t xml:space="preserve">(FIXES) reproduces 208 legacy rows of the baseline and the carbon-tax run with the bugs on;</w:t>
      </w:r>
      <w:r>
        <w:t xml:space="preserve"> </w:t>
      </w:r>
      <w:r>
        <w:rPr>
          <w:rStyle w:val="VerbatimChar"/>
        </w:rPr>
        <w:t xml:space="preserve">PowerModel_BugsAndImprovements_v1_0.docx</w:t>
      </w:r>
      <w:r>
        <w:t xml:space="preserve"> </w:t>
      </w:r>
      <w:r>
        <w:t xml:space="preserve">explains each bug and its effect. Settings C19 switches the legacy 2023-2024 demand shock on (default off, as the fuel blocks; the resulting 2023 demand jump is accepted, user decision v1.07). Planned retirement (v1.07): PowerTech</w:t>
      </w:r>
      <w:r>
        <w:t xml:space="preserve"> </w:t>
      </w:r>
      <w:r>
        <w:rPr>
          <w:rStyle w:val="VerbatimChar"/>
        </w:rPr>
        <w:t xml:space="preserve">planned_retirement</w:t>
      </w:r>
      <w:r>
        <w:t xml:space="preserve"> </w:t>
      </w:r>
      <w:r>
        <w:t xml:space="preserve">= Yes makes a type retire the data of PowerPaths</w:t>
      </w:r>
      <w:r>
        <w:t xml:space="preserve"> </w:t>
      </w:r>
      <w:r>
        <w:rPr>
          <w:rStyle w:val="VerbatimChar"/>
        </w:rPr>
        <w:t xml:space="preserve">pret|&lt;type&gt;</w:t>
      </w:r>
      <w:r>
        <w:t xml:space="preserve"> </w:t>
      </w:r>
      <w:r>
        <w:t xml:space="preserve">(nameplate MW) instead of capacity x 1/lifetime (Egypt: no data, all No). Memo lines</w:t>
      </w:r>
      <w:r>
        <w:t xml:space="preserve"> </w:t>
      </w:r>
      <w:r>
        <w:rPr>
          <w:rStyle w:val="VerbatimChar"/>
        </w:rPr>
        <w:t xml:space="preserve">eldem</w:t>
      </w:r>
      <w:r>
        <w:t xml:space="preserve"> </w:t>
      </w:r>
      <w:r>
        <w:t xml:space="preserve">(v1.07): electricity demand by subsector in each sector block and by sector in section 11, not in the fuel totals; sector policies do not act on power demand (user decision v1.07).</w:t>
      </w:r>
    </w:p>
    <w:p>
      <w:pPr>
        <w:numPr>
          <w:ilvl w:val="0"/>
          <w:numId w:val="1001"/>
        </w:numPr>
        <w:pStyle w:val="Compact"/>
      </w:pPr>
      <w:r>
        <w:rPr>
          <w:bCs/>
          <w:b/>
        </w:rPr>
        <w:t xml:space="preserve">Existing taxes and subsidies (v0.11, section 2):</w:t>
      </w:r>
      <w:r>
        <w:t xml:space="preserve"> </w:t>
      </w:r>
      <w:r>
        <w:rPr>
          <w:rStyle w:val="VerbatimChar"/>
        </w:rPr>
        <w:t xml:space="preserve">vat</w:t>
      </w:r>
      <w:r>
        <w:t xml:space="preserve">,</w:t>
      </w:r>
      <w:r>
        <w:t xml:space="preserve"> </w:t>
      </w:r>
      <w:r>
        <w:rPr>
          <w:rStyle w:val="VerbatimChar"/>
        </w:rPr>
        <w:t xml:space="preserve">etx</w:t>
      </w:r>
      <w:r>
        <w:t xml:space="preserve"> </w:t>
      </w:r>
      <w:r>
        <w:t xml:space="preserve">= max(txo, 0),</w:t>
      </w:r>
      <w:r>
        <w:t xml:space="preserve"> </w:t>
      </w:r>
      <w:r>
        <w:rPr>
          <w:rStyle w:val="VerbatimChar"/>
        </w:rPr>
        <w:t xml:space="preserve">esub</w:t>
      </w:r>
      <w:r>
        <w:t xml:space="preserve"> </w:t>
      </w:r>
      <w:r>
        <w:t xml:space="preserve">= max(-txo, 0),</w:t>
      </w:r>
      <w:r>
        <w:t xml:space="preserve"> </w:t>
      </w:r>
      <w:r>
        <w:rPr>
          <w:rStyle w:val="VerbatimChar"/>
        </w:rPr>
        <w:t xml:space="preserve">esubpu</w:t>
      </w:r>
      <w:r>
        <w:t xml:space="preserve"> </w:t>
      </w:r>
      <w:r>
        <w:t xml:space="preserve">= subsidy per MTInputs price unit (input for a later per-fuel policy).</w:t>
      </w:r>
    </w:p>
    <w:p>
      <w:pPr>
        <w:numPr>
          <w:ilvl w:val="0"/>
          <w:numId w:val="1001"/>
        </w:numPr>
        <w:pStyle w:val="Compact"/>
      </w:pPr>
      <w:r>
        <w:rPr>
          <w:bCs/>
          <w:b/>
        </w:rPr>
        <w:t xml:space="preserve">Multiple scenarios (v1.03,</w:t>
      </w:r>
      <w:r>
        <w:rPr>
          <w:bCs/>
          <w:b/>
        </w:rPr>
        <w:t xml:space="preserve"> </w:t>
      </w:r>
      <w:r>
        <w:rPr>
          <w:rStyle w:val="VerbatimChar"/>
          <w:bCs/>
          <w:b/>
        </w:rPr>
        <w:t xml:space="preserve">Scenarios_Method_v0_1.md</w:t>
      </w:r>
      <w:r>
        <w:rPr>
          <w:bCs/>
          <w:b/>
        </w:rPr>
        <w:t xml:space="preserve">):</w:t>
      </w:r>
      <w:r>
        <w:t xml:space="preserve"> </w:t>
      </w:r>
      <w:r>
        <w:t xml:space="preserve">MTInputs J = baseline, K = live policy scenario (Mitigation group 2), L onwards = scenario definitions (row 4 Run? = Yes/No; shipped: $20 carbon price, Package A carbon tax + feebates, Package B ETS + carbon tax elsewhere). Macro</w:t>
      </w:r>
      <w:r>
        <w:t xml:space="preserve"> </w:t>
      </w:r>
      <w:r>
        <w:rPr>
          <w:rStyle w:val="VerbatimChar"/>
        </w:rPr>
        <w:t xml:space="preserve">RunAllScenarios</w:t>
      </w:r>
      <w:r>
        <w:t xml:space="preserve"> </w:t>
      </w:r>
      <w:r>
        <w:t xml:space="preserve">(module CPATScenarios, Alt+F8) stores the baseline once, then copies each definition into K, recalculates, runs the ETS goal seek when the definition applies a new ETS, and stores the MTOutputs block as values in</w:t>
      </w:r>
      <w:r>
        <w:t xml:space="preserve"> </w:t>
      </w:r>
      <w:r>
        <w:rPr>
          <w:rStyle w:val="VerbatimChar"/>
        </w:rPr>
        <w:t xml:space="preserve">StoredResults</w:t>
      </w:r>
      <w:r>
        <w:t xml:space="preserve">; K is restored.</w:t>
      </w:r>
      <w:r>
        <w:t xml:space="preserve"> </w:t>
      </w:r>
      <w:r>
        <w:rPr>
          <w:rStyle w:val="VerbatimChar"/>
        </w:rPr>
        <w:t xml:space="preserve">ScenarioCompare</w:t>
      </w:r>
      <w:r>
        <w:t xml:space="preserve"> </w:t>
      </w:r>
      <w:r>
        <w:t xml:space="preserve">shows levels, differences and % differences vs the baseline for one year (C4) and up to 8 stored IDs. Other macros: StoreBaseline, StoreLiveScenario, SolveETSLive, ClearStoredScenarios, and CheckBatchRun (v1.04): the first-run test for Excel, reported on sheet</w:t>
      </w:r>
      <w:r>
        <w:t xml:space="preserve"> </w:t>
      </w:r>
      <w:r>
        <w:rPr>
          <w:rStyle w:val="VerbatimChar"/>
        </w:rPr>
        <w:t xml:space="preserve">MacroCheck</w:t>
      </w:r>
      <w:r>
        <w:t xml:space="preserve"> </w:t>
      </w:r>
      <w:r>
        <w:t xml:space="preserve">(see</w:t>
      </w:r>
      <w:r>
        <w:t xml:space="preserve"> </w:t>
      </w:r>
      <w:r>
        <w:rPr>
          <w:rStyle w:val="VerbatimChar"/>
        </w:rPr>
        <w:t xml:space="preserve">Scenarios_Method_v0_1.md</w:t>
      </w:r>
      <w:r>
        <w:t xml:space="preserve">, First run in Excel).</w:t>
      </w:r>
    </w:p>
    <w:p>
      <w:pPr>
        <w:numPr>
          <w:ilvl w:val="0"/>
          <w:numId w:val="1001"/>
        </w:numPr>
        <w:pStyle w:val="Compact"/>
      </w:pPr>
      <w:r>
        <w:rPr>
          <w:bCs/>
          <w:b/>
        </w:rPr>
        <w:t xml:space="preserve">MTOutputs and Charts (v1.01):</w:t>
      </w:r>
      <w:r>
        <w:t xml:space="preserve"> </w:t>
      </w:r>
      <w:r>
        <w:rPr>
          <w:rStyle w:val="VerbatimChar"/>
        </w:rPr>
        <w:t xml:space="preserve">MTOutputs</w:t>
      </w:r>
      <w:r>
        <w:t xml:space="preserve"> </w:t>
      </w:r>
      <w:r>
        <w:t xml:space="preserve">collects 51 key results (v1.07: 18 power indicators: demand total and by sector, required generation, capacity, wind and solar capacity, investment, generation shares, average policy cost, power carbon revenue) (fuel use, CO2, covered CO2 and ETS cap, revenues, carbon and ETS price, key retail prices) for every scenario by output code: one row block per scenario, the scenario number in column E of the block header. Copy the last block below to add a scenario.</w:t>
      </w:r>
      <w:r>
        <w:t xml:space="preserve"> </w:t>
      </w:r>
      <w:r>
        <w:rPr>
          <w:rStyle w:val="VerbatimChar"/>
        </w:rPr>
        <w:t xml:space="preserve">Charts</w:t>
      </w:r>
      <w:r>
        <w:t xml:space="preserve"> </w:t>
      </w:r>
      <w:r>
        <w:t xml:space="preserve">has 10 line charts (CO2, fuel use, fiscal effect, carbon price; v1.07: power generation, power CO2, VRE share, residential electricity price, capacity, electricity demand), one series per scenario.</w:t>
      </w:r>
    </w:p>
    <w:p>
      <w:pPr>
        <w:numPr>
          <w:ilvl w:val="0"/>
          <w:numId w:val="1001"/>
        </w:numPr>
        <w:pStyle w:val="Compact"/>
      </w:pPr>
      <w:r>
        <w:rPr>
          <w:bCs/>
          <w:b/>
        </w:rPr>
        <w:t xml:space="preserve">Revenues (v0.12):</w:t>
      </w:r>
      <w:r>
        <w:t xml:space="preserve"> </w:t>
      </w:r>
      <w:r>
        <w:t xml:space="preserve">three separate calculations per subsector and fuel (USD million real):</w:t>
      </w:r>
      <w:r>
        <w:t xml:space="preserve"> </w:t>
      </w:r>
      <w:r>
        <w:rPr>
          <w:rStyle w:val="VerbatimChar"/>
        </w:rPr>
        <w:t xml:space="preserve">rtx</w:t>
      </w:r>
      <w:r>
        <w:t xml:space="preserve"> </w:t>
      </w:r>
      <w:r>
        <w:t xml:space="preserve">existing tax revenue = fuel use x PJ/ktoe x (</w:t>
      </w:r>
      <w:r>
        <w:rPr>
          <w:rStyle w:val="VerbatimChar"/>
        </w:rPr>
        <w:t xml:space="preserve">etx</w:t>
      </w:r>
      <w:r>
        <w:t xml:space="preserve"> </w:t>
      </w:r>
      <w:r>
        <w:t xml:space="preserve">+</w:t>
      </w:r>
      <w:r>
        <w:t xml:space="preserve"> </w:t>
      </w:r>
      <w:r>
        <w:rPr>
          <w:rStyle w:val="VerbatimChar"/>
        </w:rPr>
        <w:t xml:space="preserve">vat</w:t>
      </w:r>
      <w:r>
        <w:t xml:space="preserve">);</w:t>
      </w:r>
      <w:r>
        <w:t xml:space="preserve"> </w:t>
      </w:r>
      <w:r>
        <w:rPr>
          <w:rStyle w:val="VerbatimChar"/>
        </w:rPr>
        <w:t xml:space="preserve">rsub</w:t>
      </w:r>
      <w:r>
        <w:t xml:space="preserve"> </w:t>
      </w:r>
      <w:r>
        <w:t xml:space="preserve">existing subsidy cost = fuel use x PJ/ktoe x</w:t>
      </w:r>
      <w:r>
        <w:t xml:space="preserve"> </w:t>
      </w:r>
      <w:r>
        <w:rPr>
          <w:rStyle w:val="VerbatimChar"/>
        </w:rPr>
        <w:t xml:space="preserve">esub</w:t>
      </w:r>
      <w:r>
        <w:t xml:space="preserve">;</w:t>
      </w:r>
      <w:r>
        <w:t xml:space="preserve"> </w:t>
      </w:r>
      <w:r>
        <w:rPr>
          <w:rStyle w:val="VerbatimChar"/>
        </w:rPr>
        <w:t xml:space="preserve">rnew</w:t>
      </w:r>
      <w:r>
        <w:t xml:space="preserve"> </w:t>
      </w:r>
      <w:r>
        <w:t xml:space="preserve">new-policy revenue = fuel use x PJ/ktoe x (</w:t>
      </w:r>
      <w:r>
        <w:rPr>
          <w:rStyle w:val="VerbatimChar"/>
        </w:rPr>
        <w:t xml:space="preserve">ctxnew</w:t>
      </w:r>
      <w:r>
        <w:t xml:space="preserve"> </w:t>
      </w:r>
      <w:r>
        <w:t xml:space="preserve">+</w:t>
      </w:r>
      <w:r>
        <w:t xml:space="preserve"> </w:t>
      </w:r>
      <w:r>
        <w:rPr>
          <w:rStyle w:val="VerbatimChar"/>
        </w:rPr>
        <w:t xml:space="preserve">ntx</w:t>
      </w:r>
      <w:r>
        <w:t xml:space="preserve"> </w:t>
      </w:r>
      <w:r>
        <w:t xml:space="preserve">+</w:t>
      </w:r>
      <w:r>
        <w:t xml:space="preserve"> </w:t>
      </w:r>
      <w:r>
        <w:rPr>
          <w:rStyle w:val="VerbatimChar"/>
        </w:rPr>
        <w:t xml:space="preserve">ets</w:t>
      </w:r>
      <w:r>
        <w:t xml:space="preserve"> </w:t>
      </w:r>
      <w:r>
        <w:t xml:space="preserve">x revenue factor +</w:t>
      </w:r>
      <w:r>
        <w:t xml:space="preserve"> </w:t>
      </w:r>
      <w:r>
        <w:rPr>
          <w:rStyle w:val="VerbatimChar"/>
        </w:rPr>
        <w:t xml:space="preserve">nce</w:t>
      </w:r>
      <w:r>
        <w:t xml:space="preserve"> </w:t>
      </w:r>
      <w:r>
        <w:t xml:space="preserve">x VAT rate). Section 12: totals by sector, net existing (</w:t>
      </w:r>
      <w:r>
        <w:rPr>
          <w:rStyle w:val="VerbatimChar"/>
        </w:rPr>
        <w:t xml:space="preserve">rnet</w:t>
      </w:r>
      <w:r>
        <w:t xml:space="preserve">), total (</w:t>
      </w:r>
      <w:r>
        <w:rPr>
          <w:rStyle w:val="VerbatimChar"/>
        </w:rPr>
        <w:t xml:space="preserve">rtot</w:t>
      </w:r>
      <w:r>
        <w:t xml:space="preserve">), change vs scenario 1 (</w:t>
      </w:r>
      <w:r>
        <w:rPr>
          <w:rStyle w:val="VerbatimChar"/>
        </w:rPr>
        <w:t xml:space="preserve">rtot.chg</w:t>
      </w:r>
      <w:r>
        <w:t xml:space="preserve">). Feebates revenue-neutral; no power or electricity yet.</w:t>
      </w:r>
    </w:p>
    <w:p>
      <w:pPr>
        <w:numPr>
          <w:ilvl w:val="0"/>
          <w:numId w:val="1001"/>
        </w:numPr>
        <w:pStyle w:val="Compact"/>
      </w:pPr>
      <w:r>
        <w:rPr>
          <w:bCs/>
          <w:b/>
        </w:rPr>
        <w:t xml:space="preserve">CO2 (v0.13):</w:t>
      </w:r>
      <w:r>
        <w:t xml:space="preserve"> </w:t>
      </w:r>
      <w:r>
        <w:rPr>
          <w:rStyle w:val="VerbatimChar"/>
        </w:rPr>
        <w:t xml:space="preserve">co2</w:t>
      </w:r>
      <w:r>
        <w:t xml:space="preserve"> </w:t>
      </w:r>
      <w:r>
        <w:t xml:space="preserve">per subsector and fuel = fuel use x PJ/ktoe x EF (tCO2/GJ) in MtCO2; section 13: total, by sector, by fuel, change vs scenario 1. Fuel combustion only (no power, process emissions, CH4, N2O, local pollutants yet).</w:t>
      </w:r>
    </w:p>
    <w:p>
      <w:pPr>
        <w:numPr>
          <w:ilvl w:val="0"/>
          <w:numId w:val="1001"/>
        </w:numPr>
        <w:pStyle w:val="Compact"/>
      </w:pPr>
      <w:r>
        <w:rPr>
          <w:bCs/>
          <w:b/>
        </w:rPr>
        <w:t xml:space="preserve">Data step separate from formulas.</w:t>
      </w:r>
      <w:r>
        <w:t xml:space="preserve"> </w:t>
      </w:r>
      <w:r>
        <w:t xml:space="preserve">Sheet</w:t>
      </w:r>
      <w:r>
        <w:t xml:space="preserve"> </w:t>
      </w:r>
      <w:r>
        <w:rPr>
          <w:rStyle w:val="VerbatimChar"/>
        </w:rPr>
        <w:t xml:space="preserve">Inputs</w:t>
      </w:r>
      <w:r>
        <w:t xml:space="preserve"> </w:t>
      </w:r>
      <w:r>
        <w:t xml:space="preserve">(one row per fuel|subsector) holds every lookup;</w:t>
      </w:r>
      <w:r>
        <w:t xml:space="preserve"> </w:t>
      </w:r>
      <w:r>
        <w:rPr>
          <w:rStyle w:val="VerbatimChar"/>
        </w:rPr>
        <w:t xml:space="preserve">Mitigation</w:t>
      </w:r>
      <w:r>
        <w:t xml:space="preserve"> </w:t>
      </w:r>
      <w:r>
        <w:t xml:space="preserve">reads it in the hidden parameter columns D:G (labels in</w:t>
      </w:r>
      <w:r>
        <w:t xml:space="preserve"> </w:t>
      </w:r>
      <w:r>
        <w:rPr>
          <w:rStyle w:val="VerbatimChar"/>
        </w:rPr>
        <w:t xml:space="preserve">Variables</w:t>
      </w:r>
      <w:r>
        <w:t xml:space="preserve"> </w:t>
      </w:r>
      <w:r>
        <w:t xml:space="preserve">G:J) and the base-year column. Calculation cells hold no searching lookups;</w:t>
      </w:r>
      <w:r>
        <w:t xml:space="preserve"> </w:t>
      </w:r>
      <w:r>
        <w:rPr>
          <w:rStyle w:val="VerbatimChar"/>
        </w:rPr>
        <w:t xml:space="preserve">ctxnew</w:t>
      </w:r>
      <w:r>
        <w:t xml:space="preserve">,</w:t>
      </w:r>
      <w:r>
        <w:t xml:space="preserve"> </w:t>
      </w:r>
      <w:r>
        <w:rPr>
          <w:rStyle w:val="VerbatimChar"/>
        </w:rPr>
        <w:t xml:space="preserve">ntx</w:t>
      </w:r>
      <w:r>
        <w:t xml:space="preserve"> </w:t>
      </w:r>
      <w:r>
        <w:t xml:space="preserve">and</w:t>
      </w:r>
      <w:r>
        <w:t xml:space="preserve"> </w:t>
      </w:r>
      <w:r>
        <w:rPr>
          <w:rStyle w:val="VerbatimChar"/>
        </w:rPr>
        <w:t xml:space="preserve">shp</w:t>
      </w:r>
      <w:r>
        <w:t xml:space="preserve"> </w:t>
      </w:r>
      <w:r>
        <w:t xml:space="preserve">pick a Section-1 row by position with</w:t>
      </w:r>
      <w:r>
        <w:t xml:space="preserve"> </w:t>
      </w:r>
      <w:r>
        <w:rPr>
          <w:rStyle w:val="VerbatimChar"/>
        </w:rPr>
        <w:t xml:space="preserve">INDEX(range, position)</w:t>
      </w:r>
      <w:r>
        <w:t xml:space="preserve">.</w:t>
      </w:r>
    </w:p>
    <w:p>
      <w:pPr>
        <w:numPr>
          <w:ilvl w:val="0"/>
          <w:numId w:val="1001"/>
        </w:numPr>
        <w:pStyle w:val="Compact"/>
      </w:pPr>
      <w:r>
        <w:rPr>
          <w:bCs/>
          <w:b/>
        </w:rPr>
        <w:t xml:space="preserve">Short formulas (v1.07, NORMS section 3):</w:t>
      </w:r>
      <w:r>
        <w:t xml:space="preserve"> </w:t>
      </w:r>
      <w:r>
        <w:t xml:space="preserve">every cell formula has at most 100 characters (checked). Longer logic sits in the named LAMBDAs; data lookups use defined names for the data tables (</w:t>
      </w:r>
      <w:r>
        <w:rPr>
          <w:rStyle w:val="VerbatimChar"/>
        </w:rPr>
        <w:t xml:space="preserve">WEOVal</w:t>
      </w:r>
      <w:r>
        <w:t xml:space="preserve">,</w:t>
      </w:r>
      <w:r>
        <w:t xml:space="preserve"> </w:t>
      </w:r>
      <w:r>
        <w:rPr>
          <w:rStyle w:val="VerbatimChar"/>
        </w:rPr>
        <w:t xml:space="preserve">PDomVal</w:t>
      </w:r>
      <w:r>
        <w:t xml:space="preserve">,</w:t>
      </w:r>
      <w:r>
        <w:t xml:space="preserve"> </w:t>
      </w:r>
      <w:r>
        <w:rPr>
          <w:rStyle w:val="VerbatimChar"/>
        </w:rPr>
        <w:t xml:space="preserve">PPathVal</w:t>
      </w:r>
      <w:r>
        <w:t xml:space="preserve">,</w:t>
      </w:r>
      <w:r>
        <w:t xml:space="preserve"> </w:t>
      </w:r>
      <w:r>
        <w:rPr>
          <w:rStyle w:val="VerbatimChar"/>
        </w:rPr>
        <w:t xml:space="preserve">PTechVal</w:t>
      </w:r>
      <w:r>
        <w:t xml:space="preserve">,</w:t>
      </w:r>
      <w:r>
        <w:t xml:space="preserve"> </w:t>
      </w:r>
      <w:r>
        <w:rPr>
          <w:rStyle w:val="VerbatimChar"/>
        </w:rPr>
        <w:t xml:space="preserve">VarKey</w:t>
      </w:r>
      <w:r>
        <w:t xml:space="preserve">, …); multi-step formulas show their steps in helper rows (section 1:</w:t>
      </w:r>
      <w:r>
        <w:t xml:space="preserve"> </w:t>
      </w:r>
      <w:r>
        <w:rPr>
          <w:rStyle w:val="VerbatimChar"/>
        </w:rPr>
        <w:t xml:space="preserve">cp.t</w:t>
      </w:r>
      <w:r>
        <w:t xml:space="preserve">,</w:t>
      </w:r>
      <w:r>
        <w:t xml:space="preserve"> </w:t>
      </w:r>
      <w:r>
        <w:rPr>
          <w:rStyle w:val="VerbatimChar"/>
        </w:rPr>
        <w:t xml:space="preserve">cp.nom</w:t>
      </w:r>
      <w:r>
        <w:t xml:space="preserve">,</w:t>
      </w:r>
      <w:r>
        <w:t xml:space="preserve"> </w:t>
      </w:r>
      <w:r>
        <w:rPr>
          <w:rStyle w:val="VerbatimChar"/>
        </w:rPr>
        <w:t xml:space="preserve">ets.on</w:t>
      </w:r>
      <w:r>
        <w:t xml:space="preserve">,</w:t>
      </w:r>
      <w:r>
        <w:t xml:space="preserve"> </w:t>
      </w:r>
      <w:r>
        <w:rPr>
          <w:rStyle w:val="VerbatimChar"/>
        </w:rPr>
        <w:t xml:space="preserve">ets.vol</w:t>
      </w:r>
      <w:r>
        <w:t xml:space="preserve">,</w:t>
      </w:r>
      <w:r>
        <w:t xml:space="preserve"> </w:t>
      </w:r>
      <w:r>
        <w:rPr>
          <w:rStyle w:val="VerbatimChar"/>
        </w:rPr>
        <w:t xml:space="preserve">ets.imp</w:t>
      </w:r>
      <w:r>
        <w:t xml:space="preserve">,</w:t>
      </w:r>
      <w:r>
        <w:t xml:space="preserve"> </w:t>
      </w:r>
      <w:r>
        <w:rPr>
          <w:rStyle w:val="VerbatimChar"/>
        </w:rPr>
        <w:t xml:space="preserve">ets.chg</w:t>
      </w:r>
      <w:r>
        <w:t xml:space="preserve">, policy rates by sector</w:t>
      </w:r>
      <w:r>
        <w:t xml:space="preserve"> </w:t>
      </w:r>
      <w:r>
        <w:rPr>
          <w:rStyle w:val="VerbatimChar"/>
        </w:rPr>
        <w:t xml:space="preserve">ctr</w:t>
      </w:r>
      <w:r>
        <w:t xml:space="preserve">,</w:t>
      </w:r>
      <w:r>
        <w:t xml:space="preserve"> </w:t>
      </w:r>
      <w:r>
        <w:rPr>
          <w:rStyle w:val="VerbatimChar"/>
        </w:rPr>
        <w:t xml:space="preserve">etr</w:t>
      </w:r>
      <w:r>
        <w:t xml:space="preserve">,</w:t>
      </w:r>
      <w:r>
        <w:t xml:space="preserve"> </w:t>
      </w:r>
      <w:r>
        <w:rPr>
          <w:rStyle w:val="VerbatimChar"/>
        </w:rPr>
        <w:t xml:space="preserve">shpx</w:t>
      </w:r>
      <w:r>
        <w:t xml:space="preserve">; section 2:</w:t>
      </w:r>
      <w:r>
        <w:t xml:space="preserve"> </w:t>
      </w:r>
      <w:r>
        <w:rPr>
          <w:rStyle w:val="VerbatimChar"/>
        </w:rPr>
        <w:t xml:space="preserve">gp.src</w:t>
      </w:r>
      <w:r>
        <w:t xml:space="preserve">,</w:t>
      </w:r>
      <w:r>
        <w:t xml:space="preserve"> </w:t>
      </w:r>
      <w:r>
        <w:rPr>
          <w:rStyle w:val="VerbatimChar"/>
        </w:rPr>
        <w:t xml:space="preserve">gp.adj</w:t>
      </w:r>
      <w:r>
        <w:t xml:space="preserve">,</w:t>
      </w:r>
      <w:r>
        <w:t xml:space="preserve"> </w:t>
      </w:r>
      <w:r>
        <w:rPr>
          <w:rStyle w:val="VerbatimChar"/>
        </w:rPr>
        <w:t xml:space="preserve">gpn</w:t>
      </w:r>
      <w:r>
        <w:t xml:space="preserve">,</w:t>
      </w:r>
      <w:r>
        <w:t xml:space="preserve"> </w:t>
      </w:r>
      <w:r>
        <w:rPr>
          <w:rStyle w:val="VerbatimChar"/>
        </w:rPr>
        <w:t xml:space="preserve">txf</w:t>
      </w:r>
      <w:r>
        <w:t xml:space="preserve">; section 3:</w:t>
      </w:r>
      <w:r>
        <w:t xml:space="preserve"> </w:t>
      </w:r>
      <w:r>
        <w:rPr>
          <w:rStyle w:val="VerbatimChar"/>
        </w:rPr>
        <w:t xml:space="preserve">ecmin</w:t>
      </w:r>
      <w:r>
        <w:t xml:space="preserve">,</w:t>
      </w:r>
      <w:r>
        <w:t xml:space="preserve"> </w:t>
      </w:r>
      <w:r>
        <w:rPr>
          <w:rStyle w:val="VerbatimChar"/>
        </w:rPr>
        <w:t xml:space="preserve">ecshr</w:t>
      </w:r>
      <w:r>
        <w:t xml:space="preserve">; section 13:</w:t>
      </w:r>
      <w:r>
        <w:t xml:space="preserve"> </w:t>
      </w:r>
      <w:r>
        <w:rPr>
          <w:rStyle w:val="VerbatimChar"/>
        </w:rPr>
        <w:t xml:space="preserve">ets.lr</w:t>
      </w:r>
      <w:r>
        <w:t xml:space="preserve">) or helper columns (Inputs_prices by year, MTOutputs, ScenarioCompare). Fuel-use parameters: G = AEEI factor (1/(1+alpha))^(1+eps_U), F = efficiency exponent eps_F x (1+eps_U) (Inputs). Column H calls the LAMBDA</w:t>
      </w:r>
      <w:r>
        <w:t xml:space="preserve"> </w:t>
      </w:r>
      <w:r>
        <w:rPr>
          <w:rStyle w:val="VerbatimChar"/>
        </w:rPr>
        <w:t xml:space="preserve">ROWLABEL</w:t>
      </w:r>
      <w:r>
        <w:t xml:space="preserve">.</w:t>
      </w:r>
    </w:p>
    <w:p>
      <w:pPr>
        <w:numPr>
          <w:ilvl w:val="0"/>
          <w:numId w:val="1001"/>
        </w:numPr>
        <w:pStyle w:val="Compact"/>
      </w:pPr>
      <w:r>
        <w:rPr>
          <w:bCs/>
          <w:b/>
        </w:rPr>
        <w:t xml:space="preserve">Copy-pasteable:</w:t>
      </w:r>
      <w:r>
        <w:t xml:space="preserve"> </w:t>
      </w:r>
      <w:r>
        <w:t xml:space="preserve">every variable has one formula (relative R1C1) per column block across all subsectors, fuels and scenarios. Supply cost and taxes have separate history (2022-2024, data) and projection blocks without IF. The right column (2040) of every calculated row calls a named LAMBDA (84 in all, plus ROWLABEL for column H; Name Manager), which holds the IF between history and projection where needed, so it can be copied back over a whole row.</w:t>
      </w:r>
    </w:p>
    <w:p>
      <w:pPr>
        <w:numPr>
          <w:ilvl w:val="0"/>
          <w:numId w:val="1001"/>
        </w:numPr>
        <w:pStyle w:val="Compact"/>
      </w:pPr>
      <w:r>
        <w:rPr>
          <w:bCs/>
          <w:b/>
        </w:rPr>
        <w:t xml:space="preserve">Codes and labels.</w:t>
      </w:r>
      <w:r>
        <w:t xml:space="preserve"> </w:t>
      </w:r>
      <w:r>
        <w:t xml:space="preserve">Column A holds the variable code; description, unit and source come from</w:t>
      </w:r>
      <w:r>
        <w:t xml:space="preserve"> </w:t>
      </w:r>
      <w:r>
        <w:rPr>
          <w:rStyle w:val="VerbatimChar"/>
        </w:rPr>
        <w:t xml:space="preserve">Variables</w:t>
      </w:r>
      <w:r>
        <w:t xml:space="preserve">; each scenario group starts with a code column building</w:t>
      </w:r>
      <w:r>
        <w:t xml:space="preserve"> </w:t>
      </w:r>
      <w:r>
        <w:rPr>
          <w:rStyle w:val="VerbatimChar"/>
        </w:rPr>
        <w:t xml:space="preserve">country.mit.&lt;variable&gt;.&lt;subsector&gt;.&lt;fuel&gt;.&lt;suffix&gt;.&lt;scenario&gt;</w:t>
      </w:r>
      <w:r>
        <w:t xml:space="preserve"> </w:t>
      </w:r>
      <w:r>
        <w:t xml:space="preserve">(e.g. </w:t>
      </w:r>
      <w:r>
        <w:rPr>
          <w:rStyle w:val="VerbatimChar"/>
        </w:rPr>
        <w:t xml:space="preserve">egy.mit.ener.rod.gso.e.1</w:t>
      </w:r>
      <w:r>
        <w:t xml:space="preserve">).</w:t>
      </w:r>
    </w:p>
    <w:p>
      <w:pPr>
        <w:numPr>
          <w:ilvl w:val="0"/>
          <w:numId w:val="1001"/>
        </w:numPr>
        <w:pStyle w:val="Compact"/>
      </w:pPr>
      <w:r>
        <w:rPr>
          <w:bCs/>
          <w:b/>
        </w:rPr>
        <w:t xml:space="preserve">Roll-up (v0.15).</w:t>
      </w:r>
      <w:r>
        <w:t xml:space="preserve"> </w:t>
      </w:r>
      <w:r>
        <w:t xml:space="preserve">Mitigation is the first tab and opens at 75% zoom, fully rolled up (bands, sector totals, carbon price, retail prices, revenue and CO2 totals). Row group buttons sit below each group (summaryBelow). Columns are grouped at one level: B:G, I:K and 2030-2039 of each scenario. Each scenario group ends with a blank spacer column. Colours: darker beige = base year; light beige = blocks copy-pasteable within themselves but not draggable into white or base-year cells (LAMBDA column, 2023-2024 price history). Green section bands have white text.</w:t>
      </w:r>
    </w:p>
    <w:p>
      <w:pPr>
        <w:numPr>
          <w:ilvl w:val="0"/>
          <w:numId w:val="1001"/>
        </w:numPr>
        <w:pStyle w:val="Compact"/>
      </w:pPr>
      <w:r>
        <w:rPr>
          <w:bCs/>
          <w:b/>
        </w:rPr>
        <w:t xml:space="preserve">Parameters are global</w:t>
      </w:r>
      <w:r>
        <w:t xml:space="preserve">; scenarios differ only in their MTInputs columns. Country lookups via</w:t>
      </w:r>
      <w:r>
        <w:t xml:space="preserve"> </w:t>
      </w:r>
      <w:r>
        <w:rPr>
          <w:rStyle w:val="VerbatimChar"/>
        </w:rPr>
        <w:t xml:space="preserve">Settings!C4</w:t>
      </w:r>
      <w:r>
        <w:t xml:space="preserve"> </w:t>
      </w:r>
      <w:r>
        <w:t xml:space="preserve">(elasticities and prices for all CPAT countries; energy use, GDP and EFs Egypt only).</w:t>
      </w:r>
    </w:p>
    <w:bookmarkEnd w:id="21"/>
    <w:bookmarkStart w:id="22" w:name="files"/>
    <w:p>
      <w:pPr>
        <w:pStyle w:val="Heading3"/>
      </w:pPr>
      <w:r>
        <w:t xml:space="preserve">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CPAT-AI-Mitigation-MVP-v1.07.xlsm</w:t>
            </w:r>
          </w:p>
        </w:tc>
        <w:tc>
          <w:tcPr/>
          <w:p>
            <w:pPr>
              <w:pStyle w:val="Compact"/>
              <w:jc w:val="left"/>
            </w:pPr>
            <w:r>
              <w:t xml:space="preserve">Workbook (macro-enabled; formulas recalculate on open; StoredResults holds values, filled at build by a Python emulation of RunAllScenarios)</w:t>
            </w:r>
          </w:p>
        </w:tc>
      </w:tr>
      <w:tr>
        <w:tc>
          <w:tcPr/>
          <w:p>
            <w:pPr>
              <w:pStyle w:val="Compact"/>
              <w:jc w:val="left"/>
            </w:pPr>
            <w:r>
              <w:rPr>
                <w:rStyle w:val="VerbatimChar"/>
              </w:rPr>
              <w:t xml:space="preserve">build_v1_07.py</w:t>
            </w:r>
          </w:p>
        </w:tc>
        <w:tc>
          <w:tcPr/>
          <w:p>
            <w:pPr>
              <w:pStyle w:val="Compact"/>
              <w:jc w:val="left"/>
            </w:pPr>
            <w:r>
              <w:t xml:space="preserve">Builder (reads</w:t>
            </w:r>
            <w:r>
              <w:t xml:space="preserve"> </w:t>
            </w:r>
            <w:r>
              <w:rPr>
                <w:rStyle w:val="VerbatimChar"/>
              </w:rPr>
              <w:t xml:space="preserve">templates/MTInputs_template.xlsx</w:t>
            </w:r>
            <w:r>
              <w:t xml:space="preserve">) (openpyxl; no Excel COM needed); fills the baseline CO2 data rows from a LibreOffice recalculation of scenario 1; emulates the batch run for StoredResults; embeds the VBA module</w:t>
            </w:r>
          </w:p>
        </w:tc>
      </w:tr>
      <w:tr>
        <w:tc>
          <w:tcPr/>
          <w:p>
            <w:pPr>
              <w:pStyle w:val="Compact"/>
              <w:jc w:val="left"/>
            </w:pPr>
            <w:r>
              <w:rPr>
                <w:rStyle w:val="VerbatimChar"/>
              </w:rPr>
              <w:t xml:space="preserve">CPATScenarios_v0_2.bas</w:t>
            </w:r>
          </w:p>
        </w:tc>
        <w:tc>
          <w:tcPr/>
          <w:p>
            <w:pPr>
              <w:pStyle w:val="Compact"/>
              <w:jc w:val="left"/>
            </w:pPr>
            <w:r>
              <w:t xml:space="preserve">VBA module (batch run, ETS goal seek, store / clear results, first-run test CheckBatchRun); embedded in the .xlsm, also for import by hand</w:t>
            </w:r>
          </w:p>
        </w:tc>
      </w:tr>
      <w:tr>
        <w:tc>
          <w:tcPr/>
          <w:p>
            <w:pPr>
              <w:pStyle w:val="Compact"/>
              <w:jc w:val="left"/>
            </w:pPr>
            <w:r>
              <w:rPr>
                <w:rStyle w:val="VerbatimChar"/>
              </w:rPr>
              <w:t xml:space="preserve">vba_project_v0_1.py</w:t>
            </w:r>
          </w:p>
        </w:tc>
        <w:tc>
          <w:tcPr/>
          <w:p>
            <w:pPr>
              <w:pStyle w:val="Compact"/>
              <w:jc w:val="left"/>
            </w:pPr>
            <w:r>
              <w:t xml:space="preserve">Writes</w:t>
            </w:r>
            <w:r>
              <w:t xml:space="preserve"> </w:t>
            </w:r>
            <w:r>
              <w:rPr>
                <w:rStyle w:val="VerbatimChar"/>
              </w:rPr>
              <w:t xml:space="preserve">xl/vbaProject.bin</w:t>
            </w:r>
            <w:r>
              <w:t xml:space="preserve"> </w:t>
            </w:r>
            <w:r>
              <w:t xml:space="preserve">from VBA source without Excel (MS-OVBA compression, dir and PROJECT streams, compound file) and turns the .xlsx into an .xlsm</w:t>
            </w:r>
          </w:p>
        </w:tc>
      </w:tr>
      <w:tr>
        <w:tc>
          <w:tcPr/>
          <w:p>
            <w:pPr>
              <w:pStyle w:val="Compact"/>
              <w:jc w:val="left"/>
            </w:pPr>
            <w:r>
              <w:rPr>
                <w:rStyle w:val="VerbatimChar"/>
              </w:rPr>
              <w:t xml:space="preserve">lo_run_macro_v0_1.py</w:t>
            </w:r>
          </w:p>
        </w:tc>
        <w:tc>
          <w:tcPr/>
          <w:p>
            <w:pPr>
              <w:pStyle w:val="Compact"/>
              <w:jc w:val="left"/>
            </w:pPr>
            <w:r>
              <w:t xml:space="preserve">Runs a macro of an .xlsm in headless LibreOffice (used by the check)</w:t>
            </w:r>
          </w:p>
        </w:tc>
      </w:tr>
      <w:tr>
        <w:tc>
          <w:tcPr/>
          <w:p>
            <w:pPr>
              <w:pStyle w:val="Compact"/>
              <w:jc w:val="left"/>
            </w:pPr>
            <w:r>
              <w:rPr>
                <w:rStyle w:val="VerbatimChar"/>
              </w:rPr>
              <w:t xml:space="preserve">Scenarios_Method_v0_1.md</w:t>
            </w:r>
          </w:p>
        </w:tc>
        <w:tc>
          <w:tcPr/>
          <w:p>
            <w:pPr>
              <w:pStyle w:val="Compact"/>
              <w:jc w:val="left"/>
            </w:pPr>
            <w:r>
              <w:t xml:space="preserve">Scenario definitions, macros, StoredResults and ScenarioCompare</w:t>
            </w:r>
          </w:p>
        </w:tc>
      </w:tr>
      <w:tr>
        <w:tc>
          <w:tcPr/>
          <w:p>
            <w:pPr>
              <w:pStyle w:val="Compact"/>
              <w:jc w:val="left"/>
            </w:pPr>
            <w:r>
              <w:rPr>
                <w:rStyle w:val="VerbatimChar"/>
              </w:rPr>
              <w:t xml:space="preserve">ets_goalseek_v0_3.py</w:t>
            </w:r>
          </w:p>
        </w:tc>
        <w:tc>
          <w:tcPr/>
          <w:p>
            <w:pPr>
              <w:pStyle w:val="Compact"/>
              <w:jc w:val="left"/>
            </w:pPr>
            <w:r>
              <w:t xml:space="preserve">ETS goal seek in Python (same algorithm as the macro’s SolveETS; replaces legacy VBA OverrideETSFast): iterates the override row until covered emissions meet the cap; writes</w:t>
            </w:r>
            <w:r>
              <w:t xml:space="preserve"> </w:t>
            </w:r>
            <w:r>
              <w:rPr>
                <w:rStyle w:val="VerbatimChar"/>
              </w:rPr>
              <w:t xml:space="preserve">ets_override_s&lt;scenario&gt;.csv</w:t>
            </w:r>
          </w:p>
        </w:tc>
      </w:tr>
      <w:tr>
        <w:tc>
          <w:tcPr/>
          <w:p>
            <w:pPr>
              <w:pStyle w:val="Compact"/>
              <w:jc w:val="left"/>
            </w:pPr>
            <w:r>
              <w:rPr>
                <w:rStyle w:val="VerbatimChar"/>
              </w:rPr>
              <w:t xml:space="preserve">CPAT-AI-Mitigation-MVP_Documentation_v1.07.docx</w:t>
            </w:r>
            <w:r>
              <w:t xml:space="preserve">,</w:t>
            </w:r>
            <w:r>
              <w:t xml:space="preserve"> </w:t>
            </w:r>
            <w:r>
              <w:rPr>
                <w:rStyle w:val="VerbatimChar"/>
              </w:rPr>
              <w:t xml:space="preserve">make_docs_v1_07.py</w:t>
            </w:r>
          </w:p>
        </w:tc>
        <w:tc>
          <w:tcPr/>
          <w:p>
            <w:pPr>
              <w:pStyle w:val="Compact"/>
              <w:jc w:val="left"/>
            </w:pPr>
            <w:r>
              <w:t xml:space="preserve">Word documentation (overview, price method, ETS method, multiple scenarios, power prices, power engineer model; appendices: differences with legacy CPAT and version log read from the workbook, verification summary from the check report, presentations), assembled from the Markdown notes with pandoc</w:t>
            </w:r>
          </w:p>
        </w:tc>
      </w:tr>
      <w:tr>
        <w:tc>
          <w:tcPr/>
          <w:p>
            <w:pPr>
              <w:pStyle w:val="Compact"/>
              <w:jc w:val="left"/>
            </w:pPr>
            <w:r>
              <w:rPr>
                <w:rStyle w:val="VerbatimChar"/>
              </w:rPr>
              <w:t xml:space="preserve">ETS_Method_v0_1.md</w:t>
            </w:r>
          </w:p>
        </w:tc>
        <w:tc>
          <w:tcPr/>
          <w:p>
            <w:pPr>
              <w:pStyle w:val="Compact"/>
              <w:jc w:val="left"/>
            </w:pPr>
            <w:r>
              <w:t xml:space="preserve">New ETS method as implemented (cap, fast estimate, benchmarks, split, volatility, goal seek)</w:t>
            </w:r>
          </w:p>
        </w:tc>
      </w:tr>
      <w:tr>
        <w:tc>
          <w:tcPr/>
          <w:p>
            <w:pPr>
              <w:pStyle w:val="Compact"/>
              <w:jc w:val="left"/>
            </w:pPr>
            <w:r>
              <w:rPr>
                <w:rStyle w:val="VerbatimChar"/>
              </w:rPr>
              <w:t xml:space="preserve">extract_power_v0_3.py</w:t>
            </w:r>
            <w:r>
              <w:t xml:space="preserve">,</w:t>
            </w:r>
            <w:r>
              <w:t xml:space="preserve"> </w:t>
            </w:r>
            <w:r>
              <w:rPr>
                <w:rStyle w:val="VerbatimChar"/>
              </w:rPr>
              <w:t xml:space="preserve">PowerPrices_Method_v0_1.md</w:t>
            </w:r>
            <w:r>
              <w:t xml:space="preserve">,</w:t>
            </w:r>
            <w:r>
              <w:t xml:space="preserve"> </w:t>
            </w:r>
            <w:r>
              <w:rPr>
                <w:rStyle w:val="VerbatimChar"/>
              </w:rPr>
              <w:t xml:space="preserve">PowerModel_Method_v0_2.md</w:t>
            </w:r>
          </w:p>
        </w:tc>
        <w:tc>
          <w:tcPr/>
          <w:p>
            <w:pPr>
              <w:pStyle w:val="Compact"/>
              <w:jc w:val="left"/>
            </w:pPr>
            <w:r>
              <w:t xml:space="preserve">Power data from the legacy workbook (rows located by table id and label):</w:t>
            </w:r>
            <w:r>
              <w:t xml:space="preserve"> </w:t>
            </w:r>
            <w:r>
              <w:rPr>
                <w:rStyle w:val="VerbatimChar"/>
              </w:rPr>
              <w:t xml:space="preserve">data/power_tech.csv</w:t>
            </w:r>
            <w:r>
              <w:t xml:space="preserve"> </w:t>
            </w:r>
            <w:r>
              <w:t xml:space="preserve">(incl. capacity, base generation, retirement, investment permissions and scale-up rates),</w:t>
            </w:r>
            <w:r>
              <w:t xml:space="preserve"> </w:t>
            </w:r>
            <w:r>
              <w:rPr>
                <w:rStyle w:val="VerbatimChar"/>
              </w:rPr>
              <w:t xml:space="preserve">power_paths.csv</w:t>
            </w:r>
            <w:r>
              <w:t xml:space="preserve">,</w:t>
            </w:r>
            <w:r>
              <w:t xml:space="preserve"> </w:t>
            </w:r>
            <w:r>
              <w:rPr>
                <w:rStyle w:val="VerbatimChar"/>
              </w:rPr>
              <w:t xml:space="preserve">power_params.csv</w:t>
            </w:r>
            <w:r>
              <w:t xml:space="preserve">,</w:t>
            </w:r>
            <w:r>
              <w:t xml:space="preserve"> </w:t>
            </w:r>
            <w:r>
              <w:rPr>
                <w:rStyle w:val="VerbatimChar"/>
              </w:rPr>
              <w:t xml:space="preserve">power_demand.csv</w:t>
            </w:r>
            <w:r>
              <w:t xml:space="preserve">, and</w:t>
            </w:r>
            <w:r>
              <w:t xml:space="preserve"> </w:t>
            </w:r>
            <w:r>
              <w:rPr>
                <w:rStyle w:val="VerbatimChar"/>
              </w:rPr>
              <w:t xml:space="preserve">legacy_power_reference.csv</w:t>
            </w:r>
            <w:r>
              <w:t xml:space="preserve">,</w:t>
            </w:r>
            <w:r>
              <w:t xml:space="preserve"> </w:t>
            </w:r>
            <w:r>
              <w:rPr>
                <w:rStyle w:val="VerbatimChar"/>
              </w:rPr>
              <w:t xml:space="preserve">legacy_engineer_reference.csv</w:t>
            </w:r>
            <w:r>
              <w:t xml:space="preserve"> </w:t>
            </w:r>
            <w:r>
              <w:t xml:space="preserve">(cached legacy inputs and results of the baseline and the carbon-tax run, used only by the method tests); method notes</w:t>
            </w:r>
          </w:p>
        </w:tc>
      </w:tr>
      <w:tr>
        <w:tc>
          <w:tcPr/>
          <w:p>
            <w:pPr>
              <w:pStyle w:val="Compact"/>
              <w:jc w:val="left"/>
            </w:pPr>
            <w:r>
              <w:rPr>
                <w:rStyle w:val="VerbatimChar"/>
              </w:rPr>
              <w:t xml:space="preserve">power_model_ref_v0_2.py</w:t>
            </w:r>
          </w:p>
        </w:tc>
        <w:tc>
          <w:tcPr/>
          <w:p>
            <w:pPr>
              <w:pStyle w:val="Compact"/>
              <w:jc w:val="left"/>
            </w:pPr>
            <w:r>
              <w:t xml:space="preserve">Python reference of the engineer power model; switches for the ten legacy bugs (FIXES); planned retirement (v0.2); legacy test</w:t>
            </w:r>
          </w:p>
        </w:tc>
      </w:tr>
      <w:tr>
        <w:tc>
          <w:tcPr/>
          <w:p>
            <w:pPr>
              <w:pStyle w:val="Compact"/>
              <w:jc w:val="left"/>
            </w:pPr>
            <w:r>
              <w:rPr>
                <w:rStyle w:val="VerbatimChar"/>
              </w:rPr>
              <w:t xml:space="preserve">PowerModel_BugsAndImprovements_v1_0.docx</w:t>
            </w:r>
            <w:r>
              <w:t xml:space="preserve">,</w:t>
            </w:r>
            <w:r>
              <w:t xml:space="preserve"> </w:t>
            </w:r>
            <w:r>
              <w:rPr>
                <w:rStyle w:val="VerbatimChar"/>
              </w:rPr>
              <w:t xml:space="preserve">make_bugs_doc_v1_0.py</w:t>
            </w:r>
            <w:r>
              <w:t xml:space="preserve">,</w:t>
            </w:r>
            <w:r>
              <w:t xml:space="preserve"> </w:t>
            </w:r>
            <w:r>
              <w:rPr>
                <w:rStyle w:val="VerbatimChar"/>
              </w:rPr>
              <w:t xml:space="preserve">render_docx_v1_0.js</w:t>
            </w:r>
          </w:p>
        </w:tc>
        <w:tc>
          <w:tcPr/>
          <w:p>
            <w:pPr>
              <w:pStyle w:val="Compact"/>
              <w:jc w:val="left"/>
            </w:pPr>
            <w:r>
              <w:t xml:space="preserve">Word report: legacy bugs found, their effect on Egypt, improvements (numbers computed by the reference when the report is built)</w:t>
            </w:r>
          </w:p>
        </w:tc>
      </w:tr>
      <w:tr>
        <w:tc>
          <w:tcPr/>
          <w:p>
            <w:pPr>
              <w:pStyle w:val="Compact"/>
              <w:jc w:val="left"/>
            </w:pPr>
            <w:r>
              <w:rPr>
                <w:rStyle w:val="VerbatimChar"/>
              </w:rPr>
              <w:t xml:space="preserve">extract_data_v0_2.py</w:t>
            </w:r>
          </w:p>
        </w:tc>
        <w:tc>
          <w:tcPr/>
          <w:p>
            <w:pPr>
              <w:pStyle w:val="Compact"/>
              <w:jc w:val="left"/>
            </w:pPr>
            <w:r>
              <w:t xml:space="preserve">Writes</w:t>
            </w:r>
            <w:r>
              <w:t xml:space="preserve"> </w:t>
            </w:r>
            <w:r>
              <w:rPr>
                <w:rStyle w:val="VerbatimChar"/>
              </w:rPr>
              <w:t xml:space="preserve">data/*.csv</w:t>
            </w:r>
            <w:r>
              <w:t xml:space="preserve"> </w:t>
            </w:r>
            <w:r>
              <w:t xml:space="preserve">from the legacy workbook, the price-module data and kernel v1.6 (needs</w:t>
            </w:r>
            <w:r>
              <w:t xml:space="preserve"> </w:t>
            </w:r>
            <w:r>
              <w:rPr>
                <w:rStyle w:val="VerbatimChar"/>
              </w:rPr>
              <w:t xml:space="preserve">pyxlsb</w:t>
            </w:r>
            <w:r>
              <w:t xml:space="preserve">); v0.2 adds international prices by source, US CPI and GDP deflator, regional price assumptions</w:t>
            </w:r>
          </w:p>
        </w:tc>
      </w:tr>
      <w:tr>
        <w:tc>
          <w:tcPr/>
          <w:p>
            <w:pPr>
              <w:pStyle w:val="Compact"/>
              <w:jc w:val="left"/>
            </w:pPr>
            <w:r>
              <w:rPr>
                <w:rStyle w:val="VerbatimChar"/>
              </w:rPr>
              <w:t xml:space="preserve">update_prices_egypt_v0_1.py</w:t>
            </w:r>
          </w:p>
        </w:tc>
        <w:tc>
          <w:tcPr/>
          <w:p>
            <w:pPr>
              <w:pStyle w:val="Compact"/>
              <w:jc w:val="left"/>
            </w:pPr>
            <w:r>
              <w:t xml:space="preserve">Applies the corrected Egypt price block (</w:t>
            </w:r>
            <w:r>
              <w:rPr>
                <w:rStyle w:val="VerbatimChar"/>
              </w:rPr>
              <w:t xml:space="preserve">data/source/Egypt_Price_Data_2026-10-09.xlsx</w:t>
            </w:r>
            <w:r>
              <w:t xml:space="preserve">, user) to</w:t>
            </w:r>
            <w:r>
              <w:t xml:space="preserve"> </w:t>
            </w:r>
            <w:r>
              <w:rPr>
                <w:rStyle w:val="VerbatimChar"/>
              </w:rPr>
              <w:t xml:space="preserve">data/prices_dom.csv</w:t>
            </w:r>
            <w:r>
              <w:t xml:space="preserve"> </w:t>
            </w:r>
            <w:r>
              <w:t xml:space="preserve">(Egypt rows only; 2019-2020 added) and lists every changed cell in</w:t>
            </w:r>
            <w:r>
              <w:t xml:space="preserve"> </w:t>
            </w:r>
            <w:r>
              <w:rPr>
                <w:rStyle w:val="VerbatimChar"/>
              </w:rPr>
              <w:t xml:space="preserve">data/prices_dom_changes.csv</w:t>
            </w:r>
            <w:r>
              <w:t xml:space="preserve"> </w:t>
            </w:r>
            <w:r>
              <w:t xml:space="preserve">(marked bright yellow in the workbook)</w:t>
            </w:r>
          </w:p>
        </w:tc>
      </w:tr>
      <w:tr>
        <w:tc>
          <w:tcPr/>
          <w:p>
            <w:pPr>
              <w:pStyle w:val="Compact"/>
              <w:jc w:val="left"/>
            </w:pPr>
            <w:r>
              <w:rPr>
                <w:rStyle w:val="VerbatimChar"/>
              </w:rPr>
              <w:t xml:space="preserve">legacy_compare_v0_2.py</w:t>
            </w:r>
            <w:r>
              <w:t xml:space="preserve">,</w:t>
            </w:r>
            <w:r>
              <w:t xml:space="preserve"> </w:t>
            </w:r>
            <w:r>
              <w:rPr>
                <w:rStyle w:val="VerbatimChar"/>
              </w:rPr>
              <w:t xml:space="preserve">legacy_comparison_v0_1.md</w:t>
            </w:r>
            <w:r>
              <w:t xml:space="preserve">,</w:t>
            </w:r>
            <w:r>
              <w:t xml:space="preserve"> </w:t>
            </w:r>
            <w:r>
              <w:rPr>
                <w:rStyle w:val="VerbatimChar"/>
              </w:rPr>
              <w:t xml:space="preserve">data/legacy_cached_baseline.csv</w:t>
            </w:r>
          </w:p>
        </w:tc>
        <w:tc>
          <w:tcPr/>
          <w:p>
            <w:pPr>
              <w:pStyle w:val="Compact"/>
              <w:jc w:val="left"/>
            </w:pPr>
            <w:r>
              <w:t xml:space="preserve">Comparison of scenario 1 with the cached baseline of the legacy workbook (fuel use, after-tax prices, CO2 by subsector); variant with the last historical price year 2022</w:t>
            </w:r>
          </w:p>
        </w:tc>
      </w:tr>
      <w:tr>
        <w:tc>
          <w:tcPr/>
          <w:p>
            <w:pPr>
              <w:pStyle w:val="Compact"/>
              <w:jc w:val="left"/>
            </w:pPr>
            <w:r>
              <w:rPr>
                <w:rStyle w:val="VerbatimChar"/>
              </w:rPr>
              <w:t xml:space="preserve">ETS_Cap_Design_Options_v0_1.md</w:t>
            </w:r>
          </w:p>
        </w:tc>
        <w:tc>
          <w:tcPr/>
          <w:p>
            <w:pPr>
              <w:pStyle w:val="Compact"/>
              <w:jc w:val="left"/>
            </w:pPr>
            <w:r>
              <w:t xml:space="preserve">Options for a cap-based new-ETS price (legacy method, circularity, recommendation)</w:t>
            </w:r>
          </w:p>
        </w:tc>
      </w:tr>
      <w:tr>
        <w:tc>
          <w:tcPr/>
          <w:p>
            <w:pPr>
              <w:pStyle w:val="Compact"/>
              <w:jc w:val="left"/>
            </w:pPr>
            <w:r>
              <w:rPr>
                <w:rStyle w:val="VerbatimChar"/>
              </w:rPr>
              <w:t xml:space="preserve">ETS_Legacy_Algorithm_v0_1.md</w:t>
            </w:r>
          </w:p>
        </w:tc>
        <w:tc>
          <w:tcPr/>
          <w:p>
            <w:pPr>
              <w:pStyle w:val="Compact"/>
              <w:jc w:val="left"/>
            </w:pPr>
            <w:r>
              <w:t xml:space="preserve">Legacy ETS: fast semi-elasticity estimate, VBA goal seek, auctioned vs OBR split; proposed benchmark-based design</w:t>
            </w:r>
          </w:p>
        </w:tc>
      </w:tr>
      <w:tr>
        <w:tc>
          <w:tcPr/>
          <w:p>
            <w:pPr>
              <w:pStyle w:val="Compact"/>
              <w:jc w:val="left"/>
            </w:pPr>
            <w:r>
              <w:rPr>
                <w:rStyle w:val="VerbatimChar"/>
              </w:rPr>
              <w:t xml:space="preserve">presentation/CPAT-AI-Mitigation-MVP_AdvancedFeatures_v1.1.pptx</w:t>
            </w:r>
          </w:p>
        </w:tc>
        <w:tc>
          <w:tcPr/>
          <w:p>
            <w:pPr>
              <w:pStyle w:val="Compact"/>
              <w:jc w:val="left"/>
            </w:pPr>
            <w:r>
              <w:t xml:space="preserve">4 slides on the advanced features of v1.01-v1.04 for the team (v1.1: the next step names the first-run test macro; v1.0 in</w:t>
            </w:r>
            <w:r>
              <w:t xml:space="preserve"> </w:t>
            </w:r>
            <w:r>
              <w:rPr>
                <w:rStyle w:val="VerbatimChar"/>
              </w:rPr>
              <w:t xml:space="preserve">presentation/Old/</w:t>
            </w:r>
            <w:r>
              <w:t xml:space="preserve">) (what is new, cap-based ETS, scenario table and batch macro, stored results and comparison with quality numbers and next steps); built by</w:t>
            </w:r>
            <w:r>
              <w:t xml:space="preserve"> </w:t>
            </w:r>
            <w:r>
              <w:rPr>
                <w:rStyle w:val="VerbatimChar"/>
              </w:rPr>
              <w:t xml:space="preserve">presentation/build_deck_advanced_v1_1.js</w:t>
            </w:r>
            <w:r>
              <w:t xml:space="preserve"> </w:t>
            </w:r>
            <w:r>
              <w:t xml:space="preserve">from screenshots and chart data that</w:t>
            </w:r>
            <w:r>
              <w:t xml:space="preserve"> </w:t>
            </w:r>
            <w:r>
              <w:rPr>
                <w:rStyle w:val="VerbatimChar"/>
              </w:rPr>
              <w:t xml:space="preserve">presentation/make_screenshots_advanced_v1_0.py</w:t>
            </w:r>
            <w:r>
              <w:t xml:space="preserve"> </w:t>
            </w:r>
            <w:r>
              <w:t xml:space="preserve">renders from the v1.03 workbook</w:t>
            </w:r>
          </w:p>
        </w:tc>
      </w:tr>
      <w:tr>
        <w:tc>
          <w:tcPr/>
          <w:p>
            <w:pPr>
              <w:pStyle w:val="Compact"/>
              <w:jc w:val="left"/>
            </w:pPr>
            <w:r>
              <w:rPr>
                <w:rStyle w:val="VerbatimChar"/>
              </w:rPr>
              <w:t xml:space="preserve">presentation/CPAT-AI-Mitigation-MVP_Overview_v1.0.pptx</w:t>
            </w:r>
          </w:p>
        </w:tc>
        <w:tc>
          <w:tcPr/>
          <w:p>
            <w:pPr>
              <w:pStyle w:val="Compact"/>
              <w:jc w:val="left"/>
            </w:pPr>
            <w:r>
              <w:t xml:space="preserve">7-slide pitch + user guide (v1.00) (purpose, scope, problems and fixes, scenarios, left section, two formula styles, next steps); built by</w:t>
            </w:r>
            <w:r>
              <w:t xml:space="preserve"> </w:t>
            </w:r>
            <w:r>
              <w:rPr>
                <w:rStyle w:val="VerbatimChar"/>
              </w:rPr>
              <w:t xml:space="preserve">presentation/build_deck_v1_0.js</w:t>
            </w:r>
            <w:r>
              <w:t xml:space="preserve"> </w:t>
            </w:r>
            <w:r>
              <w:t xml:space="preserve">(pptxgenjs) from screenshots that</w:t>
            </w:r>
            <w:r>
              <w:t xml:space="preserve"> </w:t>
            </w:r>
            <w:r>
              <w:rPr>
                <w:rStyle w:val="VerbatimChar"/>
              </w:rPr>
              <w:t xml:space="preserve">presentation/make_screenshots_v1_0.py</w:t>
            </w:r>
            <w:r>
              <w:t xml:space="preserve"> </w:t>
            </w:r>
            <w:r>
              <w:t xml:space="preserve">renders from the workbook (</w:t>
            </w:r>
            <w:r>
              <w:rPr>
                <w:rStyle w:val="VerbatimChar"/>
              </w:rPr>
              <w:t xml:space="preserve">presentation/img/</w:t>
            </w:r>
            <w:r>
              <w:t xml:space="preserve">)</w:t>
            </w:r>
          </w:p>
        </w:tc>
      </w:tr>
      <w:tr>
        <w:tc>
          <w:tcPr/>
          <w:p>
            <w:pPr>
              <w:pStyle w:val="Compact"/>
              <w:jc w:val="left"/>
            </w:pPr>
            <w:r>
              <w:rPr>
                <w:rStyle w:val="VerbatimChar"/>
              </w:rPr>
              <w:t xml:space="preserve">PriceProjection_Method_v0.4.md</w:t>
            </w:r>
          </w:p>
        </w:tc>
        <w:tc>
          <w:tcPr/>
          <w:p>
            <w:pPr>
              <w:pStyle w:val="Compact"/>
              <w:jc w:val="left"/>
            </w:pPr>
            <w:r>
              <w:t xml:space="preserve">Price projection method as implemented, with the holistic real/nominal assumptions (A1-A11) and existing taxes and subsidies</w:t>
            </w:r>
          </w:p>
        </w:tc>
      </w:tr>
      <w:tr>
        <w:tc>
          <w:tcPr/>
          <w:p>
            <w:pPr>
              <w:pStyle w:val="Compact"/>
              <w:jc w:val="left"/>
            </w:pPr>
            <w:r>
              <w:rPr>
                <w:rStyle w:val="VerbatimChar"/>
              </w:rPr>
              <w:t xml:space="preserve">check_v1_07.py</w:t>
            </w:r>
          </w:p>
        </w:tc>
        <w:tc>
          <w:tcPr/>
          <w:p>
            <w:pPr>
              <w:pStyle w:val="Compact"/>
              <w:jc w:val="left"/>
            </w:pPr>
            <w:r>
              <w:t xml:space="preserve">LibreOffice checks: v1.07: every cell formula at most 100 characters, LAMBDAs expanded in every variant (ROWLABEL in column H), planned retirement switched on for gas and oil vs power_model_ref_v0_2, electricity demand memo lines, regression vs v1.06 on every shared code (no intended change); v1.06: power engineer model = legacy (power_model_ref_v0_1 with the bugs on reproduces 208 legacy rows of two runs), effect of each bug fix, workbook = Python with all fixes in every scenario test, power properties (generation = required generation, capacity balance, investment = need), power CO2 in section 13, regression vs v1.05 apart from the intended power and CO2 changes; v1.05: power method = legacy (Python reference with legacy inputs reproduces 80 cached legacy rows), workbook power block = Python for every scenario test, one formula per power block, power outline and codes, power properties (no policy cost in the baseline, price difference = policy cost, lag of the supply cost); errors only in the LAMBDA column, one R1C1 formula per block and per label/code column, LAMBDA encoding, LAMBDA expansion and drag-forward vs an independent Python recomputation, scenario-copy test with auto-numbering, expected CPAT codes, row outline, band format and summary lines, MTInputs = template, carbon price vs legacy trajectory, fuel price reform and feebate test scenarios (feebates lower fuel use only where covered), price chain (gp, sp, txo, rpb) vs an independent Python recomputation from the CSVs incl. price source IMF-WB*/High, nominal carbon price and price controls None/Manual, revenues and CO2 (per subsector and fuel, section 12 and 13 totals) vs Python, regression vs the previous version on all shared codes, MTOutputs equal to Mitigation by code (also with blocks 3-10 copied), chart series, column/row grouping, spacer column, light-beige blocks, rolled-up start, first tab and zoom, changed Egypt price cells marked, bright marking of changed data, column blocks (history / projection / LAMBDA), LAMBDA in the right column of every calculated row, LAMBDA copied back over whole rows, ETS = carbon tax test (override blank, no volatility, full auctioning), cap-based ETS vs Python (cap, estimate, OBR split), volatility adjustment = legacy 1/1.1, baseline CO2 data = scenario 1, goal seek meets the cap, LegacyDiff sheet; v1.03: scenario definitions, VBA module = .bas and document modules = sheet code names, StoredResults vs the recalculated workbook and the independent Python recomputation (incl. the ETS package at its stored prices), ScenarioCompare vs StoredResults, and the embedded macro run in LibreOffice reproducing StoredResults with column K restored; v1.04: CheckBatchRun run in LibreOffice (Result PASS) and a negative test with a broken lookup (Result FAIL)</w:t>
            </w:r>
          </w:p>
        </w:tc>
      </w:tr>
      <w:tr>
        <w:tc>
          <w:tcPr/>
          <w:p>
            <w:pPr>
              <w:pStyle w:val="Compact"/>
              <w:jc w:val="left"/>
            </w:pPr>
            <w:r>
              <w:rPr>
                <w:rStyle w:val="VerbatimChar"/>
              </w:rPr>
              <w:t xml:space="preserve">check_report_v1.07.md</w:t>
            </w:r>
          </w:p>
        </w:tc>
        <w:tc>
          <w:tcPr/>
          <w:p>
            <w:pPr>
              <w:pStyle w:val="Compact"/>
              <w:jc w:val="left"/>
            </w:pPr>
            <w:r>
              <w:t xml:space="preserve">Output of the last check run</w:t>
            </w:r>
          </w:p>
        </w:tc>
      </w:tr>
      <w:tr>
        <w:tc>
          <w:tcPr/>
          <w:p>
            <w:pPr>
              <w:pStyle w:val="Compact"/>
              <w:jc w:val="left"/>
            </w:pPr>
            <w:r>
              <w:rPr>
                <w:rStyle w:val="VerbatimChar"/>
              </w:rPr>
              <w:t xml:space="preserve">data/</w:t>
            </w:r>
          </w:p>
        </w:tc>
        <w:tc>
          <w:tcPr/>
          <w:p>
            <w:pPr>
              <w:pStyle w:val="Compact"/>
              <w:jc w:val="left"/>
            </w:pPr>
            <w:r>
              <w:t xml:space="preserve">Extracted source data (non-proprietary)</w:t>
            </w:r>
          </w:p>
        </w:tc>
      </w:tr>
      <w:tr>
        <w:tc>
          <w:tcPr/>
          <w:p>
            <w:pPr>
              <w:pStyle w:val="Compact"/>
              <w:jc w:val="left"/>
            </w:pPr>
            <w:r>
              <w:rPr>
                <w:rStyle w:val="VerbatimChar"/>
              </w:rPr>
              <w:t xml:space="preserve">Old/</w:t>
            </w:r>
          </w:p>
        </w:tc>
        <w:tc>
          <w:tcPr/>
          <w:p>
            <w:pPr>
              <w:pStyle w:val="Compact"/>
              <w:jc w:val="left"/>
            </w:pPr>
            <w:r>
              <w:t xml:space="preserve">v0.1-v0.16 workbooks (CPAT_Mitigation_CopyPaste_v0.x) and v1.00-v1.03, builders, check scripts and reports; method notes v0.1-v0.3; extract_data_v0_1</w:t>
            </w:r>
          </w:p>
        </w:tc>
      </w:tr>
    </w:tbl>
    <w:p>
      <w:pPr>
        <w:pStyle w:val="BodyText"/>
      </w:pPr>
      <w:r>
        <w:t xml:space="preserve">Rebuild:</w:t>
      </w:r>
      <w:r>
        <w:t xml:space="preserve"> </w:t>
      </w:r>
      <w:r>
        <w:rPr>
          <w:rStyle w:val="VerbatimChar"/>
        </w:rPr>
        <w:t xml:space="preserve">python extract_data_v0_2.py</w:t>
      </w:r>
      <w:r>
        <w:t xml:space="preserve"> </w:t>
      </w:r>
      <w:r>
        <w:t xml:space="preserve">(only if sources change),</w:t>
      </w:r>
      <w:r>
        <w:t xml:space="preserve"> </w:t>
      </w:r>
      <w:r>
        <w:rPr>
          <w:rStyle w:val="VerbatimChar"/>
        </w:rPr>
        <w:t xml:space="preserve">python update_prices_egypt_v0_1.py</w:t>
      </w:r>
      <w:r>
        <w:t xml:space="preserve"> </w:t>
      </w:r>
      <w:r>
        <w:t xml:space="preserve">(only if the Egypt block changes),</w:t>
      </w:r>
      <w:r>
        <w:t xml:space="preserve"> </w:t>
      </w:r>
      <w:r>
        <w:rPr>
          <w:rStyle w:val="VerbatimChar"/>
        </w:rPr>
        <w:t xml:space="preserve">python extract_power_v0_3.py</w:t>
      </w:r>
      <w:r>
        <w:t xml:space="preserve"> </w:t>
      </w:r>
      <w:r>
        <w:t xml:space="preserve">(only if the legacy power data change),</w:t>
      </w:r>
      <w:r>
        <w:t xml:space="preserve"> </w:t>
      </w:r>
      <w:r>
        <w:rPr>
          <w:rStyle w:val="VerbatimChar"/>
        </w:rPr>
        <w:t xml:space="preserve">python build_v1_07.py</w:t>
      </w:r>
      <w:r>
        <w:t xml:space="preserve">,</w:t>
      </w:r>
      <w:r>
        <w:t xml:space="preserve"> </w:t>
      </w:r>
      <w:r>
        <w:rPr>
          <w:rStyle w:val="VerbatimChar"/>
        </w:rPr>
        <w:t xml:space="preserve">python check_v1_07.py</w:t>
      </w:r>
      <w:r>
        <w:t xml:space="preserve">,</w:t>
      </w:r>
      <w:r>
        <w:t xml:space="preserve"> </w:t>
      </w:r>
      <w:r>
        <w:rPr>
          <w:rStyle w:val="VerbatimChar"/>
        </w:rPr>
        <w:t xml:space="preserve">python make_docs_v1_07.py</w:t>
      </w:r>
      <w:r>
        <w:t xml:space="preserve">,</w:t>
      </w:r>
      <w:r>
        <w:t xml:space="preserve"> </w:t>
      </w:r>
      <w:r>
        <w:rPr>
          <w:rStyle w:val="VerbatimChar"/>
        </w:rPr>
        <w:t xml:space="preserve">python make_bugs_doc_v1_0.py</w:t>
      </w:r>
      <w:r>
        <w:t xml:space="preserve">.</w:t>
      </w:r>
    </w:p>
    <w:bookmarkEnd w:id="22"/>
    <w:bookmarkStart w:id="23" w:name="add-a-scenario"/>
    <w:p>
      <w:pPr>
        <w:pStyle w:val="Heading3"/>
      </w:pPr>
      <w:r>
        <w:t xml:space="preserve">Add a scenario</w:t>
      </w:r>
    </w:p>
    <w:p>
      <w:pPr>
        <w:pStyle w:val="FirstParagraph"/>
      </w:pPr>
      <w:r>
        <w:rPr>
          <w:bCs/>
          <w:b/>
        </w:rPr>
        <w:t xml:space="preserve">Batch (v1.03, recommended):</w:t>
      </w:r>
      <w:r>
        <w:t xml:space="preserve"> </w:t>
      </w:r>
      <w:r>
        <w:t xml:space="preserve">copy the last scenario definition on</w:t>
      </w:r>
      <w:r>
        <w:t xml:space="preserve"> </w:t>
      </w:r>
      <w:r>
        <w:rPr>
          <w:rStyle w:val="VerbatimChar"/>
        </w:rPr>
        <w:t xml:space="preserve">MTInputs</w:t>
      </w:r>
      <w:r>
        <w:t xml:space="preserve"> </w:t>
      </w:r>
      <w:r>
        <w:t xml:space="preserve">(column N) one column to the right, edit its inputs and name (row 6), set row 4 Run? = Yes, then run the macro</w:t>
      </w:r>
      <w:r>
        <w:t xml:space="preserve"> </w:t>
      </w:r>
      <w:r>
        <w:rPr>
          <w:rStyle w:val="VerbatimChar"/>
        </w:rPr>
        <w:t xml:space="preserve">RunAllScenarios</w:t>
      </w:r>
      <w:r>
        <w:t xml:space="preserve"> </w:t>
      </w:r>
      <w:r>
        <w:t xml:space="preserve">(enable macros; Alt+F8). Results are stored as values in</w:t>
      </w:r>
      <w:r>
        <w:t xml:space="preserve"> </w:t>
      </w:r>
      <w:r>
        <w:rPr>
          <w:rStyle w:val="VerbatimChar"/>
        </w:rPr>
        <w:t xml:space="preserve">StoredResults</w:t>
      </w:r>
      <w:r>
        <w:t xml:space="preserve"> </w:t>
      </w:r>
      <w:r>
        <w:t xml:space="preserve">and compared in</w:t>
      </w:r>
      <w:r>
        <w:t xml:space="preserve"> </w:t>
      </w:r>
      <w:r>
        <w:rPr>
          <w:rStyle w:val="VerbatimChar"/>
        </w:rPr>
        <w:t xml:space="preserve">ScenarioCompare</w:t>
      </w:r>
      <w:r>
        <w:t xml:space="preserve">.</w:t>
      </w:r>
    </w:p>
    <w:p>
      <w:pPr>
        <w:pStyle w:val="BodyText"/>
      </w:pPr>
      <w:r>
        <w:rPr>
          <w:bCs/>
          <w:b/>
        </w:rPr>
        <w:t xml:space="preserve">Side by side:</w:t>
      </w:r>
      <w:r>
        <w:t xml:space="preserve"> </w:t>
      </w:r>
      <w:r>
        <w:t xml:space="preserve">a definition column is also a regular scenario column. Copy a whole group on</w:t>
      </w:r>
      <w:r>
        <w:t xml:space="preserve"> </w:t>
      </w:r>
      <w:r>
        <w:rPr>
          <w:rStyle w:val="VerbatimChar"/>
        </w:rPr>
        <w:t xml:space="preserve">Mitigation</w:t>
      </w:r>
      <w:r>
        <w:t xml:space="preserve"> </w:t>
      </w:r>
      <w:r>
        <w:t xml:space="preserve">(scenario 2 =</w:t>
      </w:r>
      <w:r>
        <w:t xml:space="preserve"> </w:t>
      </w:r>
      <w:r>
        <w:rPr>
          <w:rStyle w:val="VerbatimChar"/>
        </w:rPr>
        <w:t xml:space="preserve">AF:AZ</w:t>
      </w:r>
      <w:r>
        <w:t xml:space="preserve">: code column, years 2022-2040 and the blank spacer column) and paste at</w:t>
      </w:r>
      <w:r>
        <w:t xml:space="preserve"> </w:t>
      </w:r>
      <w:r>
        <w:rPr>
          <w:rStyle w:val="VerbatimChar"/>
        </w:rPr>
        <w:t xml:space="preserve">BA</w:t>
      </w:r>
      <w:r>
        <w:t xml:space="preserve">; it calculates the next scenario number (3 = the first definition, column L). Scenario numbers, names, codes and the carbon price update by themselves.</w:t>
      </w:r>
    </w:p>
    <w:bookmarkEnd w:id="23"/>
    <w:bookmarkStart w:id="24" w:name="roadmap-buckets"/>
    <w:p>
      <w:pPr>
        <w:pStyle w:val="Heading3"/>
      </w:pPr>
      <w:r>
        <w:t xml:space="preserve">Roadmap (buckets)</w:t>
      </w:r>
    </w:p>
    <w:p>
      <w:pPr>
        <w:numPr>
          <w:ilvl w:val="0"/>
          <w:numId w:val="1002"/>
        </w:numPr>
        <w:pStyle w:val="Compact"/>
      </w:pPr>
      <w:r>
        <w:t xml:space="preserve">Goal and spec (done, 2026-10-08).</w:t>
      </w:r>
    </w:p>
    <w:p>
      <w:pPr>
        <w:numPr>
          <w:ilvl w:val="0"/>
          <w:numId w:val="1002"/>
        </w:numPr>
        <w:pStyle w:val="Compact"/>
      </w:pPr>
      <w:r>
        <w:t xml:space="preserve">Skeleton with working equations, Egypt data: v0.1, revised to v0.2-v0.5 after review -</w:t>
      </w:r>
      <w:r>
        <w:t xml:space="preserve"> </w:t>
      </w:r>
      <w:r>
        <w:rPr>
          <w:bCs/>
          <w:b/>
        </w:rPr>
        <w:t xml:space="preserve">awaiting review in Excel</w:t>
      </w:r>
      <w:r>
        <w:t xml:space="preserve">.</w:t>
      </w:r>
    </w:p>
    <w:p>
      <w:pPr>
        <w:numPr>
          <w:ilvl w:val="0"/>
          <w:numId w:val="1002"/>
        </w:numPr>
        <w:pStyle w:val="Compact"/>
      </w:pPr>
      <w:r>
        <w:t xml:space="preserve">Copy-paste stress test: add a fuel, a subsector and a scenario by dragging; fix what breaks.</w:t>
      </w:r>
    </w:p>
    <w:p>
      <w:pPr>
        <w:numPr>
          <w:ilvl w:val="0"/>
          <w:numId w:val="1002"/>
        </w:numPr>
        <w:pStyle w:val="Compact"/>
      </w:pPr>
      <w:r>
        <w:t xml:space="preserve">Policies (bucket 6): 6a MTInputs and the carbon price (v0.6, done); 6b policy wedges and legacy section layout (v0.7, done); shadow price on the efficiency margin (v0.8, done); domestic price projection in real terms (v0.9, done); other oil products and VAT assumption (v0.10, done); ETS, sectoral shadow prices, existing taxes and subsidies, 2040 horizon (v0.11, done). Revenues (v0.12, done); CO2 from fuel combustion (v0.13, done); corrected Egypt price block (v0.14, done); layout: rolled up, Mitigation first at 75% (v0.15); one-level column groups incl. 2030-2039, spacer column between scenarios, light beige for LAMBDA and history blocks (v0.16); renamed CPAT-AI-Mitigation-MVP, v1.00, with a 7-slide overview deck (presentation/); MTOutputs and Charts sheets (v1.01); cap-based ETS with benchmarks, volatility adjustment and goal seek (v1.02); multiple scenarios with stored results, VBA batch run and scenario comparison (v1.03); first-run test macro for Excel (v1.04); power generation costs and electricity prices (v1.05); power engineer model with power CO2 and ten legacy bugs fixed (v1.06); short formulas, planned retirement, electricity demand memo lines, power indicators (v1.07). Next: other GHGs and local pollutants (electricity stays out of the sector fuel blocks: user decision v1.07). Next: ETS, regulations as shadow prices, subsidy phase-out.</w:t>
      </w:r>
    </w:p>
    <w:p>
      <w:pPr>
        <w:numPr>
          <w:ilvl w:val="0"/>
          <w:numId w:val="1002"/>
        </w:numPr>
        <w:pStyle w:val="Compact"/>
      </w:pPr>
      <w:r>
        <w:t xml:space="preserve">Numerical check against legacy CPAT for Egypt.</w:t>
      </w:r>
    </w:p>
    <w:p>
      <w:pPr>
        <w:numPr>
          <w:ilvl w:val="0"/>
          <w:numId w:val="1002"/>
        </w:numPr>
        <w:pStyle w:val="Compact"/>
      </w:pPr>
      <w:r>
        <w:t xml:space="preserve">Later: emissions, power, revenue/macro links, Python port.</w:t>
      </w:r>
    </w:p>
    <w:bookmarkEnd w:id="24"/>
    <w:bookmarkEnd w:id="25"/>
    <w:bookmarkStart w:id="35" w:name="domestic-energy-prices"/>
    <w:p>
      <w:pPr>
        <w:pStyle w:val="Heading1"/>
      </w:pPr>
      <w:r>
        <w:t xml:space="preserve">Domestic energy prices</w:t>
      </w:r>
    </w:p>
    <w:p>
      <w:pPr>
        <w:pStyle w:val="FirstParagraph"/>
      </w:pPr>
      <w:r>
        <w:rPr>
          <w:iCs/>
          <w:i/>
        </w:rPr>
        <w:t xml:space="preserve">Source:</w:t>
      </w:r>
      <w:r>
        <w:rPr>
          <w:iCs/>
          <w:i/>
        </w:rPr>
        <w:t xml:space="preserve"> </w:t>
      </w:r>
      <w:r>
        <w:rPr>
          <w:rStyle w:val="VerbatimChar"/>
          <w:iCs/>
          <w:i/>
        </w:rPr>
        <w:t xml:space="preserve">PriceProjection_Method_v0.4.md</w:t>
      </w:r>
      <w:r>
        <w:rPr>
          <w:iCs/>
          <w:i/>
        </w:rPr>
        <w:t xml:space="preserve">.</w:t>
      </w:r>
    </w:p>
    <w:p>
      <w:pPr>
        <w:pStyle w:val="BodyText"/>
      </w:pPr>
      <w:r>
        <w:t xml:space="preserve">Method note for section 2 of</w:t>
      </w:r>
      <w:r>
        <w:t xml:space="preserve"> </w:t>
      </w:r>
      <w:r>
        <w:rPr>
          <w:rStyle w:val="VerbatimChar"/>
        </w:rPr>
        <w:t xml:space="preserve">CPAT_Mitigation_CopyPaste_v0.11.xlsx</w:t>
      </w:r>
      <w:r>
        <w:t xml:space="preserve">. It describes how legacy CPAT projects energy prices, cut down to the basics, and how the workbook implements it. It leaves out subsidy phase-outs, price liberalisation, existing carbon prices and ETS, and electricity prices (the power module covers those). v0.1 (method only), v0.2 (v0.9, pure legacy rules) and v0.3 (v0.10) are in</w:t>
      </w:r>
      <w:r>
        <w:t xml:space="preserve"> </w:t>
      </w:r>
      <w:r>
        <w:rPr>
          <w:rStyle w:val="VerbatimChar"/>
        </w:rPr>
        <w:t xml:space="preserve">Old/</w:t>
      </w:r>
      <w:r>
        <w:t xml:space="preserve">. All differences with legacy are listed in the workbook sheet</w:t>
      </w:r>
      <w:r>
        <w:t xml:space="preserve"> </w:t>
      </w:r>
      <w:r>
        <w:rPr>
          <w:rStyle w:val="VerbatimChar"/>
        </w:rPr>
        <w:t xml:space="preserve">LegacyDiff</w:t>
      </w:r>
      <w:r>
        <w:t xml:space="preserve">. v0.10 changes two data rules by user decision (A10, A11); the changed cells are bright yellow with red text in</w:t>
      </w:r>
      <w:r>
        <w:t xml:space="preserve"> </w:t>
      </w:r>
      <w:r>
        <w:rPr>
          <w:rStyle w:val="VerbatimChar"/>
        </w:rPr>
        <w:t xml:space="preserve">Inputs_prices</w:t>
      </w:r>
      <w:r>
        <w:t xml:space="preserve">.</w:t>
      </w:r>
    </w:p>
    <w:p>
      <w:pPr>
        <w:pStyle w:val="BodyText"/>
      </w:pPr>
      <w:r>
        <w:t xml:space="preserve">Sources: CPAT documentation, Mitigation chapter 3.2 (github.com/cpmodel/cpat_public); legacy workbook</w:t>
      </w:r>
      <w:r>
        <w:t xml:space="preserve"> </w:t>
      </w:r>
      <w:r>
        <w:rPr>
          <w:rStyle w:val="VerbatimChar"/>
        </w:rPr>
        <w:t xml:space="preserve">CPAT 1.0pre_456_NoPropData.xlsb</w:t>
      </w:r>
      <w:r>
        <w:t xml:space="preserve">, sheet</w:t>
      </w:r>
      <w:r>
        <w:t xml:space="preserve"> </w:t>
      </w:r>
      <w:r>
        <w:rPr>
          <w:rStyle w:val="VerbatimChar"/>
        </w:rPr>
        <w:t xml:space="preserve">Mitigation</w:t>
      </w:r>
      <w:r>
        <w:t xml:space="preserve"> </w:t>
      </w:r>
      <w:r>
        <w:t xml:space="preserve">(rows 452/455 US deflator and CPI, 456/467/725 inflation indices, 633-695 international prices by source) and sheet</w:t>
      </w:r>
      <w:r>
        <w:t xml:space="preserve"> </w:t>
      </w:r>
      <w:r>
        <w:rPr>
          <w:rStyle w:val="VerbatimChar"/>
        </w:rPr>
        <w:t xml:space="preserve">Prices_int</w:t>
      </w:r>
      <w:r>
        <w:t xml:space="preserve"> </w:t>
      </w:r>
      <w:r>
        <w:t xml:space="preserve">(regional assumptions);</w:t>
      </w:r>
      <w:r>
        <w:t xml:space="preserve"> </w:t>
      </w:r>
      <w:r>
        <w:rPr>
          <w:rStyle w:val="VerbatimChar"/>
        </w:rPr>
        <w:t xml:space="preserve">cpat_coded/cpat_model/components/prices/</w:t>
      </w:r>
      <w:r>
        <w:t xml:space="preserve"> </w:t>
      </w:r>
      <w:r>
        <w:t xml:space="preserve">(</w:t>
      </w:r>
      <w:r>
        <w:rPr>
          <w:rStyle w:val="VerbatimChar"/>
        </w:rPr>
        <w:t xml:space="preserve">prices.py</w:t>
      </w:r>
      <w:r>
        <w:t xml:space="preserve">,</w:t>
      </w:r>
      <w:r>
        <w:t xml:space="preserve"> </w:t>
      </w:r>
      <w:r>
        <w:rPr>
          <w:rStyle w:val="VerbatimChar"/>
        </w:rPr>
        <w:t xml:space="preserve">domestic_prices.py</w:t>
      </w:r>
      <w:r>
        <w:t xml:space="preserve">,</w:t>
      </w:r>
      <w:r>
        <w:t xml:space="preserve"> </w:t>
      </w:r>
      <w:r>
        <w:rPr>
          <w:rStyle w:val="VerbatimChar"/>
        </w:rPr>
        <w:t xml:space="preserve">international_prices.py</w:t>
      </w:r>
      <w:r>
        <w:t xml:space="preserve">), which ports the legacy formulas line by line.</w:t>
      </w:r>
    </w:p>
    <w:bookmarkStart w:id="26" w:name="X4d94dfe61d313432298768d6434237e63269e5d"/>
    <w:p>
      <w:pPr>
        <w:pStyle w:val="Heading3"/>
      </w:pPr>
      <w:r>
        <w:t xml:space="preserve">0. Holistic assumptions: what the numbers mean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Assumption</w:t>
            </w:r>
          </w:p>
        </w:tc>
      </w:tr>
      <w:tr>
        <w:tc>
          <w:tcPr/>
          <w:p>
            <w:pPr>
              <w:pStyle w:val="Compact"/>
              <w:jc w:val="left"/>
            </w:pPr>
            <w:r>
              <w:t xml:space="preserve">A1</w:t>
            </w:r>
          </w:p>
        </w:tc>
        <w:tc>
          <w:tcPr/>
          <w:p>
            <w:pPr>
              <w:pStyle w:val="Compact"/>
              <w:jc w:val="left"/>
            </w:pPr>
            <w:r>
              <w:rPr>
                <w:bCs/>
                <w:b/>
              </w:rPr>
              <w:t xml:space="preserve">Every price, tax and policy value in the model is in real US dollars of the results year</w:t>
            </w:r>
            <w:r>
              <w:t xml:space="preserve"> </w:t>
            </w:r>
            <w:r>
              <w:t xml:space="preserve">(MTInputs</w:t>
            </w:r>
            <w:r>
              <w:t xml:space="preserve"> </w:t>
            </w:r>
            <w:r>
              <w:rPr>
                <w:rStyle w:val="VerbatimChar"/>
              </w:rPr>
              <w:t xml:space="preserve">ResultsYear</w:t>
            </w:r>
            <w:r>
              <w:t xml:space="preserve">, 2026, read from scenario 1; Settings C8), per GJ. A constant real price is a constant number. There is no inflation after the conversion, and fuel use responds only to real price changes.</w:t>
            </w:r>
          </w:p>
        </w:tc>
      </w:tr>
      <w:tr>
        <w:tc>
          <w:tcPr/>
          <w:p>
            <w:pPr>
              <w:pStyle w:val="Compact"/>
              <w:jc w:val="left"/>
            </w:pPr>
            <w:r>
              <w:t xml:space="preserve">A2</w:t>
            </w:r>
          </w:p>
        </w:tc>
        <w:tc>
          <w:tcPr/>
          <w:p>
            <w:pPr>
              <w:pStyle w:val="Compact"/>
              <w:jc w:val="left"/>
            </w:pPr>
            <w:r>
              <w:rPr>
                <w:bCs/>
                <w:b/>
              </w:rPr>
              <w:t xml:space="preserve">Two indices, both = 1 in the results year.</w:t>
            </w:r>
            <w:r>
              <w:t xml:space="preserve"> </w:t>
            </w:r>
            <w:r>
              <w:rPr>
                <w:rStyle w:val="VerbatimChar"/>
              </w:rPr>
              <w:t xml:space="preserve">infl</w:t>
            </w:r>
            <w:r>
              <w:t xml:space="preserve"> </w:t>
            </w:r>
            <w:r>
              <w:t xml:space="preserve">(row 8) = US CPI(ResultsYear) / US CPI(year) converts nominal</w:t>
            </w:r>
            <w:r>
              <w:t xml:space="preserve"> </w:t>
            </w:r>
            <w:r>
              <w:rPr>
                <w:iCs/>
                <w:i/>
              </w:rPr>
              <w:t xml:space="preserve">domestic</w:t>
            </w:r>
            <w:r>
              <w:t xml:space="preserve"> </w:t>
            </w:r>
            <w:r>
              <w:t xml:space="preserve">values.</w:t>
            </w:r>
            <w:r>
              <w:t xml:space="preserve"> </w:t>
            </w:r>
            <w:r>
              <w:rPr>
                <w:rStyle w:val="VerbatimChar"/>
              </w:rPr>
              <w:t xml:space="preserve">defl</w:t>
            </w:r>
            <w:r>
              <w:t xml:space="preserve"> </w:t>
            </w:r>
            <w:r>
              <w:t xml:space="preserve">(row 9) = US GDP deflator(ResultsYear) / deflator(year) converts nominal</w:t>
            </w:r>
            <w:r>
              <w:t xml:space="preserve"> </w:t>
            </w:r>
            <w:r>
              <w:rPr>
                <w:iCs/>
                <w:i/>
              </w:rPr>
              <w:t xml:space="preserve">international</w:t>
            </w:r>
            <w:r>
              <w:t xml:space="preserve"> </w:t>
            </w:r>
            <w:r>
              <w:t xml:space="preserve">prices. This is the legacy split: CPI rows 456/725, deflator row 467 (row 630 is its reciprocal). Up to 2030 they differ by up to 1.2% (2022: 1.137 vs 1.124; 2030: 0.918 vs 0.929), so one index would not reproduce legacy. Both are kept.</w:t>
            </w:r>
          </w:p>
        </w:tc>
      </w:tr>
      <w:tr>
        <w:tc>
          <w:tcPr/>
          <w:p>
            <w:pPr>
              <w:pStyle w:val="Compact"/>
              <w:jc w:val="left"/>
            </w:pPr>
            <w:r>
              <w:t xml:space="preserve">A3</w:t>
            </w:r>
          </w:p>
        </w:tc>
        <w:tc>
          <w:tcPr/>
          <w:p>
            <w:pPr>
              <w:pStyle w:val="Compact"/>
              <w:jc w:val="left"/>
            </w:pPr>
            <w:r>
              <w:rPr>
                <w:bCs/>
                <w:b/>
              </w:rPr>
              <w:t xml:space="preserve">Domestic price data are nominal USD of their own year</w:t>
            </w:r>
            <w:r>
              <w:t xml:space="preserve"> </w:t>
            </w:r>
            <w:r>
              <w:t xml:space="preserve">(IMF price dataset,</w:t>
            </w:r>
            <w:r>
              <w:t xml:space="preserve"> </w:t>
            </w:r>
            <w:r>
              <w:rPr>
                <w:rStyle w:val="VerbatimChar"/>
              </w:rPr>
              <w:t xml:space="preserve">Prices_dom</w:t>
            </w:r>
            <w:r>
              <w:t xml:space="preserve">: supply cost, excise and other taxes, retail price). Each is converted with</w:t>
            </w:r>
            <w:r>
              <w:t xml:space="preserve"> </w:t>
            </w:r>
            <w:r>
              <w:rPr>
                <w:rStyle w:val="VerbatimChar"/>
              </w:rPr>
              <w:t xml:space="preserve">infl</w:t>
            </w:r>
            <w:r>
              <w:t xml:space="preserve"> </w:t>
            </w:r>
            <w:r>
              <w:t xml:space="preserve">of that year and divided by GJ per price unit. Units: $/liter for gasoline, diesel, LPG and kerosene; $/bbl for other oil products; $/GJ for coal, gas and biomass.</w:t>
            </w:r>
          </w:p>
        </w:tc>
      </w:tr>
      <w:tr>
        <w:tc>
          <w:tcPr/>
          <w:p>
            <w:pPr>
              <w:pStyle w:val="Compact"/>
              <w:jc w:val="left"/>
            </w:pPr>
            <w:r>
              <w:t xml:space="preserve">A4</w:t>
            </w:r>
          </w:p>
        </w:tc>
        <w:tc>
          <w:tcPr/>
          <w:p>
            <w:pPr>
              <w:pStyle w:val="Compact"/>
              <w:jc w:val="left"/>
            </w:pPr>
            <w:r>
              <w:rPr>
                <w:bCs/>
                <w:b/>
              </w:rPr>
              <w:t xml:space="preserve">Forecasting coefficients are base-year (2022) nominal values</w:t>
            </w:r>
            <w:r>
              <w:t xml:space="preserve">: the margin over international prices and the domestic production cost. They are converted with</w:t>
            </w:r>
            <w:r>
              <w:t xml:space="preserve"> </w:t>
            </w:r>
            <w:r>
              <w:rPr>
                <w:rStyle w:val="VerbatimChar"/>
              </w:rPr>
              <w:t xml:space="preserve">infl(2022)</w:t>
            </w:r>
            <w:r>
              <w:t xml:space="preserve"> </w:t>
            </w:r>
            <w:r>
              <w:t xml:space="preserve">and then held constant in real terms. (</w:t>
            </w:r>
            <w:r>
              <w:rPr>
                <w:rStyle w:val="VerbatimChar"/>
              </w:rPr>
              <w:t xml:space="preserve">cpat_coded</w:t>
            </w:r>
            <w:r>
              <w:t xml:space="preserve"> </w:t>
            </w:r>
            <w:r>
              <w:t xml:space="preserve">applies no conversion here; to check against legacy in bucket 5.)</w:t>
            </w:r>
          </w:p>
        </w:tc>
      </w:tr>
      <w:tr>
        <w:tc>
          <w:tcPr/>
          <w:p>
            <w:pPr>
              <w:pStyle w:val="Compact"/>
              <w:jc w:val="left"/>
            </w:pPr>
            <w:r>
              <w:t xml:space="preserve">A5</w:t>
            </w:r>
          </w:p>
        </w:tc>
        <w:tc>
          <w:tcPr/>
          <w:p>
            <w:pPr>
              <w:pStyle w:val="Compact"/>
              <w:jc w:val="left"/>
            </w:pPr>
            <w:r>
              <w:rPr>
                <w:bCs/>
                <w:b/>
              </w:rPr>
              <w:t xml:space="preserve">International prices are nominal by source</w:t>
            </w:r>
            <w:r>
              <w:t xml:space="preserve"> </w:t>
            </w:r>
            <w:r>
              <w:t xml:space="preserve">(IMF, WB, IEA, EIA, averages, Manual). They are converted with</w:t>
            </w:r>
            <w:r>
              <w:t xml:space="preserve"> </w:t>
            </w:r>
            <w:r>
              <w:rPr>
                <w:rStyle w:val="VerbatimChar"/>
              </w:rPr>
              <w:t xml:space="preserve">defl</w:t>
            </w:r>
            <w:r>
              <w:t xml:space="preserve">. Only their year-on-year ratio moves the supply cost, so their units and level drop out. Beyond a source’s horizon the data hold them constant in real terms.</w:t>
            </w:r>
          </w:p>
        </w:tc>
      </w:tr>
      <w:tr>
        <w:tc>
          <w:tcPr/>
          <w:p>
            <w:pPr>
              <w:pStyle w:val="Compact"/>
              <w:jc w:val="left"/>
            </w:pPr>
            <w:r>
              <w:t xml:space="preserve">A6</w:t>
            </w:r>
          </w:p>
        </w:tc>
        <w:tc>
          <w:tcPr/>
          <w:p>
            <w:pPr>
              <w:pStyle w:val="Compact"/>
              <w:jc w:val="left"/>
            </w:pPr>
            <w:r>
              <w:rPr>
                <w:bCs/>
                <w:b/>
              </w:rPr>
              <w:t xml:space="preserve">MTInputs policy inputs are real (ResultsYear USD)</w:t>
            </w:r>
            <w:r>
              <w:t xml:space="preserve">: the carbon price, feebate rates and fuel price reform increases (in price units, e.g. $/liter real). Only the carbon price has a nominal option:</w:t>
            </w:r>
            <w:r>
              <w:t xml:space="preserve"> </w:t>
            </w:r>
            <w:r>
              <w:rPr>
                <w:rStyle w:val="VerbatimChar"/>
              </w:rPr>
              <w:t xml:space="preserve">NomorReal</w:t>
            </w:r>
            <w:r>
              <w:t xml:space="preserve"> </w:t>
            </w:r>
            <w:r>
              <w:t xml:space="preserve">= Nominal turns the path into nominal values, which are then multiplied by</w:t>
            </w:r>
            <w:r>
              <w:t xml:space="preserve"> </w:t>
            </w:r>
            <w:r>
              <w:rPr>
                <w:rStyle w:val="VerbatimChar"/>
              </w:rPr>
              <w:t xml:space="preserve">infl</w:t>
            </w:r>
            <w:r>
              <w:t xml:space="preserve"> </w:t>
            </w:r>
            <w:r>
              <w:t xml:space="preserve">(legacy row 2249).</w:t>
            </w:r>
          </w:p>
        </w:tc>
      </w:tr>
      <w:tr>
        <w:tc>
          <w:tcPr/>
          <w:p>
            <w:pPr>
              <w:pStyle w:val="Compact"/>
              <w:jc w:val="left"/>
            </w:pPr>
            <w:r>
              <w:t xml:space="preserve">A7</w:t>
            </w:r>
          </w:p>
        </w:tc>
        <w:tc>
          <w:tcPr/>
          <w:p>
            <w:pPr>
              <w:pStyle w:val="Compact"/>
              <w:jc w:val="left"/>
            </w:pPr>
            <w:r>
              <w:rPr>
                <w:bCs/>
                <w:b/>
              </w:rPr>
              <w:t xml:space="preserve">History vs projection.</w:t>
            </w:r>
            <w:r>
              <w:t xml:space="preserve"> </w:t>
            </w:r>
            <w:r>
              <w:t xml:space="preserve">Prices up to the last historical price year (Settings C10, 2024) come from data. Later years are projected. Fuel use is data in the base year (2022) and modelled from 2023, using the data prices for 2023-2024.</w:t>
            </w:r>
          </w:p>
        </w:tc>
      </w:tr>
      <w:tr>
        <w:tc>
          <w:tcPr/>
          <w:p>
            <w:pPr>
              <w:pStyle w:val="Compact"/>
              <w:jc w:val="left"/>
            </w:pPr>
            <w:r>
              <w:t xml:space="preserve">A8</w:t>
            </w:r>
          </w:p>
        </w:tc>
        <w:tc>
          <w:tcPr/>
          <w:p>
            <w:pPr>
              <w:pStyle w:val="Compact"/>
              <w:jc w:val="left"/>
            </w:pPr>
            <w:r>
              <w:rPr>
                <w:bCs/>
                <w:b/>
              </w:rPr>
              <w:t xml:space="preserve">Global vs per scenario.</w:t>
            </w:r>
            <w:r>
              <w:t xml:space="preserve"> </w:t>
            </w:r>
            <w:r>
              <w:t xml:space="preserve">Global (Settings, MTInputs scenario 1): results year, government price controls (pass-through), last historical year, the country’s gas market. Per scenario (its MTInputs column): international price source and High/Low adjustment, carbon price and its nominal/real switch, fuel price reform, feebates, coverage.</w:t>
            </w:r>
          </w:p>
        </w:tc>
      </w:tr>
      <w:tr>
        <w:tc>
          <w:tcPr/>
          <w:p>
            <w:pPr>
              <w:pStyle w:val="Compact"/>
              <w:jc w:val="left"/>
            </w:pPr>
            <w:r>
              <w:t xml:space="preserve">A9</w:t>
            </w:r>
          </w:p>
        </w:tc>
        <w:tc>
          <w:tcPr/>
          <w:p>
            <w:pPr>
              <w:pStyle w:val="Compact"/>
              <w:jc w:val="left"/>
            </w:pPr>
            <w:r>
              <w:rPr>
                <w:bCs/>
                <w:b/>
              </w:rPr>
              <w:t xml:space="preserve">Horizon.</w:t>
            </w:r>
            <w:r>
              <w:t xml:space="preserve"> </w:t>
            </w:r>
            <w:r>
              <w:t xml:space="preserve">Values after 2030 are not compared with legacy. The legacy CPI is held flat after 2031 (WEO horizon), the deflator is not, and some legacy rules (A10) misbehave over long horizons. The 2031-2040 columns compute (horizon 2040 since v0.11), but they are not a target.</w:t>
            </w:r>
          </w:p>
        </w:tc>
      </w:tr>
      <w:tr>
        <w:tc>
          <w:tcPr/>
          <w:p>
            <w:pPr>
              <w:pStyle w:val="Compact"/>
              <w:jc w:val="left"/>
            </w:pPr>
            <w:r>
              <w:t xml:space="preserve">A10</w:t>
            </w:r>
          </w:p>
        </w:tc>
        <w:tc>
          <w:tcPr/>
          <w:p>
            <w:pPr>
              <w:pStyle w:val="Compact"/>
              <w:jc w:val="left"/>
            </w:pPr>
            <w:r>
              <w:rPr>
                <w:bCs/>
                <w:b/>
              </w:rPr>
              <w:t xml:space="preserve">Legacy rules are copied as they are, with one exception.</w:t>
            </w:r>
            <w:r>
              <w:t xml:space="preserve"> </w:t>
            </w:r>
            <w:r>
              <w:t xml:space="preserve">Kept: with pass-through 0.5 or 0.8,</w:t>
            </w:r>
            <w:r>
              <w:t xml:space="preserve"> </w:t>
            </w:r>
            <w:r>
              <w:rPr>
                <w:rStyle w:val="VerbatimChar"/>
              </w:rPr>
              <w:t xml:space="preserve">txo</w:t>
            </w:r>
            <w:r>
              <w:t xml:space="preserve"> </w:t>
            </w:r>
            <w:r>
              <w:t xml:space="preserve">jumps in the first projected year (</w:t>
            </w:r>
            <w:r>
              <w:rPr>
                <w:rStyle w:val="VerbatimChar"/>
              </w:rPr>
              <w:t xml:space="preserve">cs_t</w:t>
            </w:r>
            <w:r>
              <w:t xml:space="preserve"> </w:t>
            </w:r>
            <w:r>
              <w:t xml:space="preserve">multiplies</w:t>
            </w:r>
            <w:r>
              <w:t xml:space="preserve"> </w:t>
            </w:r>
            <w:r>
              <w:rPr>
                <w:rStyle w:val="VerbatimChar"/>
              </w:rPr>
              <w:t xml:space="preserve">cs_L</w:t>
            </w:r>
            <w:r>
              <w:t xml:space="preserve"> </w:t>
            </w:r>
            <w:r>
              <w:t xml:space="preserve">by (1 - pcc) a second time).</w:t>
            </w:r>
            <w:r>
              <w:t xml:space="preserve"> </w:t>
            </w:r>
            <w:r>
              <w:rPr>
                <w:bCs/>
                <w:b/>
              </w:rPr>
              <w:t xml:space="preserve">Changed (v0.10, user decision): other oil products are treated like the other oil products</w:t>
            </w:r>
            <w:r>
              <w:t xml:space="preserve">, taking pass-through and margin from the dataset (Egypt: 0 and 7.95 $/bbl) instead of the legacy hardcodes 1 and 0. Under the legacy rule their retail price fell with the oil price to the 0.01 floor (v0.9: 3.79 $/GJ in 2024, 0.23 in 2030), and their fuel use rose 10x by 2030.</w:t>
            </w:r>
          </w:p>
        </w:tc>
      </w:tr>
      <w:tr>
        <w:tc>
          <w:tcPr/>
          <w:p>
            <w:pPr>
              <w:pStyle w:val="Compact"/>
              <w:jc w:val="left"/>
            </w:pPr>
            <w:r>
              <w:t xml:space="preserve">A11</w:t>
            </w:r>
          </w:p>
        </w:tc>
        <w:tc>
          <w:tcPr/>
          <w:p>
            <w:pPr>
              <w:pStyle w:val="Compact"/>
              <w:jc w:val="left"/>
            </w:pPr>
            <w:r>
              <w:rPr>
                <w:bCs/>
                <w:b/>
              </w:rPr>
              <w:t xml:space="preserve">VAT rate assumption (v0.10).</w:t>
            </w:r>
            <w:r>
              <w:t xml:space="preserve"> </w:t>
            </w:r>
            <w:r>
              <w:t xml:space="preserve">Use the dataset’s VAT rate (</w:t>
            </w:r>
            <w:r>
              <w:rPr>
                <w:rStyle w:val="VerbatimChar"/>
              </w:rPr>
              <w:t xml:space="preserve">mit.vatrate</w:t>
            </w:r>
            <w:r>
              <w:t xml:space="preserve">) where it is filled. Otherwise use the country’s general VAT rate (</w:t>
            </w:r>
            <w:r>
              <w:rPr>
                <w:rStyle w:val="VerbatimChar"/>
              </w:rPr>
              <w:t xml:space="preserve">VAT_WEO</w:t>
            </w:r>
            <w:r>
              <w:t xml:space="preserve">, Egypt 14%) for residential coal and gas and the all-sector oil products (gasoline, diesel, LPG, kerosene, other oil products), and 0 for power, industry (VAT is credited to firms) and biomass (largely informal). For Egypt the dataset’s own retail prices imply exactly this: rp = (sp + txo) x 1.14 for residential gas and the oil products, and rp = sp + txo for power and industry. Effects: historical oil-product retail prices now equal the dataset</w:t>
            </w:r>
            <w:r>
              <w:t xml:space="preserve"> </w:t>
            </w:r>
            <w:r>
              <w:rPr>
                <w:rStyle w:val="VerbatimChar"/>
              </w:rPr>
              <w:t xml:space="preserve">rp</w:t>
            </w:r>
            <w:r>
              <w:t xml:space="preserve"> </w:t>
            </w:r>
            <w:r>
              <w:t xml:space="preserve">(v0.9 was 14% lower), and new policies pay 14% VAT in those sectors.</w:t>
            </w:r>
          </w:p>
        </w:tc>
      </w:tr>
    </w:tbl>
    <w:bookmarkEnd w:id="26"/>
    <w:bookmarkStart w:id="27" w:name="dimensions-and-units"/>
    <w:p>
      <w:pPr>
        <w:pStyle w:val="Heading3"/>
      </w:pPr>
      <w:r>
        <w:t xml:space="preserve">1. Dimensions and units</w:t>
      </w:r>
    </w:p>
    <w:p>
      <w:pPr>
        <w:numPr>
          <w:ilvl w:val="0"/>
          <w:numId w:val="1003"/>
        </w:numPr>
        <w:pStyle w:val="Compact"/>
      </w:pPr>
      <w:r>
        <w:t xml:space="preserve">Prices are kept by</w:t>
      </w:r>
      <w:r>
        <w:t xml:space="preserve"> </w:t>
      </w:r>
      <w:r>
        <w:rPr>
          <w:bCs/>
          <w:b/>
        </w:rPr>
        <w:t xml:space="preserve">fuel x price sector</w:t>
      </w:r>
      <w:r>
        <w:t xml:space="preserve">, as in the IMF dataset. This gives 12 price fuels: coal and natural gas for power, residential and industry; gasoline, diesel, LPG, kerosene, other oil products and biomass for all sectors. Electricity is left to the power module. Subsectors take the price of their price sector (road and residential use the residential coal and gas prices).</w:t>
      </w:r>
    </w:p>
    <w:p>
      <w:pPr>
        <w:numPr>
          <w:ilvl w:val="0"/>
          <w:numId w:val="1003"/>
        </w:numPr>
        <w:pStyle w:val="Compact"/>
      </w:pPr>
      <w:r>
        <w:t xml:space="preserve">All in real $/GJ of the results year (A1-A3).</w:t>
      </w:r>
    </w:p>
    <w:bookmarkEnd w:id="27"/>
    <w:bookmarkStart w:id="28" w:name="international-prices-gp-4-rows"/>
    <w:p>
      <w:pPr>
        <w:pStyle w:val="Heading3"/>
      </w:pPr>
      <w:r>
        <w:t xml:space="preserve">2. International prices</w:t>
      </w:r>
      <w:r>
        <w:t xml:space="preserve"> </w:t>
      </w:r>
      <w:r>
        <w:rPr>
          <w:rStyle w:val="VerbatimChar"/>
        </w:rPr>
        <w:t xml:space="preserve">gp</w:t>
      </w:r>
      <w:r>
        <w:t xml:space="preserve"> </w:t>
      </w:r>
      <w:r>
        <w:t xml:space="preserve">(4 rows)</w:t>
      </w:r>
    </w:p>
    <w:p>
      <w:pPr>
        <w:pStyle w:val="FirstParagraph"/>
      </w:pPr>
      <w:r>
        <w:rPr>
          <w:rStyle w:val="VerbatimChar"/>
        </w:rPr>
        <w:t xml:space="preserve">gp_t = Prices_int[source|commodity]_t x defl_t x factor_t</w:t>
      </w:r>
    </w:p>
    <w:p>
      <w:pPr>
        <w:numPr>
          <w:ilvl w:val="0"/>
          <w:numId w:val="1004"/>
        </w:numPr>
        <w:pStyle w:val="Compact"/>
      </w:pPr>
      <w:r>
        <w:t xml:space="preserve">Source: MTInputs</w:t>
      </w:r>
      <w:r>
        <w:t xml:space="preserve"> </w:t>
      </w:r>
      <w:r>
        <w:rPr>
          <w:rStyle w:val="VerbatimChar"/>
        </w:rPr>
        <w:t xml:space="preserve">IntEnerPricForeSource</w:t>
      </w:r>
      <w:r>
        <w:t xml:space="preserve"> </w:t>
      </w:r>
      <w:r>
        <w:t xml:space="preserve">(row 220), with the asterisk dropped (</w:t>
      </w:r>
      <w:r>
        <w:rPr>
          <w:rStyle w:val="VerbatimChar"/>
        </w:rPr>
        <w:t xml:space="preserve">IMF-WB*</w:t>
      </w:r>
      <w:r>
        <w:t xml:space="preserve"> </w:t>
      </w:r>
      <w:r>
        <w:t xml:space="preserve">= average of IMF and WB).</w:t>
      </w:r>
    </w:p>
    <w:p>
      <w:pPr>
        <w:numPr>
          <w:ilvl w:val="0"/>
          <w:numId w:val="1004"/>
        </w:numPr>
        <w:pStyle w:val="Compact"/>
      </w:pPr>
      <w:r>
        <w:t xml:space="preserve">Commodity: crude oil (gasoline, diesel, LPG, kerosene, other oil products); coal; gas of the country’s market (</w:t>
      </w:r>
      <w:r>
        <w:rPr>
          <w:rStyle w:val="VerbatimChar"/>
        </w:rPr>
        <w:t xml:space="preserve">PriceAssump</w:t>
      </w:r>
      <w:r>
        <w:t xml:space="preserve">; Egypt</w:t>
      </w:r>
      <w:r>
        <w:t xml:space="preserve"> </w:t>
      </w:r>
      <w:r>
        <w:rPr>
          <w:iCs/>
          <w:i/>
        </w:rPr>
        <w:t xml:space="preserve">Global</w:t>
      </w:r>
      <w:r>
        <w:t xml:space="preserve"> </w:t>
      </w:r>
      <w:r>
        <w:t xml:space="preserve">= average of LNG, North America and Europe); a flat row of 1s (biomass).</w:t>
      </w:r>
    </w:p>
    <w:p>
      <w:pPr>
        <w:numPr>
          <w:ilvl w:val="0"/>
          <w:numId w:val="1004"/>
        </w:numPr>
        <w:pStyle w:val="Compact"/>
      </w:pPr>
      <w:r>
        <w:rPr>
          <w:rStyle w:val="VerbatimChar"/>
        </w:rPr>
        <w:t xml:space="preserve">factor</w:t>
      </w:r>
      <w:r>
        <w:t xml:space="preserve">: MTInputs</w:t>
      </w:r>
      <w:r>
        <w:t xml:space="preserve"> </w:t>
      </w:r>
      <w:r>
        <w:rPr>
          <w:rStyle w:val="VerbatimChar"/>
        </w:rPr>
        <w:t xml:space="preserve">IntEnerPricForecastAdjustment</w:t>
      </w:r>
      <w:r>
        <w:t xml:space="preserve"> </w:t>
      </w:r>
      <w:r>
        <w:t xml:space="preserve">(row 258).</w:t>
      </w:r>
      <w:r>
        <w:t xml:space="preserve"> </w:t>
      </w:r>
      <w:r>
        <w:rPr>
          <w:iCs/>
          <w:i/>
        </w:rPr>
        <w:t xml:space="preserve">Base</w:t>
      </w:r>
      <w:r>
        <w:t xml:space="preserve"> </w:t>
      </w:r>
      <w:r>
        <w:t xml:space="preserve">= 1;</w:t>
      </w:r>
      <w:r>
        <w:t xml:space="preserve"> </w:t>
      </w:r>
      <w:r>
        <w:rPr>
          <w:iCs/>
          <w:i/>
        </w:rPr>
        <w:t xml:space="preserve">High</w:t>
      </w:r>
      <w:r>
        <w:t xml:space="preserve"> </w:t>
      </w:r>
      <w:r>
        <w:t xml:space="preserve">/</w:t>
      </w:r>
      <w:r>
        <w:t xml:space="preserve"> </w:t>
      </w:r>
      <w:r>
        <w:rPr>
          <w:iCs/>
          <w:i/>
        </w:rPr>
        <w:t xml:space="preserve">Low</w:t>
      </w:r>
      <w:r>
        <w:t xml:space="preserve"> </w:t>
      </w:r>
      <w:r>
        <w:t xml:space="preserve">= 1.5 / 0.5 for oil and 1.25 / 0.75 for gas and coal, after the last historical year.</w:t>
      </w:r>
    </w:p>
    <w:bookmarkEnd w:id="28"/>
    <w:bookmarkStart w:id="29" w:name="supply-cost-sp"/>
    <w:p>
      <w:pPr>
        <w:pStyle w:val="Heading3"/>
      </w:pPr>
      <w:r>
        <w:t xml:space="preserve">3. Supply cost</w:t>
      </w:r>
      <w:r>
        <w:t xml:space="preserve"> </w:t>
      </w:r>
      <w:r>
        <w:rPr>
          <w:rStyle w:val="VerbatimChar"/>
        </w:rPr>
        <w:t xml:space="preserve">sp</w:t>
      </w:r>
    </w:p>
    <w:p>
      <w:pPr>
        <w:pStyle w:val="FirstParagraph"/>
      </w:pPr>
      <w:r>
        <w:rPr>
          <w:rStyle w:val="VerbatimChar"/>
        </w:rPr>
        <w:t xml:space="preserve">sp_t = fixsp + (sp_{t-1} - fixsp) x gp_t / gp_{t-1}</w:t>
      </w:r>
      <w:r>
        <w:t xml:space="preserve"> </w:t>
      </w:r>
      <w:r>
        <w:t xml:space="preserve">for t &gt; L; data for t &lt;= L.</w:t>
      </w:r>
    </w:p>
    <w:p>
      <w:pPr>
        <w:pStyle w:val="BodyText"/>
      </w:pPr>
      <w:r>
        <w:rPr>
          <w:rStyle w:val="VerbatimChar"/>
        </w:rPr>
        <w:t xml:space="preserve">fixsp = (margin + bucketed pass-through x production cost [coal, gas]) x infl(2022) / GJ per unit</w:t>
      </w:r>
      <w:r>
        <w:t xml:space="preserve">; the margin of biomass is 0 (legacy hardcode; other oil products from data since v0.10). This is legacy</w:t>
      </w:r>
      <w:r>
        <w:t xml:space="preserve"> </w:t>
      </w:r>
      <w:r>
        <w:rPr>
          <w:rStyle w:val="VerbatimChar"/>
        </w:rPr>
        <w:t xml:space="preserve">sp = fixsp + fltsp</w:t>
      </w:r>
      <w:r>
        <w:t xml:space="preserve"> </w:t>
      </w:r>
      <w:r>
        <w:t xml:space="preserve">with</w:t>
      </w:r>
      <w:r>
        <w:t xml:space="preserve"> </w:t>
      </w:r>
      <w:r>
        <w:rPr>
          <w:rStyle w:val="VerbatimChar"/>
        </w:rPr>
        <w:t xml:space="preserve">fltsp_t = fltsp_{t-1} x gp_t / gp_{t-1}</w:t>
      </w:r>
      <w:r>
        <w:t xml:space="preserve">. Producer subsidies (</w:t>
      </w:r>
      <w:r>
        <w:rPr>
          <w:rStyle w:val="VerbatimChar"/>
        </w:rPr>
        <w:t xml:space="preserve">ps</w:t>
      </w:r>
      <w:r>
        <w:t xml:space="preserve">) are left out (0 for Egypt).</w:t>
      </w:r>
    </w:p>
    <w:bookmarkEnd w:id="29"/>
    <w:bookmarkStart w:id="30" w:name="excise-and-other-taxes-txo-pass-through"/>
    <w:p>
      <w:pPr>
        <w:pStyle w:val="Heading3"/>
      </w:pPr>
      <w:r>
        <w:t xml:space="preserve">4. Excise and other taxes</w:t>
      </w:r>
      <w:r>
        <w:t xml:space="preserve"> </w:t>
      </w:r>
      <w:r>
        <w:rPr>
          <w:rStyle w:val="VerbatimChar"/>
        </w:rPr>
        <w:t xml:space="preserve">txo</w:t>
      </w:r>
      <w:r>
        <w:t xml:space="preserve"> </w:t>
      </w:r>
      <w:r>
        <w:t xml:space="preserve">(pass-through)</w:t>
      </w:r>
    </w:p>
    <w:p>
      <w:pPr>
        <w:numPr>
          <w:ilvl w:val="0"/>
          <w:numId w:val="1005"/>
        </w:numPr>
        <w:pStyle w:val="Compact"/>
      </w:pPr>
      <w:r>
        <w:t xml:space="preserve">Pass-through</w:t>
      </w:r>
      <w:r>
        <w:t xml:space="preserve"> </w:t>
      </w:r>
      <w:r>
        <w:rPr>
          <w:rStyle w:val="VerbatimChar"/>
        </w:rPr>
        <w:t xml:space="preserve">pcc</w:t>
      </w:r>
      <w:r>
        <w:t xml:space="preserve">: raw =</w:t>
      </w:r>
      <w:r>
        <w:t xml:space="preserve"> </w:t>
      </w:r>
      <w:r>
        <w:rPr>
          <w:rStyle w:val="VerbatimChar"/>
        </w:rPr>
        <w:t xml:space="preserve">mit.ps</w:t>
      </w:r>
      <w:r>
        <w:t xml:space="preserve"> </w:t>
      </w:r>
      <w:r>
        <w:t xml:space="preserve">of the base year (blank = 0; biomass = 1; other oil products from data since v0.10). Bucketed: &lt;= 0.25 -&gt; 0, &lt;= 0.5 -&gt; 0.5, else 1. Chosen per Settings C9 (</w:t>
      </w:r>
      <w:r>
        <w:rPr>
          <w:rStyle w:val="VerbatimChar"/>
        </w:rPr>
        <w:t xml:space="preserve">GovPriceControls</w:t>
      </w:r>
      <w:r>
        <w:t xml:space="preserve">):</w:t>
      </w:r>
      <w:r>
        <w:t xml:space="preserve"> </w:t>
      </w:r>
      <w:r>
        <w:rPr>
          <w:iCs/>
          <w:i/>
        </w:rPr>
        <w:t xml:space="preserve">Bucketed</w:t>
      </w:r>
      <w:r>
        <w:t xml:space="preserve"> </w:t>
      </w:r>
      <w:r>
        <w:t xml:space="preserve">(default),</w:t>
      </w:r>
      <w:r>
        <w:t xml:space="preserve"> </w:t>
      </w:r>
      <w:r>
        <w:rPr>
          <w:iCs/>
          <w:i/>
        </w:rPr>
        <w:t xml:space="preserve">Manual</w:t>
      </w:r>
      <w:r>
        <w:t xml:space="preserve"> </w:t>
      </w:r>
      <w:r>
        <w:t xml:space="preserve">= 0.8,</w:t>
      </w:r>
      <w:r>
        <w:t xml:space="preserve"> </w:t>
      </w:r>
      <w:r>
        <w:rPr>
          <w:iCs/>
          <w:i/>
        </w:rPr>
        <w:t xml:space="preserve">None</w:t>
      </w:r>
      <w:r>
        <w:t xml:space="preserve"> </w:t>
      </w:r>
      <w:r>
        <w:t xml:space="preserve">= 1. Egypt bucketed: coal 1, gas 0, oil products incl. other oil products 0, biomass 1.</w:t>
      </w:r>
    </w:p>
    <w:p>
      <w:pPr>
        <w:numPr>
          <w:ilvl w:val="0"/>
          <w:numId w:val="1005"/>
        </w:numPr>
        <w:pStyle w:val="Compact"/>
      </w:pPr>
      <w:r>
        <w:t xml:space="preserve">Historical</w:t>
      </w:r>
      <w:r>
        <w:t xml:space="preserve"> </w:t>
      </w:r>
      <w:r>
        <w:rPr>
          <w:rStyle w:val="VerbatimChar"/>
        </w:rPr>
        <w:t xml:space="preserve">txo</w:t>
      </w:r>
      <w:r>
        <w:t xml:space="preserve"> </w:t>
      </w:r>
      <w:r>
        <w:t xml:space="preserve">(as legacy):</w:t>
      </w:r>
    </w:p>
    <w:p>
      <w:pPr>
        <w:numPr>
          <w:ilvl w:val="1"/>
          <w:numId w:val="1006"/>
        </w:numPr>
        <w:pStyle w:val="Compact"/>
      </w:pPr>
      <w:r>
        <w:t xml:space="preserve">coal, gas and biomass:</w:t>
      </w:r>
      <w:r>
        <w:t xml:space="preserve"> </w:t>
      </w:r>
      <w:r>
        <w:rPr>
          <w:rStyle w:val="VerbatimChar"/>
        </w:rPr>
        <w:t xml:space="preserve">rp / (1 + vr) - sp</w:t>
      </w:r>
      <w:r>
        <w:t xml:space="preserve">;</w:t>
      </w:r>
    </w:p>
    <w:p>
      <w:pPr>
        <w:numPr>
          <w:ilvl w:val="1"/>
          <w:numId w:val="1006"/>
        </w:numPr>
        <w:pStyle w:val="Compact"/>
      </w:pPr>
      <w:r>
        <w:t xml:space="preserve">oil products: the dataset’s</w:t>
      </w:r>
      <w:r>
        <w:t xml:space="preserve"> </w:t>
      </w:r>
      <w:r>
        <w:rPr>
          <w:rStyle w:val="VerbatimChar"/>
        </w:rPr>
        <w:t xml:space="preserve">txo</w:t>
      </w:r>
      <w:r>
        <w:t xml:space="preserve"> </w:t>
      </w:r>
      <w:r>
        <w:t xml:space="preserve">(legacy builds their retail price as</w:t>
      </w:r>
      <w:r>
        <w:t xml:space="preserve"> </w:t>
      </w:r>
      <w:r>
        <w:rPr>
          <w:rStyle w:val="VerbatimChar"/>
        </w:rPr>
        <w:t xml:space="preserve">sp + txo</w:t>
      </w:r>
      <w:r>
        <w:t xml:space="preserve">, times</w:t>
      </w:r>
      <w:r>
        <w:t xml:space="preserve"> </w:t>
      </w:r>
      <w:r>
        <w:rPr>
          <w:rStyle w:val="VerbatimChar"/>
        </w:rPr>
        <w:t xml:space="preserve">(1 + vr)</w:t>
      </w:r>
      <w:r>
        <w:t xml:space="preserve">).</w:t>
      </w:r>
    </w:p>
    <w:p>
      <w:pPr>
        <w:numPr>
          <w:ilvl w:val="0"/>
          <w:numId w:val="1005"/>
        </w:numPr>
        <w:pStyle w:val="Compact"/>
      </w:pPr>
      <w:r>
        <w:t xml:space="preserve">Projected, with L = last historical year:</w:t>
      </w:r>
    </w:p>
    <w:p>
      <w:pPr>
        <w:numPr>
          <w:ilvl w:val="1"/>
          <w:numId w:val="1007"/>
        </w:numPr>
        <w:pStyle w:val="Compact"/>
      </w:pPr>
      <w:r>
        <w:rPr>
          <w:rStyle w:val="VerbatimChar"/>
        </w:rPr>
        <w:t xml:space="preserve">txo_t = txo_L x pcc + cs_t</w:t>
      </w:r>
      <w:r>
        <w:t xml:space="preserve">;</w:t>
      </w:r>
    </w:p>
    <w:p>
      <w:pPr>
        <w:numPr>
          <w:ilvl w:val="1"/>
          <w:numId w:val="1007"/>
        </w:numPr>
        <w:pStyle w:val="Compact"/>
      </w:pPr>
      <w:r>
        <w:rPr>
          <w:rStyle w:val="VerbatimChar"/>
        </w:rPr>
        <w:t xml:space="preserve">cs_t = (sp_L - sp_t + txo_L(1 - pcc)) x (1 - pcc)</w:t>
      </w:r>
      <w:r>
        <w:t xml:space="preserve">;</w:t>
      </w:r>
    </w:p>
    <w:p>
      <w:pPr>
        <w:numPr>
          <w:ilvl w:val="1"/>
          <w:numId w:val="1007"/>
        </w:numPr>
        <w:pStyle w:val="Compact"/>
      </w:pPr>
      <w:r>
        <w:t xml:space="preserve">if</w:t>
      </w:r>
      <w:r>
        <w:t xml:space="preserve"> </w:t>
      </w:r>
      <w:r>
        <w:rPr>
          <w:rStyle w:val="VerbatimChar"/>
        </w:rPr>
        <w:t xml:space="preserve">txo_L(1 - pcc) &gt;= 0</w:t>
      </w:r>
      <w:r>
        <w:t xml:space="preserve">, then</w:t>
      </w:r>
      <w:r>
        <w:t xml:space="preserve"> </w:t>
      </w:r>
      <w:r>
        <w:rPr>
          <w:rStyle w:val="VerbatimChar"/>
        </w:rPr>
        <w:t xml:space="preserve">cs_t = max(txo_L(1 - pcc), cs_t)</w:t>
      </w:r>
      <w:r>
        <w:t xml:space="preserve">.</w:t>
      </w:r>
    </w:p>
    <w:p>
      <w:pPr>
        <w:numPr>
          <w:ilvl w:val="0"/>
          <w:numId w:val="1005"/>
        </w:numPr>
        <w:pStyle w:val="Compact"/>
      </w:pPr>
      <w:r>
        <w:t xml:space="preserve">pcc = 1: supply-cost changes are passed on in full. pcc = 0: the retail price before new policies stays at its value in L, and the floating subsidy absorbs the change.</w:t>
      </w:r>
    </w:p>
    <w:bookmarkEnd w:id="30"/>
    <w:bookmarkStart w:id="31" w:name="X22b6b083602209ec724a3af71c05f0bdac641ee"/>
    <w:p>
      <w:pPr>
        <w:pStyle w:val="Heading3"/>
      </w:pPr>
      <w:r>
        <w:t xml:space="preserve">5. Retail price before new policies</w:t>
      </w:r>
      <w:r>
        <w:t xml:space="preserve"> </w:t>
      </w:r>
      <w:r>
        <w:rPr>
          <w:rStyle w:val="VerbatimChar"/>
        </w:rPr>
        <w:t xml:space="preserve">rpb</w:t>
      </w:r>
      <w:r>
        <w:t xml:space="preserve"> </w:t>
      </w:r>
      <w:r>
        <w:t xml:space="preserve">and the after-tax price</w:t>
      </w:r>
      <w:r>
        <w:t xml:space="preserve"> </w:t>
      </w:r>
      <w:r>
        <w:rPr>
          <w:rStyle w:val="VerbatimChar"/>
        </w:rPr>
        <w:t xml:space="preserve">atp</w:t>
      </w:r>
    </w:p>
    <w:p>
      <w:pPr>
        <w:pStyle w:val="FirstParagraph"/>
      </w:pPr>
      <w:r>
        <w:rPr>
          <w:rStyle w:val="VerbatimChar"/>
        </w:rPr>
        <w:t xml:space="preserve">rpb = (sp + txo) x (1 + vr)</w:t>
      </w:r>
      <w:r>
        <w:t xml:space="preserve">, where</w:t>
      </w:r>
      <w:r>
        <w:t xml:space="preserve"> </w:t>
      </w:r>
      <w:r>
        <w:rPr>
          <w:rStyle w:val="VerbatimChar"/>
        </w:rPr>
        <w:t xml:space="preserve">vr</w:t>
      </w:r>
      <w:r>
        <w:t xml:space="preserve"> </w:t>
      </w:r>
      <w:r>
        <w:t xml:space="preserve">is the VAT rate of L (A11).</w:t>
      </w:r>
    </w:p>
    <w:p>
      <w:pPr>
        <w:pStyle w:val="BodyText"/>
      </w:pPr>
      <w:r>
        <w:t xml:space="preserve">By subsector:</w:t>
      </w:r>
      <w:r>
        <w:t xml:space="preserve"> </w:t>
      </w:r>
      <w:r>
        <w:rPr>
          <w:rStyle w:val="VerbatimChar"/>
        </w:rPr>
        <w:t xml:space="preserve">atp = max(rpb[price fuel] + nce x (1 + vr), 0.01)</w:t>
      </w:r>
      <w:r>
        <w:t xml:space="preserve">. New policies (</w:t>
      </w:r>
      <w:r>
        <w:rPr>
          <w:rStyle w:val="VerbatimChar"/>
        </w:rPr>
        <w:t xml:space="preserve">nce</w:t>
      </w:r>
      <w:r>
        <w:t xml:space="preserve"> </w:t>
      </w:r>
      <w:r>
        <w:t xml:space="preserve">= new carbon tax + new excise) are passed through in full and pay VAT (legacy</w:t>
      </w:r>
      <w:r>
        <w:t xml:space="preserve"> </w:t>
      </w:r>
      <w:r>
        <w:rPr>
          <w:rStyle w:val="VerbatimChar"/>
        </w:rPr>
        <w:t xml:space="preserve">vat = (sp + txo) x vr</w:t>
      </w:r>
      <w:r>
        <w:t xml:space="preserve"> </w:t>
      </w:r>
      <w:r>
        <w:t xml:space="preserve">with</w:t>
      </w:r>
      <w:r>
        <w:t xml:space="preserve"> </w:t>
      </w:r>
      <w:r>
        <w:rPr>
          <w:rStyle w:val="VerbatimChar"/>
        </w:rPr>
        <w:t xml:space="preserve">nce</w:t>
      </w:r>
      <w:r>
        <w:t xml:space="preserve"> </w:t>
      </w:r>
      <w:r>
        <w:t xml:space="preserve">inside</w:t>
      </w:r>
      <w:r>
        <w:t xml:space="preserve"> </w:t>
      </w:r>
      <w:r>
        <w:rPr>
          <w:rStyle w:val="VerbatimChar"/>
        </w:rPr>
        <w:t xml:space="preserve">txo</w:t>
      </w:r>
      <w:r>
        <w:t xml:space="preserve">). The 0.01 floor is legacy’s.</w:t>
      </w:r>
    </w:p>
    <w:bookmarkEnd w:id="31"/>
    <w:bookmarkStart w:id="32" w:name="existing-taxes-and-subsidies-v0.11"/>
    <w:p>
      <w:pPr>
        <w:pStyle w:val="Heading3"/>
      </w:pPr>
      <w:r>
        <w:t xml:space="preserve">6. Existing taxes and subsidies (v0.11)</w:t>
      </w:r>
    </w:p>
    <w:p>
      <w:pPr>
        <w:pStyle w:val="FirstParagraph"/>
      </w:pPr>
      <w:r>
        <w:t xml:space="preserve">Per price fuel and year, real $/GJ:</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w:t>
            </w:r>
          </w:p>
        </w:tc>
        <w:tc>
          <w:tcPr/>
          <w:p>
            <w:pPr>
              <w:pStyle w:val="Compact"/>
              <w:jc w:val="left"/>
            </w:pPr>
            <w:r>
              <w:t xml:space="preserve">Formula</w:t>
            </w:r>
          </w:p>
        </w:tc>
        <w:tc>
          <w:tcPr/>
          <w:p>
            <w:pPr>
              <w:pStyle w:val="Compact"/>
              <w:jc w:val="left"/>
            </w:pPr>
            <w:r>
              <w:t xml:space="preserve">Use</w:t>
            </w:r>
          </w:p>
        </w:tc>
      </w:tr>
      <w:tr>
        <w:tc>
          <w:tcPr/>
          <w:p>
            <w:pPr>
              <w:pStyle w:val="Compact"/>
              <w:jc w:val="left"/>
            </w:pPr>
            <w:r>
              <w:rPr>
                <w:rStyle w:val="VerbatimChar"/>
              </w:rPr>
              <w:t xml:space="preserve">vat</w:t>
            </w:r>
          </w:p>
        </w:tc>
        <w:tc>
          <w:tcPr/>
          <w:p>
            <w:pPr>
              <w:pStyle w:val="Compact"/>
              <w:jc w:val="left"/>
            </w:pPr>
            <w:r>
              <w:t xml:space="preserve">(sp + txo) x vr</w:t>
            </w:r>
          </w:p>
        </w:tc>
        <w:tc>
          <w:tcPr/>
          <w:p>
            <w:pPr>
              <w:pStyle w:val="Compact"/>
              <w:jc w:val="left"/>
            </w:pPr>
            <w:r>
              <w:t xml:space="preserve">VAT payment before new policies (revenue)</w:t>
            </w:r>
          </w:p>
        </w:tc>
      </w:tr>
      <w:tr>
        <w:tc>
          <w:tcPr/>
          <w:p>
            <w:pPr>
              <w:pStyle w:val="Compact"/>
              <w:jc w:val="left"/>
            </w:pPr>
            <w:r>
              <w:rPr>
                <w:rStyle w:val="VerbatimChar"/>
              </w:rPr>
              <w:t xml:space="preserve">etx</w:t>
            </w:r>
          </w:p>
        </w:tc>
        <w:tc>
          <w:tcPr/>
          <w:p>
            <w:pPr>
              <w:pStyle w:val="Compact"/>
              <w:jc w:val="left"/>
            </w:pPr>
            <w:r>
              <w:t xml:space="preserve">max(txo, 0)</w:t>
            </w:r>
          </w:p>
        </w:tc>
        <w:tc>
          <w:tcPr/>
          <w:p>
            <w:pPr>
              <w:pStyle w:val="Compact"/>
              <w:jc w:val="left"/>
            </w:pPr>
            <w:r>
              <w:t xml:space="preserve">existing excise and other taxes (revenue)</w:t>
            </w:r>
          </w:p>
        </w:tc>
      </w:tr>
      <w:tr>
        <w:tc>
          <w:tcPr/>
          <w:p>
            <w:pPr>
              <w:pStyle w:val="Compact"/>
              <w:jc w:val="left"/>
            </w:pPr>
            <w:r>
              <w:rPr>
                <w:rStyle w:val="VerbatimChar"/>
              </w:rPr>
              <w:t xml:space="preserve">esub</w:t>
            </w:r>
          </w:p>
        </w:tc>
        <w:tc>
          <w:tcPr/>
          <w:p>
            <w:pPr>
              <w:pStyle w:val="Compact"/>
              <w:jc w:val="left"/>
            </w:pPr>
            <w:r>
              <w:t xml:space="preserve">max(-txo, 0)</w:t>
            </w:r>
          </w:p>
        </w:tc>
        <w:tc>
          <w:tcPr/>
          <w:p>
            <w:pPr>
              <w:pStyle w:val="Compact"/>
              <w:jc w:val="left"/>
            </w:pPr>
            <w:r>
              <w:t xml:space="preserve">existing consumer subsidy, positive number (fiscal cost)</w:t>
            </w:r>
          </w:p>
        </w:tc>
      </w:tr>
      <w:tr>
        <w:tc>
          <w:tcPr/>
          <w:p>
            <w:pPr>
              <w:pStyle w:val="Compact"/>
              <w:jc w:val="left"/>
            </w:pPr>
            <w:r>
              <w:rPr>
                <w:rStyle w:val="VerbatimChar"/>
              </w:rPr>
              <w:t xml:space="preserve">esubpu</w:t>
            </w:r>
          </w:p>
        </w:tc>
        <w:tc>
          <w:tcPr/>
          <w:p>
            <w:pPr>
              <w:pStyle w:val="Compact"/>
              <w:jc w:val="left"/>
            </w:pPr>
            <w:r>
              <w:t xml:space="preserve">esub x GJ per price unit</w:t>
            </w:r>
          </w:p>
        </w:tc>
        <w:tc>
          <w:tcPr/>
          <w:p>
            <w:pPr>
              <w:pStyle w:val="Compact"/>
              <w:jc w:val="left"/>
            </w:pPr>
            <w:r>
              <w:t xml:space="preserve">the subsidy in MTInputs price units ($/liter, $/bbl, $/GJ): input for a later per-fuel policy (subsidy reform via the fuel price reform rows 142-169, which use the same units)</w:t>
            </w:r>
          </w:p>
        </w:tc>
      </w:tr>
    </w:tbl>
    <w:p>
      <w:pPr>
        <w:pStyle w:val="BodyText"/>
      </w:pPr>
      <w:r>
        <w:t xml:space="preserve">Legacy splits txo into a fixed tax (</w:t>
      </w:r>
      <w:r>
        <w:rPr>
          <w:rStyle w:val="VerbatimChar"/>
        </w:rPr>
        <w:t xml:space="preserve">fadtx</w:t>
      </w:r>
      <w:r>
        <w:t xml:space="preserve">), a fixed subsidy (</w:t>
      </w:r>
      <w:r>
        <w:rPr>
          <w:rStyle w:val="VerbatimChar"/>
        </w:rPr>
        <w:t xml:space="preserve">fixs</w:t>
      </w:r>
      <w:r>
        <w:t xml:space="preserve">) and a floating part (</w:t>
      </w:r>
      <w:r>
        <w:rPr>
          <w:rStyle w:val="VerbatimChar"/>
        </w:rPr>
        <w:t xml:space="preserve">cs</w:t>
      </w:r>
      <w:r>
        <w:t xml:space="preserve">); the sign split here gives the same totals. Revenue (section 12, next step) = fuel use x (etx + vat - esub) for existing taxes, plus new carbon tax, new excise, ETS x auctioned share and VAT on new policies.</w:t>
      </w:r>
    </w:p>
    <w:bookmarkEnd w:id="32"/>
    <w:bookmarkStart w:id="33" w:name="X217e1192cde3a3cab351214e5e668b32318f46d"/>
    <w:p>
      <w:pPr>
        <w:pStyle w:val="Heading3"/>
      </w:pPr>
      <w:r>
        <w:t xml:space="preserve">7. Layout in the workbook (section 2, per scenario group)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Rows</w:t>
            </w:r>
          </w:p>
        </w:tc>
        <w:tc>
          <w:tcPr/>
          <w:p>
            <w:pPr>
              <w:pStyle w:val="Compact"/>
              <w:jc w:val="left"/>
            </w:pPr>
            <w:r>
              <w:t xml:space="preserve">Content</w:t>
            </w:r>
          </w:p>
        </w:tc>
        <w:tc>
          <w:tcPr/>
          <w:p>
            <w:pPr>
              <w:pStyle w:val="Compact"/>
              <w:jc w:val="left"/>
            </w:pPr>
            <w:r>
              <w:t xml:space="preserve">Hidden params (D:G)</w:t>
            </w:r>
          </w:p>
        </w:tc>
      </w:tr>
      <w:tr>
        <w:tc>
          <w:tcPr/>
          <w:p>
            <w:pPr>
              <w:pStyle w:val="Compact"/>
              <w:jc w:val="left"/>
            </w:pPr>
            <w:r>
              <w:t xml:space="preserve">2</w:t>
            </w:r>
          </w:p>
        </w:tc>
        <w:tc>
          <w:tcPr/>
          <w:p>
            <w:pPr>
              <w:pStyle w:val="Compact"/>
              <w:jc w:val="left"/>
            </w:pPr>
            <w:r>
              <w:rPr>
                <w:rStyle w:val="VerbatimChar"/>
              </w:rPr>
              <w:t xml:space="preserve">IntEnerPricForeSource</w:t>
            </w:r>
            <w:r>
              <w:t xml:space="preserve">,</w:t>
            </w:r>
            <w:r>
              <w:t xml:space="preserve"> </w:t>
            </w:r>
            <w:r>
              <w:rPr>
                <w:rStyle w:val="VerbatimChar"/>
              </w:rPr>
              <w:t xml:space="preserve">IntEnerPricForecastAdjustment</w:t>
            </w:r>
            <w:r>
              <w:t xml:space="preserve"> </w:t>
            </w:r>
            <w:r>
              <w:t xml:space="preserve">(MTInputs)</w:t>
            </w:r>
          </w:p>
        </w:tc>
        <w:tc>
          <w:tcPr/>
          <w:p>
            <w:pPr>
              <w:pStyle w:val="Compact"/>
              <w:jc w:val="left"/>
            </w:pPr>
            <w:r>
              <w:t xml:space="preserve">MTInputs row</w:t>
            </w:r>
          </w:p>
        </w:tc>
      </w:tr>
      <w:tr>
        <w:tc>
          <w:tcPr/>
          <w:p>
            <w:pPr>
              <w:pStyle w:val="Compact"/>
              <w:jc w:val="left"/>
            </w:pPr>
            <w:r>
              <w:t xml:space="preserve">4</w:t>
            </w:r>
          </w:p>
        </w:tc>
        <w:tc>
          <w:tcPr/>
          <w:p>
            <w:pPr>
              <w:pStyle w:val="Compact"/>
              <w:jc w:val="left"/>
            </w:pPr>
            <w:r>
              <w:rPr>
                <w:rStyle w:val="VerbatimChar"/>
              </w:rPr>
              <w:t xml:space="preserve">gp</w:t>
            </w:r>
            <w:r>
              <w:t xml:space="preserve"> </w:t>
            </w:r>
            <w:r>
              <w:t xml:space="preserve">oil, coal, gas, flat</w:t>
            </w:r>
          </w:p>
        </w:tc>
        <w:tc>
          <w:tcPr/>
          <w:p>
            <w:pPr>
              <w:pStyle w:val="Compact"/>
              <w:jc w:val="left"/>
            </w:pPr>
            <w:r>
              <w:t xml:space="preserve">commodity key, High factor, Low factor</w:t>
            </w:r>
          </w:p>
        </w:tc>
      </w:tr>
      <w:tr>
        <w:tc>
          <w:tcPr/>
          <w:p>
            <w:pPr>
              <w:pStyle w:val="Compact"/>
              <w:jc w:val="left"/>
            </w:pPr>
            <w:r>
              <w:t xml:space="preserve">12 + 1</w:t>
            </w:r>
          </w:p>
        </w:tc>
        <w:tc>
          <w:tcPr/>
          <w:p>
            <w:pPr>
              <w:pStyle w:val="Compact"/>
              <w:jc w:val="left"/>
            </w:pPr>
            <w:r>
              <w:rPr>
                <w:rStyle w:val="VerbatimChar"/>
              </w:rPr>
              <w:t xml:space="preserve">sp</w:t>
            </w:r>
            <w:r>
              <w:t xml:space="preserve"> </w:t>
            </w:r>
            <w:r>
              <w:t xml:space="preserve">by price fuel</w:t>
            </w:r>
          </w:p>
        </w:tc>
        <w:tc>
          <w:tcPr/>
          <w:p>
            <w:pPr>
              <w:pStyle w:val="Compact"/>
              <w:jc w:val="left"/>
            </w:pPr>
            <w:r>
              <w:t xml:space="preserve">fixsp, gp position, price position</w:t>
            </w:r>
          </w:p>
        </w:tc>
      </w:tr>
      <w:tr>
        <w:tc>
          <w:tcPr/>
          <w:p>
            <w:pPr>
              <w:pStyle w:val="Compact"/>
              <w:jc w:val="left"/>
            </w:pPr>
            <w:r>
              <w:t xml:space="preserve">12 + 1</w:t>
            </w:r>
          </w:p>
        </w:tc>
        <w:tc>
          <w:tcPr/>
          <w:p>
            <w:pPr>
              <w:pStyle w:val="Compact"/>
              <w:jc w:val="left"/>
            </w:pPr>
            <w:r>
              <w:rPr>
                <w:rStyle w:val="VerbatimChar"/>
              </w:rPr>
              <w:t xml:space="preserve">txo</w:t>
            </w:r>
          </w:p>
        </w:tc>
        <w:tc>
          <w:tcPr/>
          <w:p>
            <w:pPr>
              <w:pStyle w:val="Compact"/>
              <w:jc w:val="left"/>
            </w:pPr>
            <w:r>
              <w:t xml:space="preserve">txo_L, sp_L, pcc, price position</w:t>
            </w:r>
          </w:p>
        </w:tc>
      </w:tr>
      <w:tr>
        <w:tc>
          <w:tcPr/>
          <w:p>
            <w:pPr>
              <w:pStyle w:val="Compact"/>
              <w:jc w:val="left"/>
            </w:pPr>
            <w:r>
              <w:t xml:space="preserve">12 + 1</w:t>
            </w:r>
          </w:p>
        </w:tc>
        <w:tc>
          <w:tcPr/>
          <w:p>
            <w:pPr>
              <w:pStyle w:val="Compact"/>
              <w:jc w:val="left"/>
            </w:pPr>
            <w:r>
              <w:rPr>
                <w:rStyle w:val="VerbatimChar"/>
              </w:rPr>
              <w:t xml:space="preserve">rpb</w:t>
            </w:r>
            <w:r>
              <w:t xml:space="preserve"> </w:t>
            </w:r>
            <w:r>
              <w:t xml:space="preserve">(visible when rolled up)</w:t>
            </w:r>
          </w:p>
        </w:tc>
        <w:tc>
          <w:tcPr/>
          <w:p>
            <w:pPr>
              <w:pStyle w:val="Compact"/>
              <w:jc w:val="left"/>
            </w:pPr>
            <w:r>
              <w:t xml:space="preserve">VAT rate</w:t>
            </w:r>
          </w:p>
        </w:tc>
      </w:tr>
      <w:tr>
        <w:tc>
          <w:tcPr/>
          <w:p>
            <w:pPr>
              <w:pStyle w:val="Compact"/>
              <w:jc w:val="left"/>
            </w:pPr>
            <w:r>
              <w:t xml:space="preserve">12 + 1 each</w:t>
            </w:r>
          </w:p>
        </w:tc>
        <w:tc>
          <w:tcPr/>
          <w:p>
            <w:pPr>
              <w:pStyle w:val="Compact"/>
              <w:jc w:val="left"/>
            </w:pPr>
            <w:r>
              <w:rPr>
                <w:rStyle w:val="VerbatimChar"/>
              </w:rPr>
              <w:t xml:space="preserve">vat</w:t>
            </w:r>
            <w:r>
              <w:t xml:space="preserve">,</w:t>
            </w:r>
            <w:r>
              <w:t xml:space="preserve"> </w:t>
            </w:r>
            <w:r>
              <w:rPr>
                <w:rStyle w:val="VerbatimChar"/>
              </w:rPr>
              <w:t xml:space="preserve">etx</w:t>
            </w:r>
            <w:r>
              <w:t xml:space="preserve">,</w:t>
            </w:r>
            <w:r>
              <w:t xml:space="preserve"> </w:t>
            </w:r>
            <w:r>
              <w:rPr>
                <w:rStyle w:val="VerbatimChar"/>
              </w:rPr>
              <w:t xml:space="preserve">esub</w:t>
            </w:r>
            <w:r>
              <w:t xml:space="preserve">,</w:t>
            </w:r>
            <w:r>
              <w:t xml:space="preserve"> </w:t>
            </w:r>
            <w:r>
              <w:rPr>
                <w:rStyle w:val="VerbatimChar"/>
              </w:rPr>
              <w:t xml:space="preserve">esubpu</w:t>
            </w:r>
          </w:p>
        </w:tc>
        <w:tc>
          <w:tcPr/>
          <w:p>
            <w:pPr>
              <w:pStyle w:val="Compact"/>
              <w:jc w:val="left"/>
            </w:pPr>
            <w:r>
              <w:t xml:space="preserve">VAT rate; -; -; GJ per price unit</w:t>
            </w:r>
          </w:p>
        </w:tc>
      </w:tr>
    </w:tbl>
    <w:p>
      <w:pPr>
        <w:pStyle w:val="BodyText"/>
      </w:pPr>
      <w:r>
        <w:t xml:space="preserve">Per subsector the variables are</w:t>
      </w:r>
      <w:r>
        <w:t xml:space="preserve"> </w:t>
      </w:r>
      <w:r>
        <w:rPr>
          <w:rStyle w:val="VerbatimChar"/>
        </w:rPr>
        <w:t xml:space="preserve">ctxnew, ets, ntx, nce, atp, shp, ener</w:t>
      </w:r>
      <w:r>
        <w:t xml:space="preserve">. Column blocks (v0.11):</w:t>
      </w:r>
      <w:r>
        <w:t xml:space="preserve"> </w:t>
      </w:r>
      <w:r>
        <w:rPr>
          <w:rStyle w:val="VerbatimChar"/>
        </w:rPr>
        <w:t xml:space="preserve">sp</w:t>
      </w:r>
      <w:r>
        <w:t xml:space="preserve"> </w:t>
      </w:r>
      <w:r>
        <w:t xml:space="preserve">and</w:t>
      </w:r>
      <w:r>
        <w:t xml:space="preserve"> </w:t>
      </w:r>
      <w:r>
        <w:rPr>
          <w:rStyle w:val="VerbatimChar"/>
        </w:rPr>
        <w:t xml:space="preserve">txo</w:t>
      </w:r>
      <w:r>
        <w:t xml:space="preserve"> </w:t>
      </w:r>
      <w:r>
        <w:t xml:space="preserve">have a history block (2022-2024, data from</w:t>
      </w:r>
      <w:r>
        <w:t xml:space="preserve"> </w:t>
      </w:r>
      <w:r>
        <w:rPr>
          <w:rStyle w:val="VerbatimChar"/>
        </w:rPr>
        <w:t xml:space="preserve">Inputs_prices</w:t>
      </w:r>
      <w:r>
        <w:t xml:space="preserve">) and a projection block (2025-2039), each with one plain formula and no IF. The right column (2040) calls the named LAMBDA (</w:t>
      </w:r>
      <w:r>
        <w:rPr>
          <w:rStyle w:val="VerbatimChar"/>
        </w:rPr>
        <w:t xml:space="preserve">SUPPLYCOST</w:t>
      </w:r>
      <w:r>
        <w:t xml:space="preserve">,</w:t>
      </w:r>
      <w:r>
        <w:t xml:space="preserve"> </w:t>
      </w:r>
      <w:r>
        <w:rPr>
          <w:rStyle w:val="VerbatimChar"/>
        </w:rPr>
        <w:t xml:space="preserve">OTHERTAX</w:t>
      </w:r>
      <w:r>
        <w:t xml:space="preserve">), which holds the IF between history and projection, so it can be copied back over the whole row. Every calculated row has a LAMBDA in the right column. The data step is the</w:t>
      </w:r>
      <w:r>
        <w:t xml:space="preserve"> </w:t>
      </w:r>
      <w:r>
        <w:rPr>
          <w:rStyle w:val="VerbatimChar"/>
        </w:rPr>
        <w:t xml:space="preserve">Inputs_prices</w:t>
      </w:r>
      <w:r>
        <w:t xml:space="preserve"> </w:t>
      </w:r>
      <w:r>
        <w:t xml:space="preserve">sheet (one row per price fuel).</w:t>
      </w:r>
    </w:p>
    <w:bookmarkEnd w:id="33"/>
    <w:bookmarkStart w:id="34" w:name="left-out-later-steps"/>
    <w:p>
      <w:pPr>
        <w:pStyle w:val="Heading3"/>
      </w:pPr>
      <w:r>
        <w:t xml:space="preserve">8. Left out (later steps)</w:t>
      </w:r>
    </w:p>
    <w:p>
      <w:pPr>
        <w:numPr>
          <w:ilvl w:val="0"/>
          <w:numId w:val="1008"/>
        </w:numPr>
        <w:pStyle w:val="Compact"/>
      </w:pPr>
      <w:r>
        <w:t xml:space="preserve">Producer and consumer subsidy phase-outs, and the price-control phase-out (phase-out factors = 1).</w:t>
      </w:r>
    </w:p>
    <w:p>
      <w:pPr>
        <w:numPr>
          <w:ilvl w:val="0"/>
          <w:numId w:val="1008"/>
        </w:numPr>
        <w:pStyle w:val="Compact"/>
      </w:pPr>
      <w:r>
        <w:t xml:space="preserve">Existing carbon taxes and ETS (none for Egypt).</w:t>
      </w:r>
    </w:p>
    <w:p>
      <w:pPr>
        <w:numPr>
          <w:ilvl w:val="0"/>
          <w:numId w:val="1008"/>
        </w:numPr>
        <w:pStyle w:val="Compact"/>
      </w:pPr>
      <w:r>
        <w:t xml:space="preserve">The Europe shift to LNG.</w:t>
      </w:r>
    </w:p>
    <w:p>
      <w:pPr>
        <w:numPr>
          <w:ilvl w:val="0"/>
          <w:numId w:val="1008"/>
        </w:numPr>
        <w:pStyle w:val="Compact"/>
      </w:pPr>
      <w:r>
        <w:t xml:space="preserve">Ad-valorem baseline taxes (Egypt: Fixed).</w:t>
      </w:r>
    </w:p>
    <w:p>
      <w:pPr>
        <w:numPr>
          <w:ilvl w:val="0"/>
          <w:numId w:val="1008"/>
        </w:numPr>
        <w:pStyle w:val="Compact"/>
      </w:pPr>
      <w:r>
        <w:t xml:space="preserve">The oil-product share in the VAT of transport fuels (share = 1 assumed).</w:t>
      </w:r>
    </w:p>
    <w:p>
      <w:pPr>
        <w:numPr>
          <w:ilvl w:val="0"/>
          <w:numId w:val="1008"/>
        </w:numPr>
        <w:pStyle w:val="Compact"/>
      </w:pPr>
      <w:r>
        <w:t xml:space="preserve">Electricity prices.</w:t>
      </w:r>
    </w:p>
    <w:bookmarkEnd w:id="34"/>
    <w:bookmarkEnd w:id="35"/>
    <w:bookmarkStart w:id="42" w:name="new-ets"/>
    <w:p>
      <w:pPr>
        <w:pStyle w:val="Heading1"/>
      </w:pPr>
      <w:r>
        <w:t xml:space="preserve">New ETS</w:t>
      </w:r>
    </w:p>
    <w:p>
      <w:pPr>
        <w:pStyle w:val="FirstParagraph"/>
      </w:pPr>
      <w:r>
        <w:rPr>
          <w:iCs/>
          <w:i/>
        </w:rPr>
        <w:t xml:space="preserve">Source:</w:t>
      </w:r>
      <w:r>
        <w:rPr>
          <w:iCs/>
          <w:i/>
        </w:rPr>
        <w:t xml:space="preserve"> </w:t>
      </w:r>
      <w:r>
        <w:rPr>
          <w:rStyle w:val="VerbatimChar"/>
          <w:iCs/>
          <w:i/>
        </w:rPr>
        <w:t xml:space="preserve">ETS_Method_v0_1.md</w:t>
      </w:r>
      <w:r>
        <w:rPr>
          <w:iCs/>
          <w:i/>
        </w:rPr>
        <w:t xml:space="preserve">.</w:t>
      </w:r>
    </w:p>
    <w:p>
      <w:pPr>
        <w:pStyle w:val="BodyText"/>
      </w:pPr>
      <w:r>
        <w:t xml:space="preserve">How the MVP models a new emissions trading system. Background on the legacy algorithm and the design choice:</w:t>
      </w:r>
      <w:r>
        <w:t xml:space="preserve"> </w:t>
      </w:r>
      <w:r>
        <w:rPr>
          <w:rStyle w:val="VerbatimChar"/>
        </w:rPr>
        <w:t xml:space="preserve">ETS_Legacy_Algorithm_v0_1.md</w:t>
      </w:r>
      <w:r>
        <w:t xml:space="preserve"> </w:t>
      </w:r>
      <w:r>
        <w:t xml:space="preserve">and</w:t>
      </w:r>
      <w:r>
        <w:t xml:space="preserve"> </w:t>
      </w:r>
      <w:r>
        <w:rPr>
          <w:rStyle w:val="VerbatimChar"/>
        </w:rPr>
        <w:t xml:space="preserve">ETS_Cap_Design_Options_v0_1.md</w:t>
      </w:r>
      <w:r>
        <w:t xml:space="preserve">. Row names are the variable codes in column A of the Mitigation sheet. Section 1 holds the inputs and the price; the sector sections hold the per-fuel wedges; section 13 holds the cap check.</w:t>
      </w:r>
    </w:p>
    <w:bookmarkStart w:id="36" w:name="inputs"/>
    <w:p>
      <w:pPr>
        <w:pStyle w:val="Heading3"/>
      </w:pPr>
      <w: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Where</w:t>
            </w:r>
          </w:p>
        </w:tc>
        <w:tc>
          <w:tcPr/>
          <w:p>
            <w:pPr>
              <w:pStyle w:val="Compact"/>
              <w:jc w:val="left"/>
            </w:pPr>
            <w:r>
              <w:t xml:space="preserve">Notes</w:t>
            </w:r>
          </w:p>
        </w:tc>
      </w:tr>
      <w:tr>
        <w:tc>
          <w:tcPr/>
          <w:p>
            <w:pPr>
              <w:pStyle w:val="Compact"/>
              <w:jc w:val="left"/>
            </w:pPr>
            <w:r>
              <w:t xml:space="preserve">Apply new ETS, start and target year</w:t>
            </w:r>
          </w:p>
        </w:tc>
        <w:tc>
          <w:tcPr/>
          <w:p>
            <w:pPr>
              <w:pStyle w:val="Compact"/>
              <w:jc w:val="left"/>
            </w:pPr>
            <w:r>
              <w:t xml:space="preserve">MTInputs</w:t>
            </w:r>
            <w:r>
              <w:t xml:space="preserve"> </w:t>
            </w:r>
            <w:r>
              <w:rPr>
                <w:rStyle w:val="VerbatimChar"/>
              </w:rPr>
              <w:t xml:space="preserve">D_NewETS</w:t>
            </w:r>
            <w:r>
              <w:t xml:space="preserve">,</w:t>
            </w:r>
            <w:r>
              <w:t xml:space="preserve"> </w:t>
            </w:r>
            <w:r>
              <w:rPr>
                <w:rStyle w:val="VerbatimChar"/>
              </w:rPr>
              <w:t xml:space="preserve">D_ETSIntro</w:t>
            </w:r>
            <w:r>
              <w:t xml:space="preserve">,</w:t>
            </w:r>
            <w:r>
              <w:t xml:space="preserve"> </w:t>
            </w:r>
            <w:r>
              <w:rPr>
                <w:rStyle w:val="VerbatimChar"/>
              </w:rPr>
              <w:t xml:space="preserve">D_ETSOutro</w:t>
            </w:r>
          </w:p>
        </w:tc>
        <w:tc>
          <w:tcPr/>
          <w:p>
            <w:pPr>
              <w:pStyle w:val="Compact"/>
            </w:pPr>
          </w:p>
        </w:tc>
      </w:tr>
      <w:tr>
        <w:tc>
          <w:tcPr/>
          <w:p>
            <w:pPr>
              <w:pStyle w:val="Compact"/>
              <w:jc w:val="left"/>
            </w:pPr>
            <w:r>
              <w:t xml:space="preserve">Cap: change vs baseline covered emissions at start and target, continuation</w:t>
            </w:r>
          </w:p>
        </w:tc>
        <w:tc>
          <w:tcPr/>
          <w:p>
            <w:pPr>
              <w:pStyle w:val="Compact"/>
              <w:jc w:val="left"/>
            </w:pPr>
            <w:r>
              <w:t xml:space="preserve">MTInputs</w:t>
            </w:r>
            <w:r>
              <w:t xml:space="preserve"> </w:t>
            </w:r>
            <w:r>
              <w:rPr>
                <w:rStyle w:val="VerbatimChar"/>
              </w:rPr>
              <w:t xml:space="preserve">D_ETSChangeRelStart</w:t>
            </w:r>
            <w:r>
              <w:t xml:space="preserve">,</w:t>
            </w:r>
            <w:r>
              <w:t xml:space="preserve"> </w:t>
            </w:r>
            <w:r>
              <w:rPr>
                <w:rStyle w:val="VerbatimChar"/>
              </w:rPr>
              <w:t xml:space="preserve">D_ETSChangeRelTarget</w:t>
            </w:r>
            <w:r>
              <w:t xml:space="preserve">,</w:t>
            </w:r>
            <w:r>
              <w:t xml:space="preserve"> </w:t>
            </w:r>
            <w:r>
              <w:rPr>
                <w:rStyle w:val="VerbatimChar"/>
              </w:rPr>
              <w:t xml:space="preserve">D_ETSCapCont</w:t>
            </w:r>
          </w:p>
        </w:tc>
        <w:tc>
          <w:tcPr/>
          <w:p>
            <w:pPr>
              <w:pStyle w:val="Compact"/>
              <w:jc w:val="left"/>
            </w:pPr>
            <w:r>
              <w:rPr>
                <w:rStyle w:val="VerbatimChar"/>
              </w:rPr>
              <w:t xml:space="preserve">Constant</w:t>
            </w:r>
            <w:r>
              <w:t xml:space="preserve"> </w:t>
            </w:r>
            <w:r>
              <w:t xml:space="preserve">keeps the cap level after the target year; any other value keeps the relative change</w:t>
            </w:r>
          </w:p>
        </w:tc>
      </w:tr>
      <w:tr>
        <w:tc>
          <w:tcPr/>
          <w:p>
            <w:pPr>
              <w:pStyle w:val="Compact"/>
              <w:jc w:val="left"/>
            </w:pPr>
            <w:r>
              <w:t xml:space="preserve">Price override switch</w:t>
            </w:r>
          </w:p>
        </w:tc>
        <w:tc>
          <w:tcPr/>
          <w:p>
            <w:pPr>
              <w:pStyle w:val="Compact"/>
              <w:jc w:val="left"/>
            </w:pPr>
            <w:r>
              <w:t xml:space="preserve">MTInputs</w:t>
            </w:r>
            <w:r>
              <w:t xml:space="preserve"> </w:t>
            </w:r>
            <w:r>
              <w:rPr>
                <w:rStyle w:val="VerbatimChar"/>
              </w:rPr>
              <w:t xml:space="preserve">D_ETSPriceOverride</w:t>
            </w:r>
          </w:p>
        </w:tc>
        <w:tc>
          <w:tcPr/>
          <w:p>
            <w:pPr>
              <w:pStyle w:val="Compact"/>
              <w:jc w:val="left"/>
            </w:pPr>
            <w:r>
              <w:rPr>
                <w:rStyle w:val="VerbatimChar"/>
              </w:rPr>
              <w:t xml:space="preserve">Yes</w:t>
            </w:r>
            <w:r>
              <w:t xml:space="preserve">: the permit price comes from the override row</w:t>
            </w:r>
            <w:r>
              <w:t xml:space="preserve"> </w:t>
            </w:r>
            <w:r>
              <w:rPr>
                <w:rStyle w:val="VerbatimChar"/>
              </w:rPr>
              <w:t xml:space="preserve">ets.ovr</w:t>
            </w:r>
          </w:p>
        </w:tc>
      </w:tr>
      <w:tr>
        <w:tc>
          <w:tcPr/>
          <w:p>
            <w:pPr>
              <w:pStyle w:val="Compact"/>
              <w:jc w:val="left"/>
            </w:pPr>
            <w:r>
              <w:t xml:space="preserve">Volatility, impact of volatility, carbon tax policy risk</w:t>
            </w:r>
          </w:p>
        </w:tc>
        <w:tc>
          <w:tcPr/>
          <w:p>
            <w:pPr>
              <w:pStyle w:val="Compact"/>
              <w:jc w:val="left"/>
            </w:pPr>
            <w:r>
              <w:t xml:space="preserve">MTInputs</w:t>
            </w:r>
            <w:r>
              <w:t xml:space="preserve"> </w:t>
            </w:r>
            <w:r>
              <w:rPr>
                <w:rStyle w:val="VerbatimChar"/>
              </w:rPr>
              <w:t xml:space="preserve">D_ETSVolatility</w:t>
            </w:r>
            <w:r>
              <w:t xml:space="preserve">,</w:t>
            </w:r>
            <w:r>
              <w:t xml:space="preserve"> </w:t>
            </w:r>
            <w:r>
              <w:rPr>
                <w:rStyle w:val="VerbatimChar"/>
              </w:rPr>
              <w:t xml:space="preserve">D_ETSVolImpact</w:t>
            </w:r>
            <w:r>
              <w:t xml:space="preserve">,</w:t>
            </w:r>
            <w:r>
              <w:t xml:space="preserve"> </w:t>
            </w:r>
            <w:r>
              <w:rPr>
                <w:rStyle w:val="VerbatimChar"/>
              </w:rPr>
              <w:t xml:space="preserve">D_ETSCTRisk</w:t>
            </w:r>
          </w:p>
        </w:tc>
        <w:tc>
          <w:tcPr/>
          <w:p>
            <w:pPr>
              <w:pStyle w:val="Compact"/>
              <w:jc w:val="left"/>
            </w:pPr>
            <w:r>
              <w:t xml:space="preserve">Labels Medium / High / Low / Zero; values in the Settings table (rows 16-18, legacy ETS+LTS)</w:t>
            </w:r>
          </w:p>
        </w:tc>
      </w:tr>
      <w:tr>
        <w:tc>
          <w:tcPr/>
          <w:p>
            <w:pPr>
              <w:pStyle w:val="Compact"/>
              <w:jc w:val="left"/>
            </w:pPr>
            <w:r>
              <w:t xml:space="preserve">Sector coverage</w:t>
            </w:r>
          </w:p>
        </w:tc>
        <w:tc>
          <w:tcPr/>
          <w:p>
            <w:pPr>
              <w:pStyle w:val="Compact"/>
              <w:jc w:val="left"/>
            </w:pPr>
            <w:r>
              <w:t xml:space="preserve">MTInputs rows 99-115</w:t>
            </w:r>
          </w:p>
        </w:tc>
        <w:tc>
          <w:tcPr/>
          <w:p>
            <w:pPr>
              <w:pStyle w:val="Compact"/>
              <w:jc w:val="left"/>
            </w:pPr>
            <w:r>
              <w:t xml:space="preserve">17 ETS sectors: power plus the 16 subsectors</w:t>
            </w:r>
          </w:p>
        </w:tc>
      </w:tr>
      <w:tr>
        <w:tc>
          <w:tcPr/>
          <w:p>
            <w:pPr>
              <w:pStyle w:val="Compact"/>
              <w:jc w:val="left"/>
            </w:pPr>
            <w:r>
              <w:t xml:space="preserve">Benchmarks by sector group</w:t>
            </w:r>
          </w:p>
        </w:tc>
        <w:tc>
          <w:tcPr/>
          <w:p>
            <w:pPr>
              <w:pStyle w:val="Compact"/>
              <w:jc w:val="left"/>
            </w:pPr>
            <w:r>
              <w:t xml:space="preserve">Section 1 typed rows</w:t>
            </w:r>
            <w:r>
              <w:t xml:space="preserve"> </w:t>
            </w:r>
            <w:r>
              <w:rPr>
                <w:rStyle w:val="VerbatimChar"/>
              </w:rPr>
              <w:t xml:space="preserve">etsb.s</w:t>
            </w:r>
            <w:r>
              <w:t xml:space="preserve">,</w:t>
            </w:r>
            <w:r>
              <w:t xml:space="preserve"> </w:t>
            </w:r>
            <w:r>
              <w:rPr>
                <w:rStyle w:val="VerbatimChar"/>
              </w:rPr>
              <w:t xml:space="preserve">etsb.t</w:t>
            </w:r>
            <w:r>
              <w:t xml:space="preserve"> </w:t>
            </w:r>
            <w:r>
              <w:t xml:space="preserve">(power, transport, residential/buildings, industry)</w:t>
            </w:r>
          </w:p>
        </w:tc>
        <w:tc>
          <w:tcPr/>
          <w:p>
            <w:pPr>
              <w:pStyle w:val="Compact"/>
              <w:jc w:val="left"/>
            </w:pPr>
            <w:r>
              <w:t xml:space="preserve">Share of a sector’s emission intensity that is allocated free. Assumption 1.0 at the start and 0.8 at the target year</w:t>
            </w:r>
          </w:p>
        </w:tc>
      </w:tr>
      <w:tr>
        <w:tc>
          <w:tcPr/>
          <w:p>
            <w:pPr>
              <w:pStyle w:val="Compact"/>
              <w:jc w:val="left"/>
            </w:pPr>
            <w:r>
              <w:t xml:space="preserve">Semi-elasticities by ETS sector</w:t>
            </w:r>
          </w:p>
        </w:tc>
        <w:tc>
          <w:tcPr/>
          <w:p>
            <w:pPr>
              <w:pStyle w:val="Compact"/>
              <w:jc w:val="left"/>
            </w:pPr>
            <w:r>
              <w:t xml:space="preserve">Section 1 rows</w:t>
            </w:r>
            <w:r>
              <w:t xml:space="preserve"> </w:t>
            </w:r>
            <w:r>
              <w:rPr>
                <w:rStyle w:val="VerbatimChar"/>
              </w:rPr>
              <w:t xml:space="preserve">obr</w:t>
            </w:r>
            <w:r>
              <w:t xml:space="preserve">, column E (hidden)</w:t>
            </w:r>
          </w:p>
        </w:tc>
        <w:tc>
          <w:tcPr/>
          <w:p>
            <w:pPr>
              <w:pStyle w:val="Compact"/>
              <w:jc w:val="left"/>
            </w:pPr>
            <w:r>
              <w:t xml:space="preserve">Legacy Egypt sector table (rows 1815-1831); used only by the fast estimate</w:t>
            </w:r>
          </w:p>
        </w:tc>
      </w:tr>
      <w:tr>
        <w:tc>
          <w:tcPr/>
          <w:p>
            <w:pPr>
              <w:pStyle w:val="Compact"/>
              <w:jc w:val="left"/>
            </w:pPr>
            <w:r>
              <w:t xml:space="preserve">Baseline CO2 by ETS sector</w:t>
            </w:r>
          </w:p>
        </w:tc>
        <w:tc>
          <w:tcPr/>
          <w:p>
            <w:pPr>
              <w:pStyle w:val="Compact"/>
              <w:jc w:val="left"/>
            </w:pPr>
            <w:r>
              <w:t xml:space="preserve">Section 1 data rows</w:t>
            </w:r>
            <w:r>
              <w:t xml:space="preserve"> </w:t>
            </w:r>
            <w:r>
              <w:rPr>
                <w:rStyle w:val="VerbatimChar"/>
              </w:rPr>
              <w:t xml:space="preserve">bco2</w:t>
            </w:r>
          </w:p>
        </w:tc>
        <w:tc>
          <w:tcPr/>
          <w:p>
            <w:pPr>
              <w:pStyle w:val="Compact"/>
              <w:jc w:val="left"/>
            </w:pPr>
            <w:r>
              <w:t xml:space="preserve">Values of scenario 1’s</w:t>
            </w:r>
            <w:r>
              <w:t xml:space="preserve"> </w:t>
            </w:r>
            <w:r>
              <w:rPr>
                <w:rStyle w:val="VerbatimChar"/>
              </w:rPr>
              <w:t xml:space="preserve">co2.sec</w:t>
            </w:r>
            <w:r>
              <w:t xml:space="preserve"> </w:t>
            </w:r>
            <w:r>
              <w:t xml:space="preserve">rows; the build refreshes them, check row</w:t>
            </w:r>
            <w:r>
              <w:t xml:space="preserve"> </w:t>
            </w:r>
            <w:r>
              <w:rPr>
                <w:rStyle w:val="VerbatimChar"/>
              </w:rPr>
              <w:t xml:space="preserve">bco2.chk</w:t>
            </w:r>
          </w:p>
        </w:tc>
      </w:tr>
      <w:tr>
        <w:tc>
          <w:tcPr/>
          <w:p>
            <w:pPr>
              <w:pStyle w:val="Compact"/>
              <w:jc w:val="left"/>
            </w:pPr>
            <w:r>
              <w:t xml:space="preserve">Effectiveness of output-based allocation, convergence exponent</w:t>
            </w:r>
          </w:p>
        </w:tc>
        <w:tc>
          <w:tcPr/>
          <w:p>
            <w:pPr>
              <w:pStyle w:val="Compact"/>
              <w:jc w:val="left"/>
            </w:pPr>
            <w:r>
              <w:t xml:space="preserve">Settings C14 (0.5), C15 (0.5)</w:t>
            </w:r>
          </w:p>
        </w:tc>
        <w:tc>
          <w:tcPr/>
          <w:p>
            <w:pPr>
              <w:pStyle w:val="Compact"/>
              <w:jc w:val="left"/>
            </w:pPr>
            <w:r>
              <w:t xml:space="preserve">Legacy hardcodes</w:t>
            </w:r>
          </w:p>
        </w:tc>
      </w:tr>
    </w:tbl>
    <w:bookmarkEnd w:id="36"/>
    <w:bookmarkStart w:id="37" w:name="price"/>
    <w:p>
      <w:pPr>
        <w:pStyle w:val="Heading3"/>
      </w:pPr>
      <w:r>
        <w:t xml:space="preserve">Price</w:t>
      </w:r>
    </w:p>
    <w:p>
      <w:pPr>
        <w:numPr>
          <w:ilvl w:val="0"/>
          <w:numId w:val="1009"/>
        </w:numPr>
        <w:pStyle w:val="Compact"/>
      </w:pPr>
      <w:r>
        <w:t xml:space="preserve">Effective coverage</w:t>
      </w:r>
      <w:r>
        <w:t xml:space="preserve"> </w:t>
      </w:r>
      <w:r>
        <w:rPr>
          <w:rStyle w:val="VerbatimChar"/>
        </w:rPr>
        <w:t xml:space="preserve">etsc</w:t>
      </w:r>
      <w:r>
        <w:t xml:space="preserve"> </w:t>
      </w:r>
      <w:r>
        <w:t xml:space="preserve">= 1 for a covered sector once the ETS applies, else 0.</w:t>
      </w:r>
    </w:p>
    <w:p>
      <w:pPr>
        <w:numPr>
          <w:ilvl w:val="0"/>
          <w:numId w:val="1009"/>
        </w:numPr>
        <w:pStyle w:val="Compact"/>
      </w:pPr>
      <w:r>
        <w:t xml:space="preserve">Benchmark path</w:t>
      </w:r>
      <w:r>
        <w:t xml:space="preserve"> </w:t>
      </w:r>
      <w:r>
        <w:rPr>
          <w:rStyle w:val="VerbatimChar"/>
        </w:rPr>
        <w:t xml:space="preserve">etsb</w:t>
      </w:r>
      <w:r>
        <w:t xml:space="preserve"> </w:t>
      </w:r>
      <w:r>
        <w:t xml:space="preserve">= linear from the start to the target year, flat afterwards. OBR share by sector</w:t>
      </w:r>
      <w:r>
        <w:t xml:space="preserve"> </w:t>
      </w:r>
      <w:r>
        <w:rPr>
          <w:rStyle w:val="VerbatimChar"/>
        </w:rPr>
        <w:t xml:space="preserve">obr</w:t>
      </w:r>
      <w:r>
        <w:t xml:space="preserve"> </w:t>
      </w:r>
      <w:r>
        <w:t xml:space="preserve">= MIN(1, MAX(0, benchmark of its group)).</w:t>
      </w:r>
    </w:p>
    <w:p>
      <w:pPr>
        <w:numPr>
          <w:ilvl w:val="0"/>
          <w:numId w:val="1009"/>
        </w:numPr>
        <w:pStyle w:val="Compact"/>
      </w:pPr>
      <w:r>
        <w:t xml:space="preserve">Volatility adjustment</w:t>
      </w:r>
      <w:r>
        <w:t xml:space="preserve"> </w:t>
      </w:r>
      <w:r>
        <w:rPr>
          <w:rStyle w:val="VerbatimChar"/>
        </w:rPr>
        <w:t xml:space="preserve">ets.vadj</w:t>
      </w:r>
      <w:r>
        <w:t xml:space="preserve"> </w:t>
      </w:r>
      <w:r>
        <w:t xml:space="preserve">= (1 + carbon tax policy risk x impact) / (1 + ETS volatility x impact). At Medium this is (1 + 0.2 x 0.5) / (1 + 0.42 x 0.5) = 1/1.1.</w:t>
      </w:r>
    </w:p>
    <w:p>
      <w:pPr>
        <w:numPr>
          <w:ilvl w:val="0"/>
          <w:numId w:val="1009"/>
        </w:numPr>
        <w:pStyle w:val="Compact"/>
      </w:pPr>
      <w:r>
        <w:t xml:space="preserve">Baseline covered emissions</w:t>
      </w:r>
      <w:r>
        <w:t xml:space="preserve"> </w:t>
      </w:r>
      <w:r>
        <w:rPr>
          <w:rStyle w:val="VerbatimChar"/>
        </w:rPr>
        <w:t xml:space="preserve">ets.bce</w:t>
      </w:r>
      <w:r>
        <w:t xml:space="preserve"> </w:t>
      </w:r>
      <w:r>
        <w:t xml:space="preserve">= SUMPRODUCT(</w:t>
      </w:r>
      <w:r>
        <w:rPr>
          <w:rStyle w:val="VerbatimChar"/>
        </w:rPr>
        <w:t xml:space="preserve">bco2</w:t>
      </w:r>
      <w:r>
        <w:t xml:space="preserve">,</w:t>
      </w:r>
      <w:r>
        <w:t xml:space="preserve"> </w:t>
      </w:r>
      <w:r>
        <w:rPr>
          <w:rStyle w:val="VerbatimChar"/>
        </w:rPr>
        <w:t xml:space="preserve">etsc</w:t>
      </w:r>
      <w:r>
        <w:t xml:space="preserve">).</w:t>
      </w:r>
    </w:p>
    <w:p>
      <w:pPr>
        <w:numPr>
          <w:ilvl w:val="0"/>
          <w:numId w:val="1009"/>
        </w:numPr>
        <w:pStyle w:val="Compact"/>
      </w:pPr>
      <w:r>
        <w:t xml:space="preserve">Cap</w:t>
      </w:r>
      <w:r>
        <w:t xml:space="preserve"> </w:t>
      </w:r>
      <w:r>
        <w:rPr>
          <w:rStyle w:val="VerbatimChar"/>
        </w:rPr>
        <w:t xml:space="preserve">ets.cap</w:t>
      </w:r>
      <w:r>
        <w:t xml:space="preserve"> </w:t>
      </w:r>
      <w:r>
        <w:t xml:space="preserve">=</w:t>
      </w:r>
      <w:r>
        <w:t xml:space="preserve"> </w:t>
      </w:r>
      <w:r>
        <w:rPr>
          <w:rStyle w:val="VerbatimChar"/>
        </w:rPr>
        <w:t xml:space="preserve">ets.bce</w:t>
      </w:r>
      <w:r>
        <w:t xml:space="preserve"> </w:t>
      </w:r>
      <w:r>
        <w:t xml:space="preserve">x (1 + change), where the change runs linearly from the start to the target year (after the target year, see</w:t>
      </w:r>
      <w:r>
        <w:t xml:space="preserve"> </w:t>
      </w:r>
      <w:r>
        <w:rPr>
          <w:rStyle w:val="VerbatimChar"/>
        </w:rPr>
        <w:t xml:space="preserve">D_ETSCapCont</w:t>
      </w:r>
      <w:r>
        <w:t xml:space="preserve">).</w:t>
      </w:r>
    </w:p>
    <w:p>
      <w:pPr>
        <w:numPr>
          <w:ilvl w:val="0"/>
          <w:numId w:val="1009"/>
        </w:numPr>
        <w:pStyle w:val="Compact"/>
      </w:pPr>
      <w:r>
        <w:t xml:space="preserve">Effective semi-elasticity</w:t>
      </w:r>
      <w:r>
        <w:t xml:space="preserve"> </w:t>
      </w:r>
      <w:r>
        <w:rPr>
          <w:rStyle w:val="VerbatimChar"/>
        </w:rPr>
        <w:t xml:space="preserve">ets.se</w:t>
      </w:r>
      <w:r>
        <w:t xml:space="preserve"> </w:t>
      </w:r>
      <w:r>
        <w:t xml:space="preserve">= baseline-weighted average over covered sectors of semi-elasticity x (1 − (1 − 0.5) x OBR share).</w:t>
      </w:r>
    </w:p>
    <w:p>
      <w:pPr>
        <w:numPr>
          <w:ilvl w:val="0"/>
          <w:numId w:val="1009"/>
        </w:numPr>
        <w:pStyle w:val="Compact"/>
      </w:pPr>
      <w:r>
        <w:t xml:space="preserve">Fast estimate</w:t>
      </w:r>
      <w:r>
        <w:t xml:space="preserve"> </w:t>
      </w:r>
      <w:r>
        <w:rPr>
          <w:rStyle w:val="VerbatimChar"/>
        </w:rPr>
        <w:t xml:space="preserve">ets.est</w:t>
      </w:r>
      <w:r>
        <w:t xml:space="preserve"> </w:t>
      </w:r>
      <w:r>
        <w:t xml:space="preserve">= LN(cap / baseline covered) / (</w:t>
      </w:r>
      <w:r>
        <w:rPr>
          <w:rStyle w:val="VerbatimChar"/>
        </w:rPr>
        <w:t xml:space="preserve">ets.se</w:t>
      </w:r>
      <w:r>
        <w:t xml:space="preserve"> </w:t>
      </w:r>
      <w:r>
        <w:t xml:space="preserve">x</w:t>
      </w:r>
      <w:r>
        <w:t xml:space="preserve"> </w:t>
      </w:r>
      <w:r>
        <w:rPr>
          <w:rStyle w:val="VerbatimChar"/>
        </w:rPr>
        <w:t xml:space="preserve">ets.vadj</w:t>
      </w:r>
      <w:r>
        <w:t xml:space="preserve">), when the cap is below the baseline; else 0.</w:t>
      </w:r>
    </w:p>
    <w:p>
      <w:pPr>
        <w:numPr>
          <w:ilvl w:val="0"/>
          <w:numId w:val="1009"/>
        </w:numPr>
        <w:pStyle w:val="Compact"/>
      </w:pPr>
      <w:r>
        <w:t xml:space="preserve">Permit price</w:t>
      </w:r>
      <w:r>
        <w:t xml:space="preserve"> </w:t>
      </w:r>
      <w:r>
        <w:rPr>
          <w:rStyle w:val="VerbatimChar"/>
        </w:rPr>
        <w:t xml:space="preserve">ets.p</w:t>
      </w:r>
      <w:r>
        <w:t xml:space="preserve"> </w:t>
      </w:r>
      <w:r>
        <w:t xml:space="preserve">= the override row</w:t>
      </w:r>
      <w:r>
        <w:t xml:space="preserve"> </w:t>
      </w:r>
      <w:r>
        <w:rPr>
          <w:rStyle w:val="VerbatimChar"/>
        </w:rPr>
        <w:t xml:space="preserve">ets.ovr</w:t>
      </w:r>
      <w:r>
        <w:t xml:space="preserve"> </w:t>
      </w:r>
      <w:r>
        <w:t xml:space="preserve">if</w:t>
      </w:r>
      <w:r>
        <w:t xml:space="preserve"> </w:t>
      </w:r>
      <w:r>
        <w:rPr>
          <w:rStyle w:val="VerbatimChar"/>
        </w:rPr>
        <w:t xml:space="preserve">D_ETSPriceOverride</w:t>
      </w:r>
      <w:r>
        <w:t xml:space="preserve"> </w:t>
      </w:r>
      <w:r>
        <w:t xml:space="preserve">= Yes (a blank cell takes the carbon price path), else the fast estimate. 0 before the ETS applies.</w:t>
      </w:r>
    </w:p>
    <w:p>
      <w:pPr>
        <w:numPr>
          <w:ilvl w:val="0"/>
          <w:numId w:val="1009"/>
        </w:numPr>
        <w:pStyle w:val="Compact"/>
      </w:pPr>
      <w:r>
        <w:t xml:space="preserve">Tax-equivalent price</w:t>
      </w:r>
      <w:r>
        <w:t xml:space="preserve"> </w:t>
      </w:r>
      <w:r>
        <w:rPr>
          <w:rStyle w:val="VerbatimChar"/>
        </w:rPr>
        <w:t xml:space="preserve">ets.pe</w:t>
      </w:r>
      <w:r>
        <w:t xml:space="preserve"> </w:t>
      </w:r>
      <w:r>
        <w:t xml:space="preserve">=</w:t>
      </w:r>
      <w:r>
        <w:t xml:space="preserve"> </w:t>
      </w:r>
      <w:r>
        <w:rPr>
          <w:rStyle w:val="VerbatimChar"/>
        </w:rPr>
        <w:t xml:space="preserve">ets.p</w:t>
      </w:r>
      <w:r>
        <w:t xml:space="preserve"> </w:t>
      </w:r>
      <w:r>
        <w:t xml:space="preserve">x</w:t>
      </w:r>
      <w:r>
        <w:t xml:space="preserve"> </w:t>
      </w:r>
      <w:r>
        <w:rPr>
          <w:rStyle w:val="VerbatimChar"/>
        </w:rPr>
        <w:t xml:space="preserve">ets.vadj</w:t>
      </w:r>
      <w:r>
        <w:t xml:space="preserve">; revenue factor</w:t>
      </w:r>
      <w:r>
        <w:t xml:space="preserve"> </w:t>
      </w:r>
      <w:r>
        <w:rPr>
          <w:rStyle w:val="VerbatimChar"/>
        </w:rPr>
        <w:t xml:space="preserve">ets.rf</w:t>
      </w:r>
      <w:r>
        <w:t xml:space="preserve"> </w:t>
      </w:r>
      <w:r>
        <w:t xml:space="preserve">= 1 /</w:t>
      </w:r>
      <w:r>
        <w:t xml:space="preserve"> </w:t>
      </w:r>
      <w:r>
        <w:rPr>
          <w:rStyle w:val="VerbatimChar"/>
        </w:rPr>
        <w:t xml:space="preserve">ets.vadj</w:t>
      </w:r>
      <w:r>
        <w:t xml:space="preserve">.</w:t>
      </w:r>
    </w:p>
    <w:bookmarkEnd w:id="37"/>
    <w:bookmarkStart w:id="38" w:name="effect-on-fuel-use"/>
    <w:p>
      <w:pPr>
        <w:pStyle w:val="Heading3"/>
      </w:pPr>
      <w:r>
        <w:t xml:space="preserve">Effect on fuel use</w:t>
      </w:r>
    </w:p>
    <w:p>
      <w:pPr>
        <w:pStyle w:val="FirstParagraph"/>
      </w:pPr>
      <w:r>
        <w:t xml:space="preserve">The ETS replaces the carbon tax in covered sectors (</w:t>
      </w:r>
      <w:r>
        <w:rPr>
          <w:rStyle w:val="VerbatimChar"/>
        </w:rPr>
        <w:t xml:space="preserve">ctxnew</w:t>
      </w:r>
      <w:r>
        <w:t xml:space="preserve"> </w:t>
      </w:r>
      <w:r>
        <w:t xml:space="preserve">x (1 −</w:t>
      </w:r>
      <w:r>
        <w:t xml:space="preserve"> </w:t>
      </w:r>
      <w:r>
        <w:rPr>
          <w:rStyle w:val="VerbatimChar"/>
        </w:rPr>
        <w:t xml:space="preserve">etsc</w:t>
      </w:r>
      <w:r>
        <w:t xml:space="preserve">)). The tax-equivalent price splits by the OBR share:</w:t>
      </w:r>
    </w:p>
    <w:p>
      <w:pPr>
        <w:numPr>
          <w:ilvl w:val="0"/>
          <w:numId w:val="1010"/>
        </w:numPr>
        <w:pStyle w:val="Compact"/>
      </w:pPr>
      <w:r>
        <w:rPr>
          <w:bCs/>
          <w:b/>
        </w:rPr>
        <w:t xml:space="preserve">Price wedge (auctioned part):</w:t>
      </w:r>
      <w:r>
        <w:t xml:space="preserve"> </w:t>
      </w:r>
      <w:r>
        <w:rPr>
          <w:rStyle w:val="VerbatimChar"/>
        </w:rPr>
        <w:t xml:space="preserve">ets</w:t>
      </w:r>
      <w:r>
        <w:t xml:space="preserve"> </w:t>
      </w:r>
      <w:r>
        <w:t xml:space="preserve">=</w:t>
      </w:r>
      <w:r>
        <w:t xml:space="preserve"> </w:t>
      </w:r>
      <w:r>
        <w:rPr>
          <w:rStyle w:val="VerbatimChar"/>
        </w:rPr>
        <w:t xml:space="preserve">ets.pe</w:t>
      </w:r>
      <w:r>
        <w:t xml:space="preserve"> </w:t>
      </w:r>
      <w:r>
        <w:t xml:space="preserve">x EF x</w:t>
      </w:r>
      <w:r>
        <w:t xml:space="preserve"> </w:t>
      </w:r>
      <w:r>
        <w:rPr>
          <w:rStyle w:val="VerbatimChar"/>
        </w:rPr>
        <w:t xml:space="preserve">etsc</w:t>
      </w:r>
      <w:r>
        <w:t xml:space="preserve"> </w:t>
      </w:r>
      <w:r>
        <w:t xml:space="preserve">x (1 − OBR). It enters</w:t>
      </w:r>
      <w:r>
        <w:t xml:space="preserve"> </w:t>
      </w:r>
      <w:r>
        <w:rPr>
          <w:rStyle w:val="VerbatimChar"/>
        </w:rPr>
        <w:t xml:space="preserve">nce</w:t>
      </w:r>
      <w:r>
        <w:t xml:space="preserve"> </w:t>
      </w:r>
      <w:r>
        <w:t xml:space="preserve">and the after-tax price</w:t>
      </w:r>
      <w:r>
        <w:t xml:space="preserve"> </w:t>
      </w:r>
      <w:r>
        <w:rPr>
          <w:rStyle w:val="VerbatimChar"/>
        </w:rPr>
        <w:t xml:space="preserve">atp</w:t>
      </w:r>
      <w:r>
        <w:t xml:space="preserve">, so usage and efficiency both respond, as for a carbon tax.</w:t>
      </w:r>
    </w:p>
    <w:p>
      <w:pPr>
        <w:numPr>
          <w:ilvl w:val="0"/>
          <w:numId w:val="1010"/>
        </w:numPr>
        <w:pStyle w:val="Compact"/>
      </w:pPr>
      <w:r>
        <w:rPr>
          <w:bCs/>
          <w:b/>
        </w:rPr>
        <w:t xml:space="preserve">Shadow price (OBR part):</w:t>
      </w:r>
      <w:r>
        <w:t xml:space="preserve"> </w:t>
      </w:r>
      <w:r>
        <w:rPr>
          <w:rStyle w:val="VerbatimChar"/>
        </w:rPr>
        <w:t xml:space="preserve">shp</w:t>
      </w:r>
      <w:r>
        <w:t xml:space="preserve"> </w:t>
      </w:r>
      <w:r>
        <w:t xml:space="preserve">= (feebate shadow price x share +</w:t>
      </w:r>
      <w:r>
        <w:t xml:space="preserve"> </w:t>
      </w:r>
      <w:r>
        <w:rPr>
          <w:rStyle w:val="VerbatimChar"/>
        </w:rPr>
        <w:t xml:space="preserve">ets.pe</w:t>
      </w:r>
      <w:r>
        <w:t xml:space="preserve"> </w:t>
      </w:r>
      <w:r>
        <w:t xml:space="preserve">x</w:t>
      </w:r>
      <w:r>
        <w:t xml:space="preserve"> </w:t>
      </w:r>
      <w:r>
        <w:rPr>
          <w:rStyle w:val="VerbatimChar"/>
        </w:rPr>
        <w:t xml:space="preserve">etsc</w:t>
      </w:r>
      <w:r>
        <w:t xml:space="preserve"> </w:t>
      </w:r>
      <w:r>
        <w:t xml:space="preserve">x OBR) x EF. It acts only on the efficiency margin of the fuel-use equation, as feebates do.</w:t>
      </w:r>
    </w:p>
    <w:bookmarkEnd w:id="38"/>
    <w:bookmarkStart w:id="39" w:name="revenue"/>
    <w:p>
      <w:pPr>
        <w:pStyle w:val="Heading3"/>
      </w:pPr>
      <w:r>
        <w:t xml:space="preserve">Revenue</w:t>
      </w:r>
    </w:p>
    <w:p>
      <w:pPr>
        <w:pStyle w:val="FirstParagraph"/>
      </w:pPr>
      <w:r>
        <w:rPr>
          <w:rStyle w:val="VerbatimChar"/>
        </w:rPr>
        <w:t xml:space="preserve">rnew</w:t>
      </w:r>
      <w:r>
        <w:t xml:space="preserve"> </w:t>
      </w:r>
      <w:r>
        <w:t xml:space="preserve">includes</w:t>
      </w:r>
      <w:r>
        <w:t xml:space="preserve"> </w:t>
      </w:r>
      <w:r>
        <w:rPr>
          <w:rStyle w:val="VerbatimChar"/>
        </w:rPr>
        <w:t xml:space="preserve">ets</w:t>
      </w:r>
      <w:r>
        <w:t xml:space="preserve"> </w:t>
      </w:r>
      <w:r>
        <w:t xml:space="preserve">x</w:t>
      </w:r>
      <w:r>
        <w:t xml:space="preserve"> </w:t>
      </w:r>
      <w:r>
        <w:rPr>
          <w:rStyle w:val="VerbatimChar"/>
        </w:rPr>
        <w:t xml:space="preserve">ets.rf</w:t>
      </w:r>
      <w:r>
        <w:t xml:space="preserve">, which is the permit price on the auctioned part of covered emissions. The OBR part raises no revenue.</w:t>
      </w:r>
    </w:p>
    <w:bookmarkEnd w:id="39"/>
    <w:bookmarkStart w:id="40" w:name="meeting-the-cap"/>
    <w:p>
      <w:pPr>
        <w:pStyle w:val="Heading3"/>
      </w:pPr>
      <w:r>
        <w:t xml:space="preserve">Meeting the cap</w:t>
      </w:r>
    </w:p>
    <w:p>
      <w:pPr>
        <w:pStyle w:val="FirstParagraph"/>
      </w:pPr>
      <w:r>
        <w:t xml:space="preserve">The fast estimate uses one semi-elasticity, so the full model does not hit the cap exactly. Section 13 shows:</w:t>
      </w:r>
    </w:p>
    <w:p>
      <w:pPr>
        <w:numPr>
          <w:ilvl w:val="0"/>
          <w:numId w:val="1011"/>
        </w:numPr>
        <w:pStyle w:val="Compact"/>
      </w:pPr>
      <w:r>
        <w:rPr>
          <w:rStyle w:val="VerbatimChar"/>
        </w:rPr>
        <w:t xml:space="preserve">co2.sec</w:t>
      </w:r>
      <w:r>
        <w:t xml:space="preserve">: CO2 by ETS sector;</w:t>
      </w:r>
    </w:p>
    <w:p>
      <w:pPr>
        <w:numPr>
          <w:ilvl w:val="0"/>
          <w:numId w:val="1011"/>
        </w:numPr>
        <w:pStyle w:val="Compact"/>
      </w:pPr>
      <w:r>
        <w:rPr>
          <w:rStyle w:val="VerbatimChar"/>
        </w:rPr>
        <w:t xml:space="preserve">co2.ets</w:t>
      </w:r>
      <w:r>
        <w:t xml:space="preserve">: covered emissions;</w:t>
      </w:r>
    </w:p>
    <w:p>
      <w:pPr>
        <w:numPr>
          <w:ilvl w:val="0"/>
          <w:numId w:val="1011"/>
        </w:numPr>
        <w:pStyle w:val="Compact"/>
      </w:pPr>
      <w:r>
        <w:rPr>
          <w:rStyle w:val="VerbatimChar"/>
        </w:rPr>
        <w:t xml:space="preserve">co2.cap</w:t>
      </w:r>
      <w:r>
        <w:t xml:space="preserve">: the cap;</w:t>
      </w:r>
    </w:p>
    <w:p>
      <w:pPr>
        <w:numPr>
          <w:ilvl w:val="0"/>
          <w:numId w:val="1011"/>
        </w:numPr>
        <w:pStyle w:val="Compact"/>
      </w:pPr>
      <w:r>
        <w:rPr>
          <w:rStyle w:val="VerbatimChar"/>
        </w:rPr>
        <w:t xml:space="preserve">co2.gap</w:t>
      </w:r>
      <w:r>
        <w:t xml:space="preserve">: covered / cap − 1;</w:t>
      </w:r>
    </w:p>
    <w:p>
      <w:pPr>
        <w:numPr>
          <w:ilvl w:val="0"/>
          <w:numId w:val="1011"/>
        </w:numPr>
        <w:pStyle w:val="Compact"/>
      </w:pPr>
      <w:r>
        <w:rPr>
          <w:rStyle w:val="VerbatimChar"/>
        </w:rPr>
        <w:t xml:space="preserve">ets.next</w:t>
      </w:r>
      <w:r>
        <w:t xml:space="preserve">: p x (LN(cap/baseline) / LN(covered/baseline)) ^ 0.5.</w:t>
      </w:r>
    </w:p>
    <w:p>
      <w:pPr>
        <w:pStyle w:val="FirstParagraph"/>
      </w:pPr>
      <w:r>
        <w:t xml:space="preserve">To meet the cap, either:</w:t>
      </w:r>
    </w:p>
    <w:p>
      <w:pPr>
        <w:numPr>
          <w:ilvl w:val="0"/>
          <w:numId w:val="1012"/>
        </w:numPr>
        <w:pStyle w:val="Compact"/>
      </w:pPr>
      <w:r>
        <w:t xml:space="preserve">paste</w:t>
      </w:r>
      <w:r>
        <w:t xml:space="preserve"> </w:t>
      </w:r>
      <w:r>
        <w:rPr>
          <w:rStyle w:val="VerbatimChar"/>
        </w:rPr>
        <w:t xml:space="preserve">ets.next</w:t>
      </w:r>
      <w:r>
        <w:t xml:space="preserve"> </w:t>
      </w:r>
      <w:r>
        <w:t xml:space="preserve">into</w:t>
      </w:r>
      <w:r>
        <w:t xml:space="preserve"> </w:t>
      </w:r>
      <w:r>
        <w:rPr>
          <w:rStyle w:val="VerbatimChar"/>
        </w:rPr>
        <w:t xml:space="preserve">ets.ovr</w:t>
      </w:r>
      <w:r>
        <w:t xml:space="preserve"> </w:t>
      </w:r>
      <w:r>
        <w:t xml:space="preserve">(with the override switch on) and repeat; or</w:t>
      </w:r>
    </w:p>
    <w:p>
      <w:pPr>
        <w:numPr>
          <w:ilvl w:val="0"/>
          <w:numId w:val="1012"/>
        </w:numPr>
        <w:pStyle w:val="Compact"/>
      </w:pPr>
      <w:r>
        <w:t xml:space="preserve">run</w:t>
      </w:r>
      <w:r>
        <w:t xml:space="preserve"> </w:t>
      </w:r>
      <w:r>
        <w:rPr>
          <w:rStyle w:val="VerbatimChar"/>
        </w:rPr>
        <w:t xml:space="preserve">python ets_goalseek_v0_2.py WORKBOOK.xlsx &lt;scenario&gt;</w:t>
      </w:r>
      <w:r>
        <w:t xml:space="preserve">. It iterates with legacy’s damped log-space step (mixing, smoothing, adaptive step) until the worst yearly gap is below 0.5%, and writes the prices to</w:t>
      </w:r>
      <w:r>
        <w:t xml:space="preserve"> </w:t>
      </w:r>
      <w:r>
        <w:rPr>
          <w:rStyle w:val="VerbatimChar"/>
        </w:rPr>
        <w:t xml:space="preserve">ets_override_s&lt;scenario&gt;.csv</w:t>
      </w:r>
      <w:r>
        <w:t xml:space="preserve"> </w:t>
      </w:r>
      <w:r>
        <w:t xml:space="preserve">for pasting into</w:t>
      </w:r>
      <w:r>
        <w:t xml:space="preserve"> </w:t>
      </w:r>
      <w:r>
        <w:rPr>
          <w:rStyle w:val="VerbatimChar"/>
        </w:rPr>
        <w:t xml:space="preserve">ets.ovr</w:t>
      </w:r>
      <w:r>
        <w:t xml:space="preserve">.</w:t>
      </w:r>
    </w:p>
    <w:bookmarkEnd w:id="40"/>
    <w:bookmarkStart w:id="41" w:name="limits"/>
    <w:p>
      <w:pPr>
        <w:pStyle w:val="Heading3"/>
      </w:pPr>
      <w:r>
        <w:t xml:space="preserve">Limits</w:t>
      </w:r>
    </w:p>
    <w:p>
      <w:pPr>
        <w:numPr>
          <w:ilvl w:val="0"/>
          <w:numId w:val="1013"/>
        </w:numPr>
        <w:pStyle w:val="Compact"/>
      </w:pPr>
      <w:r>
        <w:t xml:space="preserve">Power is not modelled, so covered power emissions are 0. The cap applies to the covered end-use sectors only.</w:t>
      </w:r>
    </w:p>
    <w:p>
      <w:pPr>
        <w:numPr>
          <w:ilvl w:val="0"/>
          <w:numId w:val="1013"/>
        </w:numPr>
        <w:pStyle w:val="Compact"/>
      </w:pPr>
      <w:r>
        <w:t xml:space="preserve">Benchmarks are relative to current emission intensity, and output is proxied by fuel use. Free allocation therefore moves with emissions, and the OBR share equals the benchmark.</w:t>
      </w:r>
    </w:p>
    <w:p>
      <w:pPr>
        <w:numPr>
          <w:ilvl w:val="0"/>
          <w:numId w:val="1013"/>
        </w:numPr>
        <w:pStyle w:val="Compact"/>
      </w:pPr>
      <w:r>
        <w:t xml:space="preserve">The volatility adjustment scales behaviour (the tax-equivalent price), not the permit price. VAT on new policies is levied on the tax-equivalent ETS cost.</w:t>
      </w:r>
    </w:p>
    <w:p>
      <w:pPr>
        <w:numPr>
          <w:ilvl w:val="0"/>
          <w:numId w:val="1013"/>
        </w:numPr>
        <w:pStyle w:val="Compact"/>
      </w:pPr>
      <w:r>
        <w:t xml:space="preserve">No banking, borrowing, price floors or ceilings, and no CBAM process emissions.</w:t>
      </w:r>
    </w:p>
    <w:bookmarkEnd w:id="41"/>
    <w:bookmarkEnd w:id="42"/>
    <w:bookmarkStart w:id="50" w:name="multiple-scenarios-and-stored-results"/>
    <w:p>
      <w:pPr>
        <w:pStyle w:val="Heading1"/>
      </w:pPr>
      <w:r>
        <w:t xml:space="preserve">Multiple scenarios and stored results</w:t>
      </w:r>
    </w:p>
    <w:p>
      <w:pPr>
        <w:pStyle w:val="FirstParagraph"/>
      </w:pPr>
      <w:r>
        <w:rPr>
          <w:iCs/>
          <w:i/>
        </w:rPr>
        <w:t xml:space="preserve">Source:</w:t>
      </w:r>
      <w:r>
        <w:rPr>
          <w:iCs/>
          <w:i/>
        </w:rPr>
        <w:t xml:space="preserve"> </w:t>
      </w:r>
      <w:r>
        <w:rPr>
          <w:rStyle w:val="VerbatimChar"/>
          <w:iCs/>
          <w:i/>
        </w:rPr>
        <w:t xml:space="preserve">Scenarios_Method_v0_1.md</w:t>
      </w:r>
      <w:r>
        <w:rPr>
          <w:iCs/>
          <w:i/>
        </w:rPr>
        <w:t xml:space="preserve">.</w:t>
      </w:r>
    </w:p>
    <w:p>
      <w:pPr>
        <w:pStyle w:val="BodyText"/>
      </w:pPr>
      <w:r>
        <w:t xml:space="preserve">How CPAT-AI-Mitigation-MVP runs many scenarios. Each run uses two calculated scenarios: the baseline and one live policy scenario. Results are stored as values and compared afterwards. This follows legacy CPAT’s approach, where a macro copies each scenario column into the column used for calculation and stores the outputs.</w:t>
      </w:r>
    </w:p>
    <w:bookmarkStart w:id="43" w:name="where-things-are"/>
    <w:p>
      <w:pPr>
        <w:pStyle w:val="Heading3"/>
      </w:pPr>
      <w:r>
        <w:t xml:space="preserve">Where things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Place</w:t>
            </w:r>
          </w:p>
        </w:tc>
        <w:tc>
          <w:tcPr/>
          <w:p>
            <w:pPr>
              <w:pStyle w:val="Compact"/>
              <w:jc w:val="left"/>
            </w:pPr>
            <w:r>
              <w:t xml:space="preserve">What it holds</w:t>
            </w:r>
          </w:p>
        </w:tc>
      </w:tr>
      <w:tr>
        <w:tc>
          <w:tcPr/>
          <w:p>
            <w:pPr>
              <w:pStyle w:val="Compact"/>
              <w:jc w:val="left"/>
            </w:pPr>
            <w:r>
              <w:t xml:space="preserve">MTInputs column J</w:t>
            </w:r>
          </w:p>
        </w:tc>
        <w:tc>
          <w:tcPr/>
          <w:p>
            <w:pPr>
              <w:pStyle w:val="Compact"/>
              <w:jc w:val="left"/>
            </w:pPr>
            <w:r>
              <w:t xml:space="preserve">Scenario 1, the</w:t>
            </w:r>
            <w:r>
              <w:t xml:space="preserve"> </w:t>
            </w:r>
            <w:r>
              <w:rPr>
                <w:bCs/>
                <w:b/>
              </w:rPr>
              <w:t xml:space="preserve">baseline</w:t>
            </w:r>
            <w:r>
              <w:t xml:space="preserve"> </w:t>
            </w:r>
            <w:r>
              <w:t xml:space="preserve">(Mitigation group 1). Row 4:</w:t>
            </w:r>
            <w:r>
              <w:t xml:space="preserve"> </w:t>
            </w:r>
            <w:r>
              <w:t xml:space="preserve">“</w:t>
            </w:r>
            <w:r>
              <w:t xml:space="preserve">Baseline (stored once)</w:t>
            </w:r>
            <w:r>
              <w:t xml:space="preserve">”</w:t>
            </w:r>
            <w:r>
              <w:t xml:space="preserve">.</w:t>
            </w:r>
          </w:p>
        </w:tc>
      </w:tr>
      <w:tr>
        <w:tc>
          <w:tcPr/>
          <w:p>
            <w:pPr>
              <w:pStyle w:val="Compact"/>
              <w:jc w:val="left"/>
            </w:pPr>
            <w:r>
              <w:t xml:space="preserve">MTInputs column K</w:t>
            </w:r>
          </w:p>
        </w:tc>
        <w:tc>
          <w:tcPr/>
          <w:p>
            <w:pPr>
              <w:pStyle w:val="Compact"/>
              <w:jc w:val="left"/>
            </w:pPr>
            <w:r>
              <w:t xml:space="preserve">Scenario 2, the</w:t>
            </w:r>
            <w:r>
              <w:t xml:space="preserve"> </w:t>
            </w:r>
            <w:r>
              <w:rPr>
                <w:bCs/>
                <w:b/>
              </w:rPr>
              <w:t xml:space="preserve">live policy scenario</w:t>
            </w:r>
            <w:r>
              <w:t xml:space="preserve"> </w:t>
            </w:r>
            <w:r>
              <w:t xml:space="preserve">(Mitigation group 2). Row 4:</w:t>
            </w:r>
            <w:r>
              <w:t xml:space="preserve"> </w:t>
            </w:r>
            <w:r>
              <w:t xml:space="preserve">“</w:t>
            </w:r>
            <w:r>
              <w:t xml:space="preserve">Live (batch target)</w:t>
            </w:r>
            <w:r>
              <w:t xml:space="preserve">”</w:t>
            </w:r>
            <w:r>
              <w:t xml:space="preserve">. The batch run overwrites it with each definition and restores it at the end.</w:t>
            </w:r>
          </w:p>
        </w:tc>
      </w:tr>
      <w:tr>
        <w:tc>
          <w:tcPr/>
          <w:p>
            <w:pPr>
              <w:pStyle w:val="Compact"/>
              <w:jc w:val="left"/>
            </w:pPr>
            <w:r>
              <w:t xml:space="preserve">MTInputs columns L onwards</w:t>
            </w:r>
          </w:p>
        </w:tc>
        <w:tc>
          <w:tcPr/>
          <w:p>
            <w:pPr>
              <w:pStyle w:val="Compact"/>
              <w:jc w:val="left"/>
            </w:pPr>
            <w:r>
              <w:rPr>
                <w:bCs/>
                <w:b/>
              </w:rPr>
              <w:t xml:space="preserve">Scenario definitions</w:t>
            </w:r>
            <w:r>
              <w:t xml:space="preserve">, one full MTInputs column each: row 4 Run? (Yes/No), row 5 number (previous + 1), row 6 name, rows 8-415 the inputs. Red cells differ from the template. To add one, copy the last definition one column to the right and edit it.</w:t>
            </w:r>
          </w:p>
        </w:tc>
      </w:tr>
      <w:tr>
        <w:tc>
          <w:tcPr/>
          <w:p>
            <w:pPr>
              <w:pStyle w:val="Compact"/>
              <w:jc w:val="left"/>
            </w:pPr>
            <w:r>
              <w:t xml:space="preserve">StoredResults</w:t>
            </w:r>
          </w:p>
        </w:tc>
        <w:tc>
          <w:tcPr/>
          <w:p>
            <w:pPr>
              <w:pStyle w:val="Compact"/>
              <w:jc w:val="left"/>
            </w:pPr>
            <w:r>
              <w:t xml:space="preserve">Results as</w:t>
            </w:r>
            <w:r>
              <w:t xml:space="preserve"> </w:t>
            </w:r>
            <w:r>
              <w:rPr>
                <w:bCs/>
                <w:b/>
              </w:rPr>
              <w:t xml:space="preserve">values only</w:t>
            </w:r>
            <w:r>
              <w:t xml:space="preserve">: one block of the 25 MTOutputs rows per scenario, under its ID. ID 1 is the baseline; a definition keeps its MTInputs number. Columns: ID, name, code stem, output code, description, unit, time stored, then 2022-2040.</w:t>
            </w:r>
          </w:p>
        </w:tc>
      </w:tr>
      <w:tr>
        <w:tc>
          <w:tcPr/>
          <w:p>
            <w:pPr>
              <w:pStyle w:val="Compact"/>
              <w:jc w:val="left"/>
            </w:pPr>
            <w:r>
              <w:t xml:space="preserve">ScenarioCompare</w:t>
            </w:r>
          </w:p>
        </w:tc>
        <w:tc>
          <w:tcPr/>
          <w:p>
            <w:pPr>
              <w:pStyle w:val="Compact"/>
              <w:jc w:val="left"/>
            </w:pPr>
            <w:r>
              <w:t xml:space="preserve">Key results for</w:t>
            </w:r>
            <w:r>
              <w:t xml:space="preserve"> </w:t>
            </w:r>
            <w:r>
              <w:rPr>
                <w:bCs/>
                <w:b/>
              </w:rPr>
              <w:t xml:space="preserve">one year</w:t>
            </w:r>
            <w:r>
              <w:t xml:space="preserve"> </w:t>
            </w:r>
            <w:r>
              <w:t xml:space="preserve">(C4) of the baseline and up to 8 stored scenarios (IDs in row 6): levels, differences from the baseline, and % differences. Its formulas read StoredResults only.</w:t>
            </w:r>
          </w:p>
        </w:tc>
      </w:tr>
      <w:tr>
        <w:tc>
          <w:tcPr/>
          <w:p>
            <w:pPr>
              <w:pStyle w:val="Compact"/>
              <w:jc w:val="left"/>
            </w:pPr>
            <w:r>
              <w:t xml:space="preserve">VBA module CPATScenarios</w:t>
            </w:r>
          </w:p>
        </w:tc>
        <w:tc>
          <w:tcPr/>
          <w:p>
            <w:pPr>
              <w:pStyle w:val="Compact"/>
              <w:jc w:val="left"/>
            </w:pPr>
            <w:r>
              <w:t xml:space="preserve">The macros below (Alt+F8). The workbook is an .xlsm; the source is also in</w:t>
            </w:r>
            <w:r>
              <w:t xml:space="preserve"> </w:t>
            </w:r>
            <w:r>
              <w:rPr>
                <w:rStyle w:val="VerbatimChar"/>
              </w:rPr>
              <w:t xml:space="preserve">CPATScenarios_v0_2.bas</w:t>
            </w:r>
            <w:r>
              <w:t xml:space="preserve">.</w:t>
            </w:r>
          </w:p>
        </w:tc>
      </w:tr>
      <w:tr>
        <w:tc>
          <w:tcPr/>
          <w:p>
            <w:pPr>
              <w:pStyle w:val="Compact"/>
              <w:jc w:val="left"/>
            </w:pPr>
            <w:r>
              <w:t xml:space="preserve">MacroCheck</w:t>
            </w:r>
          </w:p>
        </w:tc>
        <w:tc>
          <w:tcPr/>
          <w:p>
            <w:pPr>
              <w:pStyle w:val="Compact"/>
              <w:jc w:val="left"/>
            </w:pPr>
            <w:r>
              <w:t xml:space="preserve">Report of the first-run test macro CheckBatchRun: one row per check, Result in row 6.</w:t>
            </w:r>
          </w:p>
        </w:tc>
      </w:tr>
    </w:tbl>
    <w:bookmarkEnd w:id="43"/>
    <w:bookmarkStart w:id="44" w:name="shipped-definitions"/>
    <w:p>
      <w:pPr>
        <w:pStyle w:val="Heading3"/>
      </w:pPr>
      <w:r>
        <w:t xml:space="preserve">Shipped definitions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Name</w:t>
            </w:r>
          </w:p>
        </w:tc>
        <w:tc>
          <w:tcPr/>
          <w:p>
            <w:pPr>
              <w:pStyle w:val="Compact"/>
              <w:jc w:val="left"/>
            </w:pPr>
            <w:r>
              <w:t xml:space="preserve">Inputs changed from the template</w:t>
            </w:r>
          </w:p>
        </w:tc>
      </w:tr>
      <w:tr>
        <w:tc>
          <w:tcPr/>
          <w:p>
            <w:pPr>
              <w:pStyle w:val="Compact"/>
              <w:jc w:val="left"/>
            </w:pPr>
            <w:r>
              <w:t xml:space="preserve">3</w:t>
            </w:r>
          </w:p>
        </w:tc>
        <w:tc>
          <w:tcPr/>
          <w:p>
            <w:pPr>
              <w:pStyle w:val="Compact"/>
              <w:jc w:val="left"/>
            </w:pPr>
            <w:r>
              <w:t xml:space="preserve">Carbon price $20/tCO2 from 2027</w:t>
            </w:r>
          </w:p>
        </w:tc>
        <w:tc>
          <w:tcPr/>
          <w:p>
            <w:pPr>
              <w:pStyle w:val="Compact"/>
              <w:jc w:val="left"/>
            </w:pPr>
            <w:r>
              <w:t xml:space="preserve">The live scenario’s settings</w:t>
            </w:r>
          </w:p>
        </w:tc>
      </w:tr>
      <w:tr>
        <w:tc>
          <w:tcPr/>
          <w:p>
            <w:pPr>
              <w:pStyle w:val="Compact"/>
              <w:jc w:val="left"/>
            </w:pPr>
            <w:r>
              <w:t xml:space="preserve">4</w:t>
            </w:r>
          </w:p>
        </w:tc>
        <w:tc>
          <w:tcPr/>
          <w:p>
            <w:pPr>
              <w:pStyle w:val="Compact"/>
              <w:jc w:val="left"/>
            </w:pPr>
            <w:r>
              <w:t xml:space="preserve">Package A: carbon tax to $50 by 2030 + feebates (transport, industry)</w:t>
            </w:r>
          </w:p>
        </w:tc>
        <w:tc>
          <w:tcPr/>
          <w:p>
            <w:pPr>
              <w:pStyle w:val="Compact"/>
              <w:jc w:val="left"/>
            </w:pPr>
            <w:r>
              <w:t xml:space="preserve">Carbon tax $10 (2027) to $50 (2030). Feebates 2027-2030: transport $10 → $50, industry $5 → $25. Feebate coverage adds road, mining &amp; chemicals, and iron &amp; steel</w:t>
            </w:r>
          </w:p>
        </w:tc>
      </w:tr>
      <w:tr>
        <w:tc>
          <w:tcPr/>
          <w:p>
            <w:pPr>
              <w:pStyle w:val="Compact"/>
              <w:jc w:val="left"/>
            </w:pPr>
            <w:r>
              <w:t xml:space="preserve">5</w:t>
            </w:r>
          </w:p>
        </w:tc>
        <w:tc>
          <w:tcPr/>
          <w:p>
            <w:pPr>
              <w:pStyle w:val="Compact"/>
              <w:jc w:val="left"/>
            </w:pPr>
            <w:r>
              <w:t xml:space="preserve">Package B: ETS on power and industry + carbon tax $25 elsewhere</w:t>
            </w:r>
          </w:p>
        </w:tc>
        <w:tc>
          <w:tcPr/>
          <w:p>
            <w:pPr>
              <w:pStyle w:val="Compact"/>
              <w:jc w:val="left"/>
            </w:pPr>
            <w:r>
              <w:t xml:space="preserve">Carbon tax $25 from 2027. New ETS from 2027: cap −5% (2027) to −20% (2035) of baseline covered emissions, constant afterwards. Template ETS coverage (power, mining &amp; chemicals, iron &amp; steel, non-ferrous metals, cement), default benchmarks and volatility</w:t>
            </w:r>
          </w:p>
        </w:tc>
      </w:tr>
    </w:tbl>
    <w:p>
      <w:pPr>
        <w:pStyle w:val="BodyText"/>
      </w:pPr>
      <w:r>
        <w:t xml:space="preserve">Paths continue after their target year as set in the model: the carbon price follows its MTInputs switch, and feebates continue linearly.</w:t>
      </w:r>
    </w:p>
    <w:bookmarkEnd w:id="44"/>
    <w:bookmarkStart w:id="45" w:name="macros"/>
    <w:p>
      <w:pPr>
        <w:pStyle w:val="Heading3"/>
      </w:pPr>
      <w:r>
        <w:t xml:space="preserve">Macros</w:t>
      </w:r>
    </w:p>
    <w:p>
      <w:pPr>
        <w:numPr>
          <w:ilvl w:val="0"/>
          <w:numId w:val="1014"/>
        </w:numPr>
        <w:pStyle w:val="Compact"/>
      </w:pPr>
      <w:r>
        <w:rPr>
          <w:bCs/>
          <w:b/>
        </w:rPr>
        <w:t xml:space="preserve">RunAllScenarios</w:t>
      </w:r>
    </w:p>
    <w:p>
      <w:pPr>
        <w:numPr>
          <w:ilvl w:val="1"/>
          <w:numId w:val="1015"/>
        </w:numPr>
        <w:pStyle w:val="Compact"/>
      </w:pPr>
      <w:r>
        <w:t xml:space="preserve">Stores the baseline under ID 1, but only if no baseline is stored yet.</w:t>
      </w:r>
    </w:p>
    <w:p>
      <w:pPr>
        <w:numPr>
          <w:ilvl w:val="1"/>
          <w:numId w:val="1015"/>
        </w:numPr>
        <w:pStyle w:val="Compact"/>
      </w:pPr>
      <w:r>
        <w:t xml:space="preserve">For every definition with Run? = Yes:</w:t>
      </w:r>
    </w:p>
    <w:p>
      <w:pPr>
        <w:numPr>
          <w:ilvl w:val="2"/>
          <w:numId w:val="1016"/>
        </w:numPr>
        <w:pStyle w:val="Compact"/>
      </w:pPr>
      <w:r>
        <w:t xml:space="preserve">copies its rows 8-415 into column K, except the formula rows 10 and 12, and copies its name;</w:t>
      </w:r>
    </w:p>
    <w:p>
      <w:pPr>
        <w:numPr>
          <w:ilvl w:val="2"/>
          <w:numId w:val="1016"/>
        </w:numPr>
        <w:pStyle w:val="Compact"/>
      </w:pPr>
      <w:r>
        <w:t xml:space="preserve">clears the ETS override row of group 2 and recalculates;</w:t>
      </w:r>
    </w:p>
    <w:p>
      <w:pPr>
        <w:numPr>
          <w:ilvl w:val="2"/>
          <w:numId w:val="1016"/>
        </w:numPr>
        <w:pStyle w:val="Compact"/>
      </w:pPr>
      <w:r>
        <w:t xml:space="preserve">runs the ETS goal seek if the definition applies a new ETS and does not set</w:t>
      </w:r>
      <w:r>
        <w:t xml:space="preserve"> </w:t>
      </w:r>
      <w:r>
        <w:t xml:space="preserve">“</w:t>
      </w:r>
      <w:r>
        <w:t xml:space="preserve">Override ETS price</w:t>
      </w:r>
      <w:r>
        <w:t xml:space="preserve">”</w:t>
      </w:r>
      <w:r>
        <w:t xml:space="preserve"> </w:t>
      </w:r>
      <w:r>
        <w:t xml:space="preserve">= Yes;</w:t>
      </w:r>
    </w:p>
    <w:p>
      <w:pPr>
        <w:numPr>
          <w:ilvl w:val="2"/>
          <w:numId w:val="1016"/>
        </w:numPr>
        <w:pStyle w:val="Compact"/>
      </w:pPr>
      <w:r>
        <w:t xml:space="preserve">stores the MTOutputs block of scenario 2 as values, under the definition’s number and name. An existing block with that ID is overwritten.</w:t>
      </w:r>
    </w:p>
    <w:p>
      <w:pPr>
        <w:numPr>
          <w:ilvl w:val="1"/>
          <w:numId w:val="1015"/>
        </w:numPr>
        <w:pStyle w:val="Compact"/>
      </w:pPr>
      <w:r>
        <w:t xml:space="preserve">Restores column K and the override row, and recalculates.</w:t>
      </w:r>
    </w:p>
    <w:p>
      <w:pPr>
        <w:numPr>
          <w:ilvl w:val="0"/>
          <w:numId w:val="1014"/>
        </w:numPr>
        <w:pStyle w:val="Compact"/>
      </w:pPr>
      <w:r>
        <w:rPr>
          <w:bCs/>
          <w:b/>
        </w:rPr>
        <w:t xml:space="preserve">StoreBaseline:</w:t>
      </w:r>
      <w:r>
        <w:t xml:space="preserve"> </w:t>
      </w:r>
      <w:r>
        <w:t xml:space="preserve">replaces the stored baseline with the current scenario 1 results, after a confirmation.</w:t>
      </w:r>
    </w:p>
    <w:p>
      <w:pPr>
        <w:numPr>
          <w:ilvl w:val="0"/>
          <w:numId w:val="1014"/>
        </w:numPr>
        <w:pStyle w:val="Compact"/>
      </w:pPr>
      <w:r>
        <w:rPr>
          <w:bCs/>
          <w:b/>
        </w:rPr>
        <w:t xml:space="preserve">StoreLiveScenario:</w:t>
      </w:r>
      <w:r>
        <w:t xml:space="preserve"> </w:t>
      </w:r>
      <w:r>
        <w:t xml:space="preserve">stores the live scenario 2 as it stands, under an ID you choose (the default is the next free ID from 100).</w:t>
      </w:r>
    </w:p>
    <w:p>
      <w:pPr>
        <w:numPr>
          <w:ilvl w:val="0"/>
          <w:numId w:val="1014"/>
        </w:numPr>
        <w:pStyle w:val="Compact"/>
      </w:pPr>
      <w:r>
        <w:rPr>
          <w:bCs/>
          <w:b/>
        </w:rPr>
        <w:t xml:space="preserve">SolveETSLive:</w:t>
      </w:r>
      <w:r>
        <w:t xml:space="preserve"> </w:t>
      </w:r>
      <w:r>
        <w:t xml:space="preserve">ETS goal seek for the live scenario only. It fills the override row</w:t>
      </w:r>
      <w:r>
        <w:t xml:space="preserve"> </w:t>
      </w:r>
      <w:r>
        <w:rPr>
          <w:rStyle w:val="VerbatimChar"/>
        </w:rPr>
        <w:t xml:space="preserve">ets.ovr</w:t>
      </w:r>
      <w:r>
        <w:t xml:space="preserve"> </w:t>
      </w:r>
      <w:r>
        <w:t xml:space="preserve">and sets the override switch in column K.</w:t>
      </w:r>
    </w:p>
    <w:p>
      <w:pPr>
        <w:numPr>
          <w:ilvl w:val="0"/>
          <w:numId w:val="1014"/>
        </w:numPr>
        <w:pStyle w:val="Compact"/>
      </w:pPr>
      <w:r>
        <w:rPr>
          <w:bCs/>
          <w:b/>
        </w:rPr>
        <w:t xml:space="preserve">ClearStoredScenarios:</w:t>
      </w:r>
      <w:r>
        <w:t xml:space="preserve"> </w:t>
      </w:r>
      <w:r>
        <w:t xml:space="preserve">deletes every stored scenario except the baseline.</w:t>
      </w:r>
    </w:p>
    <w:p>
      <w:pPr>
        <w:numPr>
          <w:ilvl w:val="0"/>
          <w:numId w:val="1014"/>
        </w:numPr>
        <w:pStyle w:val="Compact"/>
      </w:pPr>
      <w:r>
        <w:rPr>
          <w:bCs/>
          <w:b/>
        </w:rPr>
        <w:t xml:space="preserve">CheckBatchRun:</w:t>
      </w:r>
      <w:r>
        <w:t xml:space="preserve"> </w:t>
      </w:r>
      <w:r>
        <w:t xml:space="preserve">the first-run test (see below). Reruns the batch, so the stored scenarios are recalculated by the application that runs it.</w:t>
      </w:r>
    </w:p>
    <w:p>
      <w:pPr>
        <w:pStyle w:val="FirstParagraph"/>
      </w:pPr>
      <w:r>
        <w:t xml:space="preserve">The ETS goal seek is legacy’s damped log-space iteration, as in</w:t>
      </w:r>
      <w:r>
        <w:t xml:space="preserve"> </w:t>
      </w:r>
      <w:r>
        <w:rPr>
          <w:rStyle w:val="VerbatimChar"/>
        </w:rPr>
        <w:t xml:space="preserve">ets_goalseek_v0_2.py</w:t>
      </w:r>
      <w:r>
        <w:t xml:space="preserve">:</w:t>
      </w:r>
      <w:r>
        <w:t xml:space="preserve"> </w:t>
      </w:r>
      <w:r>
        <w:t xml:space="preserve">- It starts from the override row, or from the fast estimate if the row is empty.</w:t>
      </w:r>
      <w:r>
        <w:t xml:space="preserve"> </w:t>
      </w:r>
      <w:r>
        <w:t xml:space="preserve">- Each step is p × (</w:t>
      </w:r>
      <w:r>
        <w:rPr>
          <w:rStyle w:val="VerbatimChar"/>
        </w:rPr>
        <w:t xml:space="preserve">ets.next</w:t>
      </w:r>
      <w:r>
        <w:t xml:space="preserve"> </w:t>
      </w:r>
      <w:r>
        <w:t xml:space="preserve">/ p) ^ alpha, mixed 0.3 with the previous iterate, with 5% smoothing.</w:t>
      </w:r>
      <w:r>
        <w:t xml:space="preserve"> </w:t>
      </w:r>
      <w:r>
        <w:t xml:space="preserve">- Alpha adapts: it halves when the error grows (minimum 0.0625) and rises ×1.2 when the error more than halves (maximum 1).</w:t>
      </w:r>
      <w:r>
        <w:t xml:space="preserve"> </w:t>
      </w:r>
      <w:r>
        <w:t xml:space="preserve">- It stops when the worst |covered / cap − 1| is below 0.5%, or after 20 iterations.</w:t>
      </w:r>
    </w:p>
    <w:bookmarkEnd w:id="45"/>
    <w:bookmarkStart w:id="46" w:name="first-run-in-excel"/>
    <w:p>
      <w:pPr>
        <w:pStyle w:val="Heading3"/>
      </w:pPr>
      <w:r>
        <w:t xml:space="preserve">First run in Excel</w:t>
      </w:r>
    </w:p>
    <w:p>
      <w:pPr>
        <w:pStyle w:val="FirstParagraph"/>
      </w:pPr>
      <w:r>
        <w:t xml:space="preserve">The VBA project and the stored results were produced without Excel. They are tested in LibreOffice: the module loads, the macros reproduce the Python emulation, and CheckBatchRun passes. To confirm the same in Excel:</w:t>
      </w:r>
    </w:p>
    <w:p>
      <w:pPr>
        <w:numPr>
          <w:ilvl w:val="0"/>
          <w:numId w:val="1017"/>
        </w:numPr>
        <w:pStyle w:val="Compact"/>
      </w:pPr>
      <w:r>
        <w:t xml:space="preserve">If the file was downloaded, unblock it first (file Properties &gt; Unblock), or Excel opens it with macros disabled.</w:t>
      </w:r>
    </w:p>
    <w:p>
      <w:pPr>
        <w:numPr>
          <w:ilvl w:val="0"/>
          <w:numId w:val="1017"/>
        </w:numPr>
        <w:pStyle w:val="Compact"/>
      </w:pPr>
      <w:r>
        <w:t xml:space="preserve">Open it and choose Enable Content.</w:t>
      </w:r>
    </w:p>
    <w:p>
      <w:pPr>
        <w:numPr>
          <w:ilvl w:val="0"/>
          <w:numId w:val="1017"/>
        </w:numPr>
        <w:pStyle w:val="Compact"/>
      </w:pPr>
      <w:r>
        <w:t xml:space="preserve">Run the macro</w:t>
      </w:r>
      <w:r>
        <w:t xml:space="preserve"> </w:t>
      </w:r>
      <w:r>
        <w:rPr>
          <w:bCs/>
          <w:b/>
        </w:rPr>
        <w:t xml:space="preserve">CheckBatchRun</w:t>
      </w:r>
      <w:r>
        <w:t xml:space="preserve"> </w:t>
      </w:r>
      <w:r>
        <w:t xml:space="preserve">(Alt+F8). It takes a minute or two. It:</w:t>
      </w:r>
    </w:p>
    <w:p>
      <w:pPr>
        <w:numPr>
          <w:ilvl w:val="1"/>
          <w:numId w:val="1018"/>
        </w:numPr>
        <w:pStyle w:val="Compact"/>
      </w:pPr>
      <w:r>
        <w:t xml:space="preserve">checks the 12 lookups the macros rely on (sheets, rows by code, scenario columns, MTOutputs blocks);</w:t>
      </w:r>
    </w:p>
    <w:p>
      <w:pPr>
        <w:numPr>
          <w:ilvl w:val="1"/>
          <w:numId w:val="1018"/>
        </w:numPr>
        <w:pStyle w:val="Compact"/>
      </w:pPr>
      <w:r>
        <w:t xml:space="preserve">compares Excel’s own recalculation of the baseline with the stored baseline. Excel evaluates the LAMBDA column natively; LibreOffice needed it expanded;</w:t>
      </w:r>
    </w:p>
    <w:p>
      <w:pPr>
        <w:numPr>
          <w:ilvl w:val="1"/>
          <w:numId w:val="1018"/>
        </w:numPr>
        <w:pStyle w:val="Compact"/>
      </w:pPr>
      <w:r>
        <w:t xml:space="preserve">reruns RunAllScenarios, including the ETS goal seek, and compares every stored value with the value stored before the run.</w:t>
      </w:r>
    </w:p>
    <w:p>
      <w:pPr>
        <w:numPr>
          <w:ilvl w:val="0"/>
          <w:numId w:val="1017"/>
        </w:numPr>
        <w:pStyle w:val="Compact"/>
      </w:pPr>
      <w:r>
        <w:t xml:space="preserve">Sheet MacroCheck shows</w:t>
      </w:r>
      <w:r>
        <w:t xml:space="preserve"> </w:t>
      </w:r>
      <w:r>
        <w:rPr>
          <w:bCs/>
          <w:b/>
        </w:rPr>
        <w:t xml:space="preserve">Result PASS</w:t>
      </w:r>
      <w:r>
        <w:t xml:space="preserve"> </w:t>
      </w:r>
      <w:r>
        <w:t xml:space="preserve">when no value differs by more than 1e-6 (relative). CHECK lists how many values differ; FAIL names the lookup that was not found.</w:t>
      </w:r>
    </w:p>
    <w:p>
      <w:pPr>
        <w:numPr>
          <w:ilvl w:val="0"/>
          <w:numId w:val="1017"/>
        </w:numPr>
        <w:pStyle w:val="Compact"/>
      </w:pPr>
      <w:r>
        <w:t xml:space="preserve">If Excel reports that it cannot load the VBA project, or Alt+F8 lists no macros:</w:t>
      </w:r>
    </w:p>
    <w:p>
      <w:pPr>
        <w:numPr>
          <w:ilvl w:val="1"/>
          <w:numId w:val="1019"/>
        </w:numPr>
        <w:pStyle w:val="Compact"/>
      </w:pPr>
      <w:r>
        <w:t xml:space="preserve">remove the project if one is listed;</w:t>
      </w:r>
    </w:p>
    <w:p>
      <w:pPr>
        <w:numPr>
          <w:ilvl w:val="1"/>
          <w:numId w:val="1019"/>
        </w:numPr>
        <w:pStyle w:val="Compact"/>
      </w:pPr>
      <w:r>
        <w:t xml:space="preserve">import</w:t>
      </w:r>
      <w:r>
        <w:t xml:space="preserve"> </w:t>
      </w:r>
      <w:r>
        <w:rPr>
          <w:rStyle w:val="VerbatimChar"/>
        </w:rPr>
        <w:t xml:space="preserve">CPATScenarios_v0_2.bas</w:t>
      </w:r>
      <w:r>
        <w:t xml:space="preserve"> </w:t>
      </w:r>
      <w:r>
        <w:t xml:space="preserve">(Alt+F11 &gt; File &gt; Import);</w:t>
      </w:r>
    </w:p>
    <w:p>
      <w:pPr>
        <w:numPr>
          <w:ilvl w:val="1"/>
          <w:numId w:val="1019"/>
        </w:numPr>
        <w:pStyle w:val="Compact"/>
      </w:pPr>
      <w:r>
        <w:t xml:space="preserve">save as .xlsm and run CheckBatchRun again.</w:t>
      </w:r>
    </w:p>
    <w:bookmarkEnd w:id="46"/>
    <w:bookmarkStart w:id="47" w:name="comparing-scenarios"/>
    <w:p>
      <w:pPr>
        <w:pStyle w:val="Heading3"/>
      </w:pPr>
      <w:r>
        <w:t xml:space="preserve">Comparing scenarios</w:t>
      </w:r>
    </w:p>
    <w:p>
      <w:pPr>
        <w:numPr>
          <w:ilvl w:val="0"/>
          <w:numId w:val="1020"/>
        </w:numPr>
        <w:pStyle w:val="Compact"/>
      </w:pPr>
      <w:r>
        <w:t xml:space="preserve">Choose the year in ScenarioCompare C4 and the scenario IDs in row 6.</w:t>
      </w:r>
    </w:p>
    <w:p>
      <w:pPr>
        <w:numPr>
          <w:ilvl w:val="0"/>
          <w:numId w:val="1020"/>
        </w:numPr>
        <w:pStyle w:val="Compact"/>
      </w:pPr>
      <w:r>
        <w:t xml:space="preserve">Each value is a SUMIFS on StoredResults by ID and code stem, in the column of the chosen year. A blank cell means the ID or stem is not stored.</w:t>
      </w:r>
    </w:p>
    <w:p>
      <w:pPr>
        <w:numPr>
          <w:ilvl w:val="0"/>
          <w:numId w:val="1020"/>
        </w:numPr>
        <w:pStyle w:val="Compact"/>
      </w:pPr>
      <w:r>
        <w:t xml:space="preserve">The change rows that are already relative to scenario 1 (fuel use %, CO2 change, revenue change) are left out; the difference blocks take their place.</w:t>
      </w:r>
    </w:p>
    <w:bookmarkEnd w:id="47"/>
    <w:bookmarkStart w:id="48" w:name="keeping-results"/>
    <w:p>
      <w:pPr>
        <w:pStyle w:val="Heading3"/>
      </w:pPr>
      <w:r>
        <w:t xml:space="preserve">Keeping results</w:t>
      </w:r>
    </w:p>
    <w:p>
      <w:pPr>
        <w:numPr>
          <w:ilvl w:val="0"/>
          <w:numId w:val="1021"/>
        </w:numPr>
        <w:pStyle w:val="Compact"/>
      </w:pPr>
      <w:r>
        <w:t xml:space="preserve">StoredResults holds values only, so results from other files can be pasted in as values under new IDs.</w:t>
      </w:r>
    </w:p>
    <w:p>
      <w:pPr>
        <w:numPr>
          <w:ilvl w:val="0"/>
          <w:numId w:val="1021"/>
        </w:numPr>
        <w:pStyle w:val="Compact"/>
      </w:pPr>
      <w:r>
        <w:t xml:space="preserve">The baseline does not change unless StoreBaseline is run.</w:t>
      </w:r>
    </w:p>
    <w:p>
      <w:pPr>
        <w:numPr>
          <w:ilvl w:val="0"/>
          <w:numId w:val="1021"/>
        </w:numPr>
        <w:pStyle w:val="Compact"/>
      </w:pPr>
      <w:r>
        <w:t xml:space="preserve">ScenarioCompare finds pasted rows as long as the column layout is kept (ID in A, stem in C, years from H).</w:t>
      </w:r>
    </w:p>
    <w:bookmarkEnd w:id="48"/>
    <w:bookmarkStart w:id="49" w:name="limits-1"/>
    <w:p>
      <w:pPr>
        <w:pStyle w:val="Heading3"/>
      </w:pPr>
      <w:r>
        <w:t xml:space="preserve">Limits</w:t>
      </w:r>
    </w:p>
    <w:p>
      <w:pPr>
        <w:numPr>
          <w:ilvl w:val="0"/>
          <w:numId w:val="1022"/>
        </w:numPr>
        <w:pStyle w:val="Compact"/>
      </w:pPr>
      <w:r>
        <w:t xml:space="preserve">The batch run calculates one policy scenario at a time. Mitigation scenario groups 3+ (copied groups) are still possible, but the macros do not use them.</w:t>
      </w:r>
    </w:p>
    <w:p>
      <w:pPr>
        <w:numPr>
          <w:ilvl w:val="0"/>
          <w:numId w:val="1022"/>
        </w:numPr>
        <w:pStyle w:val="Compact"/>
      </w:pPr>
      <w:r>
        <w:t xml:space="preserve">MTOutputs (25 indicators) defines what is stored. To store more, add rows to the MTOutputs blocks first.</w:t>
      </w:r>
    </w:p>
    <w:p>
      <w:pPr>
        <w:numPr>
          <w:ilvl w:val="0"/>
          <w:numId w:val="1022"/>
        </w:numPr>
        <w:pStyle w:val="Compact"/>
      </w:pPr>
      <w:r>
        <w:t xml:space="preserve">The VBA project is written by</w:t>
      </w:r>
      <w:r>
        <w:t xml:space="preserve"> </w:t>
      </w:r>
      <w:r>
        <w:rPr>
          <w:rStyle w:val="VerbatimChar"/>
        </w:rPr>
        <w:t xml:space="preserve">vba_project_v0_1.py</w:t>
      </w:r>
      <w:r>
        <w:t xml:space="preserve"> </w:t>
      </w:r>
      <w:r>
        <w:t xml:space="preserve">without Excel. It is tested in LibreOffice: the module loads and the macro reproduces the Python emulation. CheckBatchRun is the test for its first run in Excel. If Excel does not accept the project, import</w:t>
      </w:r>
      <w:r>
        <w:t xml:space="preserve"> </w:t>
      </w:r>
      <w:r>
        <w:rPr>
          <w:rStyle w:val="VerbatimChar"/>
        </w:rPr>
        <w:t xml:space="preserve">CPATScenarios_v0_2.bas</w:t>
      </w:r>
      <w:r>
        <w:t xml:space="preserve"> </w:t>
      </w:r>
      <w:r>
        <w:t xml:space="preserve">(Alt+F11 &gt; File &gt; Import) and save as .xlsm.</w:t>
      </w:r>
    </w:p>
    <w:bookmarkEnd w:id="49"/>
    <w:bookmarkEnd w:id="50"/>
    <w:bookmarkStart w:id="68" w:name="Xadbdfa488e4ee90dcb764375f760642773e8ce9"/>
    <w:p>
      <w:pPr>
        <w:pStyle w:val="Heading1"/>
      </w:pPr>
      <w:r>
        <w:t xml:space="preserve">Power generation costs and electricity prices</w:t>
      </w:r>
    </w:p>
    <w:p>
      <w:pPr>
        <w:pStyle w:val="FirstParagraph"/>
      </w:pPr>
      <w:r>
        <w:rPr>
          <w:iCs/>
          <w:i/>
        </w:rPr>
        <w:t xml:space="preserve">Source:</w:t>
      </w:r>
      <w:r>
        <w:rPr>
          <w:iCs/>
          <w:i/>
        </w:rPr>
        <w:t xml:space="preserve"> </w:t>
      </w:r>
      <w:r>
        <w:rPr>
          <w:rStyle w:val="VerbatimChar"/>
          <w:iCs/>
          <w:i/>
        </w:rPr>
        <w:t xml:space="preserve">PowerPrices_Method_v0_1.md</w:t>
      </w:r>
      <w:r>
        <w:rPr>
          <w:iCs/>
          <w:i/>
        </w:rPr>
        <w:t xml:space="preserve">.</w:t>
      </w:r>
    </w:p>
    <w:p>
      <w:pPr>
        <w:pStyle w:val="BodyText"/>
      </w:pPr>
      <w:r>
        <w:rPr>
          <w:bCs/>
          <w:b/>
        </w:rPr>
        <w:t xml:space="preserve">Note (v1.06).</w:t>
      </w:r>
      <w:r>
        <w:t xml:space="preserve"> </w:t>
      </w:r>
      <w:r>
        <w:t xml:space="preserve">The quantities are now modelled (</w:t>
      </w:r>
      <w:r>
        <w:rPr>
          <w:rStyle w:val="VerbatimChar"/>
        </w:rPr>
        <w:t xml:space="preserve">PowerModel_Method_v0_1.md</w:t>
      </w:r>
      <w:r>
        <w:t xml:space="preserve">): the interim data rows of sections 5-6 below are replaced by the engineer model, and three corrections are marked below (VAT on the policy term, long-term storage allocation, VRE share).</w:t>
      </w:r>
    </w:p>
    <w:p>
      <w:pPr>
        <w:pStyle w:val="BodyText"/>
      </w:pPr>
      <w:r>
        <w:rPr>
          <w:bCs/>
          <w:b/>
        </w:rPr>
        <w:t xml:space="preserve">Scope.</w:t>
      </w:r>
      <w:r>
        <w:t xml:space="preserve"> </w:t>
      </w:r>
      <w:r>
        <w:t xml:space="preserve">This note covers the price side of the power sector:</w:t>
      </w:r>
      <w:r>
        <w:t xml:space="preserve"> </w:t>
      </w:r>
      <w:r>
        <w:t xml:space="preserve">- what each generation type costs per kWh;</w:t>
      </w:r>
      <w:r>
        <w:t xml:space="preserve"> </w:t>
      </w:r>
      <w:r>
        <w:t xml:space="preserve">- what the generation mix costs on average;</w:t>
      </w:r>
      <w:r>
        <w:t xml:space="preserve"> </w:t>
      </w:r>
      <w:r>
        <w:t xml:space="preserve">- the end-user electricity prices for residential and industrial users;</w:t>
      </w:r>
      <w:r>
        <w:t xml:space="preserve"> </w:t>
      </w:r>
      <w:r>
        <w:t xml:space="preserve">- the power-sector carbon cost and its revenue.</w:t>
      </w:r>
    </w:p>
    <w:p>
      <w:pPr>
        <w:pStyle w:val="BodyText"/>
      </w:pPr>
      <w:r>
        <w:t xml:space="preserve">It follows legacy CPAT section 4 (</w:t>
      </w:r>
      <w:r>
        <w:t xml:space="preserve">“</w:t>
      </w:r>
      <w:r>
        <w:t xml:space="preserve">Technoeconomic (</w:t>
      </w:r>
      <w:r>
        <w:t xml:space="preserve">‘</w:t>
      </w:r>
      <w:r>
        <w:t xml:space="preserve">engineer</w:t>
      </w:r>
      <w:r>
        <w:t xml:space="preserve">’</w:t>
      </w:r>
      <w:r>
        <w:t xml:space="preserve">) power model</w:t>
      </w:r>
      <w:r>
        <w:t xml:space="preserve">”</w:t>
      </w:r>
      <w:r>
        <w:t xml:space="preserve">, Mitigation rows 2954-3672 and 3867-3927) and documentation chapter 3, sections 3.4.1 and 3.4.2.5, keeping legacy’s sub-table letters (A Inputs, B Amortised costs, C Levelised costs, D Variable costs, E Total costs, F Memos, G End-user prices, J Storage). Quantities (dispatch, capacity, investment: legacy tables H, I, K, L) are the next bucket. Until it exists, the two quantities this block needs from it are</w:t>
      </w:r>
      <w:r>
        <w:t xml:space="preserve"> </w:t>
      </w:r>
      <w:r>
        <w:rPr>
          <w:bCs/>
          <w:b/>
        </w:rPr>
        <w:t xml:space="preserve">interim data rows</w:t>
      </w:r>
      <w:r>
        <w:t xml:space="preserve"> </w:t>
      </w:r>
      <w:r>
        <w:t xml:space="preserve">(section 6).</w:t>
      </w:r>
    </w:p>
    <w:p>
      <w:pPr>
        <w:pStyle w:val="BodyText"/>
      </w:pPr>
      <w:r>
        <w:t xml:space="preserve">Units: real US dollars of the results year (2026) per kWh, unless stated. Generation types</w:t>
      </w:r>
      <w:r>
        <w:t xml:space="preserve"> </w:t>
      </w:r>
      <w:r>
        <w:rPr>
          <w:iCs/>
          <w:i/>
        </w:rPr>
        <w:t xml:space="preserve">f</w:t>
      </w:r>
      <w:r>
        <w:t xml:space="preserve">: coal, natural gas, oil, nuclear, wind, solar, hydro, other renewables, biomass (legacy order).</w:t>
      </w:r>
    </w:p>
    <w:bookmarkStart w:id="51" w:name="interactions"/>
    <w:p>
      <w:pPr>
        <w:pStyle w:val="Heading3"/>
      </w:pPr>
      <w:r>
        <w:t xml:space="preserve">1. Interactions</w:t>
      </w:r>
    </w:p>
    <w:p>
      <w:pPr>
        <w:pStyle w:val="FirstParagraph"/>
      </w:pPr>
      <w:r>
        <w:t xml:space="preserve">The price block is mostly a one-way chain. Six links connect it with the rest of the model; the table lists each one and how legacy keeps it free of circular references.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From</w:t>
            </w:r>
          </w:p>
        </w:tc>
        <w:tc>
          <w:tcPr/>
          <w:p>
            <w:pPr>
              <w:pStyle w:val="Compact"/>
              <w:jc w:val="left"/>
            </w:pPr>
            <w:r>
              <w:t xml:space="preserve">To</w:t>
            </w:r>
          </w:p>
        </w:tc>
        <w:tc>
          <w:tcPr/>
          <w:p>
            <w:pPr>
              <w:pStyle w:val="Compact"/>
              <w:jc w:val="left"/>
            </w:pPr>
            <w:r>
              <w:t xml:space="preserve">What flows</w:t>
            </w:r>
          </w:p>
        </w:tc>
        <w:tc>
          <w:tcPr/>
          <w:p>
            <w:pPr>
              <w:pStyle w:val="Compact"/>
              <w:jc w:val="left"/>
            </w:pPr>
            <w:r>
              <w:t xml:space="preserve">How the loop is broken (legacy)</w:t>
            </w:r>
          </w:p>
        </w:tc>
        <w:tc>
          <w:tcPr/>
          <w:p>
            <w:pPr>
              <w:pStyle w:val="Compact"/>
              <w:jc w:val="left"/>
            </w:pPr>
            <w:r>
              <w:t xml:space="preserve">MVP now</w:t>
            </w:r>
          </w:p>
        </w:tc>
      </w:tr>
      <w:tr>
        <w:tc>
          <w:tcPr/>
          <w:p>
            <w:pPr>
              <w:pStyle w:val="Compact"/>
              <w:jc w:val="left"/>
            </w:pPr>
            <w:r>
              <w:t xml:space="preserve">I1</w:t>
            </w:r>
          </w:p>
        </w:tc>
        <w:tc>
          <w:tcPr/>
          <w:p>
            <w:pPr>
              <w:pStyle w:val="Compact"/>
              <w:jc w:val="left"/>
            </w:pPr>
            <w:r>
              <w:t xml:space="preserve">Section 2 prices (coal and gas for power, oil, biomass)</w:t>
            </w:r>
          </w:p>
        </w:tc>
        <w:tc>
          <w:tcPr/>
          <w:p>
            <w:pPr>
              <w:pStyle w:val="Compact"/>
              <w:jc w:val="left"/>
            </w:pPr>
            <w:r>
              <w:t xml:space="preserve">D Variable costs</w:t>
            </w:r>
          </w:p>
        </w:tc>
        <w:tc>
          <w:tcPr/>
          <w:p>
            <w:pPr>
              <w:pStyle w:val="Compact"/>
              <w:jc w:val="left"/>
            </w:pPr>
            <w:r>
              <w:t xml:space="preserve">Fuel price before new policies ($/GJ, $/bbl)</w:t>
            </w:r>
          </w:p>
        </w:tc>
        <w:tc>
          <w:tcPr/>
          <w:p>
            <w:pPr>
              <w:pStyle w:val="Compact"/>
              <w:jc w:val="left"/>
            </w:pPr>
            <w:r>
              <w:t xml:space="preserve">One way</w:t>
            </w:r>
          </w:p>
        </w:tc>
        <w:tc>
          <w:tcPr/>
          <w:p>
            <w:pPr>
              <w:pStyle w:val="Compact"/>
              <w:jc w:val="left"/>
            </w:pPr>
            <w:r>
              <w:t xml:space="preserve">Live link</w:t>
            </w:r>
          </w:p>
        </w:tc>
      </w:tr>
      <w:tr>
        <w:tc>
          <w:tcPr/>
          <w:p>
            <w:pPr>
              <w:pStyle w:val="Compact"/>
              <w:jc w:val="left"/>
            </w:pPr>
            <w:r>
              <w:t xml:space="preserve">I2</w:t>
            </w:r>
          </w:p>
        </w:tc>
        <w:tc>
          <w:tcPr/>
          <w:p>
            <w:pPr>
              <w:pStyle w:val="Compact"/>
              <w:jc w:val="left"/>
            </w:pPr>
            <w:r>
              <w:t xml:space="preserve">Section 1 policies (carbon price, ETS power coverage, fuel price reform)</w:t>
            </w:r>
          </w:p>
        </w:tc>
        <w:tc>
          <w:tcPr/>
          <w:p>
            <w:pPr>
              <w:pStyle w:val="Compact"/>
              <w:jc w:val="left"/>
            </w:pPr>
            <w:r>
              <w:t xml:space="preserve">D Carbon cost; G end-user prices; revenues</w:t>
            </w:r>
          </w:p>
        </w:tc>
        <w:tc>
          <w:tcPr/>
          <w:p>
            <w:pPr>
              <w:pStyle w:val="Compact"/>
              <w:jc w:val="left"/>
            </w:pPr>
            <w:r>
              <w:t xml:space="preserve">Carbon cost per kWh by generation type</w:t>
            </w:r>
          </w:p>
        </w:tc>
        <w:tc>
          <w:tcPr/>
          <w:p>
            <w:pPr>
              <w:pStyle w:val="Compact"/>
              <w:jc w:val="left"/>
            </w:pPr>
            <w:r>
              <w:t xml:space="preserve">One way</w:t>
            </w:r>
          </w:p>
        </w:tc>
        <w:tc>
          <w:tcPr/>
          <w:p>
            <w:pPr>
              <w:pStyle w:val="Compact"/>
              <w:jc w:val="left"/>
            </w:pPr>
            <w:r>
              <w:t xml:space="preserve">Live link</w:t>
            </w:r>
          </w:p>
        </w:tc>
      </w:tr>
      <w:tr>
        <w:tc>
          <w:tcPr/>
          <w:p>
            <w:pPr>
              <w:pStyle w:val="Compact"/>
              <w:jc w:val="left"/>
            </w:pPr>
            <w:r>
              <w:t xml:space="preserve">I3</w:t>
            </w:r>
          </w:p>
        </w:tc>
        <w:tc>
          <w:tcPr/>
          <w:p>
            <w:pPr>
              <w:pStyle w:val="Compact"/>
              <w:jc w:val="left"/>
            </w:pPr>
            <w:r>
              <w:t xml:space="preserve">Generation mix (dispatch and investment, engineer model)</w:t>
            </w:r>
          </w:p>
        </w:tc>
        <w:tc>
          <w:tcPr/>
          <w:p>
            <w:pPr>
              <w:pStyle w:val="Compact"/>
              <w:jc w:val="left"/>
            </w:pPr>
            <w:r>
              <w:t xml:space="preserve">E average generation cost; J storage (via the VRE share)</w:t>
            </w:r>
          </w:p>
        </w:tc>
        <w:tc>
          <w:tcPr/>
          <w:p>
            <w:pPr>
              <w:pStyle w:val="Compact"/>
              <w:jc w:val="left"/>
            </w:pPr>
            <w:r>
              <w:t xml:space="preserve">Generation shares by type</w:t>
            </w:r>
          </w:p>
        </w:tc>
        <w:tc>
          <w:tcPr/>
          <w:p>
            <w:pPr>
              <w:pStyle w:val="Compact"/>
              <w:jc w:val="left"/>
            </w:pPr>
            <w:r>
              <w:t xml:space="preserve">Dispatch uses current variable costs, which do not depend on the average cost; prices use last year’s average cost (I5)</w:t>
            </w:r>
          </w:p>
        </w:tc>
        <w:tc>
          <w:tcPr/>
          <w:p>
            <w:pPr>
              <w:pStyle w:val="Compact"/>
              <w:jc w:val="left"/>
            </w:pPr>
            <w:r>
              <w:t xml:space="preserve">Interim data (legacy baseline run)</w:t>
            </w:r>
          </w:p>
        </w:tc>
      </w:tr>
      <w:tr>
        <w:tc>
          <w:tcPr/>
          <w:p>
            <w:pPr>
              <w:pStyle w:val="Compact"/>
              <w:jc w:val="left"/>
            </w:pPr>
            <w:r>
              <w:t xml:space="preserve">I4</w:t>
            </w:r>
          </w:p>
        </w:tc>
        <w:tc>
          <w:tcPr/>
          <w:p>
            <w:pPr>
              <w:pStyle w:val="Compact"/>
              <w:jc w:val="left"/>
            </w:pPr>
            <w:r>
              <w:t xml:space="preserve">Investment (engineer model)</w:t>
            </w:r>
          </w:p>
        </w:tc>
        <w:tc>
          <w:tcPr/>
          <w:p>
            <w:pPr>
              <w:pStyle w:val="Compact"/>
              <w:jc w:val="left"/>
            </w:pPr>
            <w:r>
              <w:t xml:space="preserve">B weighted average capex and storage cost of vintages</w:t>
            </w:r>
          </w:p>
        </w:tc>
        <w:tc>
          <w:tcPr/>
          <w:p>
            <w:pPr>
              <w:pStyle w:val="Compact"/>
              <w:jc w:val="left"/>
            </w:pPr>
            <w:r>
              <w:t xml:space="preserve">New investment as a share of remaining capacity Φ</w:t>
            </w:r>
          </w:p>
        </w:tc>
        <w:tc>
          <w:tcPr/>
          <w:p>
            <w:pPr>
              <w:pStyle w:val="Compact"/>
              <w:jc w:val="left"/>
            </w:pPr>
            <w:r>
              <w:t xml:space="preserve">B uses last year’s Φ (verified: exact match with last year’s Φ, see 3.2)</w:t>
            </w:r>
          </w:p>
        </w:tc>
        <w:tc>
          <w:tcPr/>
          <w:p>
            <w:pPr>
              <w:pStyle w:val="Compact"/>
              <w:jc w:val="left"/>
            </w:pPr>
            <w:r>
              <w:t xml:space="preserve">Interim data (legacy baseline run)</w:t>
            </w:r>
          </w:p>
        </w:tc>
      </w:tr>
      <w:tr>
        <w:tc>
          <w:tcPr/>
          <w:p>
            <w:pPr>
              <w:pStyle w:val="Compact"/>
              <w:jc w:val="left"/>
            </w:pPr>
            <w:r>
              <w:t xml:space="preserve">I5</w:t>
            </w:r>
          </w:p>
        </w:tc>
        <w:tc>
          <w:tcPr/>
          <w:p>
            <w:pPr>
              <w:pStyle w:val="Compact"/>
              <w:jc w:val="left"/>
            </w:pPr>
            <w:r>
              <w:t xml:space="preserve">E average generation cost</w:t>
            </w:r>
          </w:p>
        </w:tc>
        <w:tc>
          <w:tcPr/>
          <w:p>
            <w:pPr>
              <w:pStyle w:val="Compact"/>
              <w:jc w:val="left"/>
            </w:pPr>
            <w:r>
              <w:t xml:space="preserve">G end-user prices</w:t>
            </w:r>
          </w:p>
        </w:tc>
        <w:tc>
          <w:tcPr/>
          <w:p>
            <w:pPr>
              <w:pStyle w:val="Compact"/>
              <w:jc w:val="left"/>
            </w:pPr>
            <w:r>
              <w:t xml:space="preserve">Supply cost = average generation cost + transmission</w:t>
            </w:r>
          </w:p>
        </w:tc>
        <w:tc>
          <w:tcPr/>
          <w:p>
            <w:pPr>
              <w:pStyle w:val="Compact"/>
              <w:jc w:val="left"/>
            </w:pPr>
            <w:r>
              <w:rPr>
                <w:bCs/>
                <w:b/>
              </w:rPr>
              <w:t xml:space="preserve">Deliberately lagged one year</w:t>
            </w:r>
            <w:r>
              <w:t xml:space="preserve">: the price in</w:t>
            </w:r>
            <w:r>
              <w:t xml:space="preserve"> </w:t>
            </w:r>
            <w:r>
              <w:rPr>
                <w:iCs/>
                <w:i/>
              </w:rPr>
              <w:t xml:space="preserve">t</w:t>
            </w:r>
            <w:r>
              <w:t xml:space="preserve"> </w:t>
            </w:r>
            <w:r>
              <w:t xml:space="preserve">uses the cost of</w:t>
            </w:r>
            <w:r>
              <w:t xml:space="preserve"> </w:t>
            </w:r>
            <w:r>
              <w:rPr>
                <w:iCs/>
                <w:i/>
              </w:rPr>
              <w:t xml:space="preserve">t</w:t>
            </w:r>
            <w:r>
              <w:t xml:space="preserve">−1</w:t>
            </w:r>
          </w:p>
        </w:tc>
        <w:tc>
          <w:tcPr/>
          <w:p>
            <w:pPr>
              <w:pStyle w:val="Compact"/>
              <w:jc w:val="left"/>
            </w:pPr>
            <w:r>
              <w:t xml:space="preserve">Implemented</w:t>
            </w:r>
          </w:p>
        </w:tc>
      </w:tr>
      <w:tr>
        <w:tc>
          <w:tcPr/>
          <w:p>
            <w:pPr>
              <w:pStyle w:val="Compact"/>
              <w:jc w:val="left"/>
            </w:pPr>
            <w:r>
              <w:t xml:space="preserve">I6</w:t>
            </w:r>
          </w:p>
        </w:tc>
        <w:tc>
          <w:tcPr/>
          <w:p>
            <w:pPr>
              <w:pStyle w:val="Compact"/>
              <w:jc w:val="left"/>
            </w:pPr>
            <w:r>
              <w:t xml:space="preserve">G end-user prices</w:t>
            </w:r>
          </w:p>
        </w:tc>
        <w:tc>
          <w:tcPr/>
          <w:p>
            <w:pPr>
              <w:pStyle w:val="Compact"/>
              <w:jc w:val="left"/>
            </w:pPr>
            <w:r>
              <w:t xml:space="preserve">Electricity demand (sector fuel use) → generation → I3</w:t>
            </w:r>
          </w:p>
        </w:tc>
        <w:tc>
          <w:tcPr/>
          <w:p>
            <w:pPr>
              <w:pStyle w:val="Compact"/>
              <w:jc w:val="left"/>
            </w:pPr>
            <w:r>
              <w:t xml:space="preserve">Residential and industrial electricity prices</w:t>
            </w:r>
          </w:p>
        </w:tc>
        <w:tc>
          <w:tcPr/>
          <w:p>
            <w:pPr>
              <w:pStyle w:val="Compact"/>
              <w:jc w:val="left"/>
            </w:pPr>
            <w:r>
              <w:t xml:space="preserve">Through I5’s lag</w:t>
            </w:r>
          </w:p>
        </w:tc>
        <w:tc>
          <w:tcPr/>
          <w:p>
            <w:pPr>
              <w:pStyle w:val="Compact"/>
              <w:jc w:val="left"/>
            </w:pPr>
            <w:r>
              <w:t xml:space="preserve">Electricity is not yet a fuel in the sector blocks: prices are computed and reported, demand is interim data</w:t>
            </w:r>
          </w:p>
        </w:tc>
      </w:tr>
      <w:tr>
        <w:tc>
          <w:tcPr/>
          <w:p>
            <w:pPr>
              <w:pStyle w:val="Compact"/>
              <w:jc w:val="left"/>
            </w:pPr>
            <w:r>
              <w:t xml:space="preserve">I7</w:t>
            </w:r>
          </w:p>
        </w:tc>
        <w:tc>
          <w:tcPr/>
          <w:p>
            <w:pPr>
              <w:pStyle w:val="Compact"/>
              <w:jc w:val="left"/>
            </w:pPr>
            <w:r>
              <w:t xml:space="preserve">J storage (systems cost of renewables)</w:t>
            </w:r>
          </w:p>
        </w:tc>
        <w:tc>
          <w:tcPr/>
          <w:p>
            <w:pPr>
              <w:pStyle w:val="Compact"/>
              <w:jc w:val="left"/>
            </w:pPr>
            <w:r>
              <w:t xml:space="preserve">B (vintage storage cost) and C (levelised, for investment)</w:t>
            </w:r>
          </w:p>
        </w:tc>
        <w:tc>
          <w:tcPr/>
          <w:p>
            <w:pPr>
              <w:pStyle w:val="Compact"/>
              <w:jc w:val="left"/>
            </w:pPr>
            <w:r>
              <w:t xml:space="preserve">Marginal storage cost of wind, solar, other renewables</w:t>
            </w:r>
          </w:p>
        </w:tc>
        <w:tc>
          <w:tcPr/>
          <w:p>
            <w:pPr>
              <w:pStyle w:val="Compact"/>
              <w:jc w:val="left"/>
            </w:pPr>
            <w:r>
              <w:t xml:space="preserve">Uses the current VRE share from dispatch</w:t>
            </w:r>
          </w:p>
        </w:tc>
        <w:tc>
          <w:tcPr/>
          <w:p>
            <w:pPr>
              <w:pStyle w:val="Compact"/>
              <w:jc w:val="left"/>
            </w:pPr>
            <w:r>
              <w:t xml:space="preserve">Live link from the interim shares</w:t>
            </w:r>
          </w:p>
        </w:tc>
      </w:tr>
      <w:tr>
        <w:tc>
          <w:tcPr/>
          <w:p>
            <w:pPr>
              <w:pStyle w:val="Compact"/>
              <w:jc w:val="left"/>
            </w:pPr>
            <w:r>
              <w:t xml:space="preserve">I8</w:t>
            </w:r>
          </w:p>
        </w:tc>
        <w:tc>
          <w:tcPr/>
          <w:p>
            <w:pPr>
              <w:pStyle w:val="Compact"/>
              <w:jc w:val="left"/>
            </w:pPr>
            <w:r>
              <w:t xml:space="preserve">C levelised costs, D9 levelised variable costs</w:t>
            </w:r>
          </w:p>
        </w:tc>
        <w:tc>
          <w:tcPr/>
          <w:p>
            <w:pPr>
              <w:pStyle w:val="Compact"/>
              <w:jc w:val="left"/>
            </w:pPr>
            <w:r>
              <w:t xml:space="preserve">Investment logit (engineer model); F7 switching carbon prices</w:t>
            </w:r>
          </w:p>
        </w:tc>
        <w:tc>
          <w:tcPr/>
          <w:p>
            <w:pPr>
              <w:pStyle w:val="Compact"/>
              <w:jc w:val="left"/>
            </w:pPr>
            <w:r>
              <w:t xml:space="preserve">Levelised total investment cost by type</w:t>
            </w:r>
          </w:p>
        </w:tc>
        <w:tc>
          <w:tcPr/>
          <w:p>
            <w:pPr>
              <w:pStyle w:val="Compact"/>
              <w:jc w:val="left"/>
            </w:pPr>
            <w:r>
              <w:t xml:space="preserve">Investment only: they do not enter end-user prices</w:t>
            </w:r>
          </w:p>
        </w:tc>
        <w:tc>
          <w:tcPr/>
          <w:p>
            <w:pPr>
              <w:pStyle w:val="Compact"/>
              <w:jc w:val="left"/>
            </w:pPr>
            <w:r>
              <w:t xml:space="preserve">Levelised fixed cost built; levelised variable cost and the investment cost wait for the engineer model</w:t>
            </w:r>
          </w:p>
        </w:tc>
      </w:tr>
    </w:tbl>
    <w:p>
      <w:pPr>
        <w:pStyle w:val="BodyText"/>
      </w:pPr>
      <w:r>
        <w:t xml:space="preserve">Two consequences shape the design:</w:t>
      </w:r>
      <w:r>
        <w:t xml:space="preserve"> </w:t>
      </w:r>
      <w:r>
        <w:t xml:space="preserve">1.</w:t>
      </w:r>
      <w:r>
        <w:t xml:space="preserve"> </w:t>
      </w:r>
      <w:r>
        <w:rPr>
          <w:bCs/>
          <w:b/>
        </w:rPr>
        <w:t xml:space="preserve">End-user prices depend on generation costs only through the weighted average</w:t>
      </w:r>
      <w:r>
        <w:t xml:space="preserve"> </w:t>
      </w:r>
      <w:r>
        <w:t xml:space="preserve">(E) and the transmission add-on. Variable, amortised and storage costs matter for prices only as far as they enter that average.</w:t>
      </w:r>
      <w:r>
        <w:t xml:space="preserve"> </w:t>
      </w:r>
      <w:r>
        <w:t xml:space="preserve">2.</w:t>
      </w:r>
      <w:r>
        <w:t xml:space="preserve"> </w:t>
      </w:r>
      <w:r>
        <w:rPr>
          <w:bCs/>
          <w:b/>
        </w:rPr>
        <w:t xml:space="preserve">The renewables systems cost is an interaction inside the price block.</w:t>
      </w:r>
      <w:r>
        <w:t xml:space="preserve"> </w:t>
      </w:r>
      <w:r>
        <w:t xml:space="preserve">The VRE share (from the generation mix) sets the marginal storage cost (J). This enters the cost of wind and solar in two ways:</w:t>
      </w:r>
      <w:r>
        <w:t xml:space="preserve"> </w:t>
      </w:r>
      <w:r>
        <w:t xml:space="preserve">-</w:t>
      </w:r>
      <w:r>
        <w:t xml:space="preserve"> </w:t>
      </w:r>
      <w:r>
        <w:rPr>
          <w:bCs/>
          <w:b/>
        </w:rPr>
        <w:t xml:space="preserve">amortised</w:t>
      </w:r>
      <w:r>
        <w:t xml:space="preserve">, through vintages: the cost of the existing stock (B), which goes into end-user prices;</w:t>
      </w:r>
      <w:r>
        <w:t xml:space="preserve"> </w:t>
      </w:r>
      <w:r>
        <w:t xml:space="preserve">-</w:t>
      </w:r>
      <w:r>
        <w:t xml:space="preserve"> </w:t>
      </w:r>
      <w:r>
        <w:rPr>
          <w:bCs/>
          <w:b/>
        </w:rPr>
        <w:t xml:space="preserve">levelised:</w:t>
      </w:r>
      <w:r>
        <w:t xml:space="preserve"> </w:t>
      </w:r>
      <w:r>
        <w:t xml:space="preserve">the cost of new plants (C), which goes into investment decisions.</w:t>
      </w:r>
    </w:p>
    <w:p>
      <w:pPr>
        <w:pStyle w:val="BodyText"/>
      </w:pPr>
      <w:r>
        <w:t xml:space="preserve">So a scenario that adds renewables raises their storage cost per kWh, which feeds back into the average generation cost a year later.</w:t>
      </w:r>
    </w:p>
    <w:bookmarkEnd w:id="51"/>
    <w:bookmarkStart w:id="52" w:name="simplifications-against-legacy"/>
    <w:p>
      <w:pPr>
        <w:pStyle w:val="Heading3"/>
      </w:pPr>
      <w:r>
        <w:t xml:space="preserve">2. Simplifications against legacy</w:t>
      </w:r>
    </w:p>
    <w:p>
      <w:pPr>
        <w:pStyle w:val="FirstParagraph"/>
      </w:pPr>
      <w:r>
        <w:t xml:space="preserve">Each simplification gives the same numbers as legacy (checked in the Python reference, section 7) unless the table says otherwise.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Legacy</w:t>
            </w:r>
          </w:p>
        </w:tc>
        <w:tc>
          <w:tcPr/>
          <w:p>
            <w:pPr>
              <w:pStyle w:val="Compact"/>
              <w:jc w:val="left"/>
            </w:pPr>
            <w:r>
              <w:t xml:space="preserve">MVP</w:t>
            </w:r>
          </w:p>
        </w:tc>
        <w:tc>
          <w:tcPr/>
          <w:p>
            <w:pPr>
              <w:pStyle w:val="Compact"/>
              <w:jc w:val="left"/>
            </w:pPr>
            <w:r>
              <w:t xml:space="preserve">Same numbers?</w:t>
            </w:r>
          </w:p>
        </w:tc>
      </w:tr>
      <w:tr>
        <w:tc>
          <w:tcPr/>
          <w:p>
            <w:pPr>
              <w:pStyle w:val="Compact"/>
              <w:jc w:val="left"/>
            </w:pPr>
            <w:r>
              <w:t xml:space="preserve">S1</w:t>
            </w:r>
          </w:p>
        </w:tc>
        <w:tc>
          <w:tcPr/>
          <w:p>
            <w:pPr>
              <w:pStyle w:val="Compact"/>
              <w:jc w:val="left"/>
            </w:pPr>
            <w:r>
              <w:t xml:space="preserve">Five amortised-cost tables (B3 capital, B4 interest, B5 decommissioning, B6 storage, B7 fixed O&amp;M) summed in B8</w:t>
            </w:r>
          </w:p>
        </w:tc>
        <w:tc>
          <w:tcPr/>
          <w:p>
            <w:pPr>
              <w:pStyle w:val="Compact"/>
              <w:jc w:val="left"/>
            </w:pPr>
            <w:r>
              <w:t xml:space="preserve">One row per type: fix = (cax_av × (1/life + wacc/2) + dtc/life) / (cf × 8,760) + sto_av + opf</w:t>
            </w:r>
          </w:p>
        </w:tc>
        <w:tc>
          <w:tcPr/>
          <w:p>
            <w:pPr>
              <w:pStyle w:val="Compact"/>
              <w:jc w:val="left"/>
            </w:pPr>
            <w:r>
              <w:t xml:space="preserve">Yes (algebraically identical)</w:t>
            </w:r>
          </w:p>
        </w:tc>
      </w:tr>
      <w:tr>
        <w:tc>
          <w:tcPr/>
          <w:p>
            <w:pPr>
              <w:pStyle w:val="Compact"/>
              <w:jc w:val="left"/>
            </w:pPr>
            <w:r>
              <w:t xml:space="preserve">S2</w:t>
            </w:r>
          </w:p>
        </w:tc>
        <w:tc>
          <w:tcPr/>
          <w:p>
            <w:pPr>
              <w:pStyle w:val="Compact"/>
              <w:jc w:val="left"/>
            </w:pPr>
            <w:r>
              <w:t xml:space="preserve">Six levelised tables (C1-C6) summed in C7; discount-factor tables A5, A6</w:t>
            </w:r>
          </w:p>
        </w:tc>
        <w:tc>
          <w:tcPr/>
          <w:p>
            <w:pPr>
              <w:pStyle w:val="Compact"/>
              <w:jc w:val="left"/>
            </w:pPr>
            <w:r>
              <w:t xml:space="preserve">One row per type: lfx = (cax + dtc + tcx) / (cf × 8,760 × dlf) + msc + opf + rns, with dlf in closed form (1 − (1+w)^−N) / (1 − (1+w)^−1) as a parameter</w:t>
            </w:r>
          </w:p>
        </w:tc>
        <w:tc>
          <w:tcPr/>
          <w:p>
            <w:pPr>
              <w:pStyle w:val="Compact"/>
              <w:jc w:val="left"/>
            </w:pPr>
            <w:r>
              <w:t xml:space="preserve">Yes</w:t>
            </w:r>
          </w:p>
        </w:tc>
      </w:tr>
      <w:tr>
        <w:tc>
          <w:tcPr/>
          <w:p>
            <w:pPr>
              <w:pStyle w:val="Compact"/>
              <w:jc w:val="left"/>
            </w:pPr>
            <w:r>
              <w:t xml:space="preserve">S3</w:t>
            </w:r>
          </w:p>
        </w:tc>
        <w:tc>
          <w:tcPr/>
          <w:p>
            <w:pPr>
              <w:pStyle w:val="Compact"/>
              <w:jc w:val="left"/>
            </w:pPr>
            <w:r>
              <w:t xml:space="preserve">Duplicates: A16 = B7 = C4 (fixed O&amp;M), D7 = D8 (variable cost), E1 = E4 (investment cost), F2/F3 (fuel prices and fuel cost), E2 (cost before storage), E5 (breakdown memo)</w:t>
            </w:r>
          </w:p>
        </w:tc>
        <w:tc>
          <w:tcPr/>
          <w:p>
            <w:pPr>
              <w:pStyle w:val="Compact"/>
              <w:jc w:val="left"/>
            </w:pPr>
            <w:r>
              <w:t xml:space="preserve">Dropped; each quantity once</w:t>
            </w:r>
          </w:p>
        </w:tc>
        <w:tc>
          <w:tcPr/>
          <w:p>
            <w:pPr>
              <w:pStyle w:val="Compact"/>
              <w:jc w:val="left"/>
            </w:pPr>
            <w:r>
              <w:t xml:space="preserve">n/a</w:t>
            </w:r>
          </w:p>
        </w:tc>
      </w:tr>
      <w:tr>
        <w:tc>
          <w:tcPr/>
          <w:p>
            <w:pPr>
              <w:pStyle w:val="Compact"/>
              <w:jc w:val="left"/>
            </w:pPr>
            <w:r>
              <w:t xml:space="preserve">S4</w:t>
            </w:r>
          </w:p>
        </w:tc>
        <w:tc>
          <w:tcPr/>
          <w:p>
            <w:pPr>
              <w:pStyle w:val="Compact"/>
              <w:jc w:val="left"/>
            </w:pPr>
            <w:r>
              <w:t xml:space="preserve">Residential and industrial price: supply cost + producer subsidy + other tax +</w:t>
            </w:r>
            <w:r>
              <w:t xml:space="preserve"> </w:t>
            </w:r>
            <w:r>
              <w:t xml:space="preserve">“</w:t>
            </w:r>
            <w:r>
              <w:t xml:space="preserve">over/under-estimated costs</w:t>
            </w:r>
            <w:r>
              <w:t xml:space="preserve">”</w:t>
            </w:r>
            <w:r>
              <w:t xml:space="preserve"> </w:t>
            </w:r>
            <w:r>
              <w:t xml:space="preserve">residual, the last three held at their last-historical-year values, then VAT</w:t>
            </w:r>
          </w:p>
        </w:tc>
        <w:tc>
          <w:tcPr/>
          <w:p>
            <w:pPr>
              <w:pStyle w:val="Compact"/>
              <w:jc w:val="left"/>
            </w:pPr>
            <w:r>
              <w:t xml:space="preserve">Telescoped: rp_pre(t) = rp_pre(t−1) + pass × (sc(t) − sc(t−1)) × (1 + VAT) after the last historical year; data before. The three held components cancel out of the change</w:t>
            </w:r>
          </w:p>
        </w:tc>
        <w:tc>
          <w:tcPr/>
          <w:p>
            <w:pPr>
              <w:pStyle w:val="Compact"/>
              <w:jc w:val="left"/>
            </w:pPr>
            <w:r>
              <w:t xml:space="preserve">Yes (pass-through 1, VAT constant after the last historical year, as legacy)</w:t>
            </w:r>
          </w:p>
        </w:tc>
      </w:tr>
      <w:tr>
        <w:tc>
          <w:tcPr/>
          <w:p>
            <w:pPr>
              <w:pStyle w:val="Compact"/>
              <w:jc w:val="left"/>
            </w:pPr>
            <w:r>
              <w:t xml:space="preserve">S5</w:t>
            </w:r>
          </w:p>
        </w:tc>
        <w:tc>
          <w:tcPr/>
          <w:p>
            <w:pPr>
              <w:pStyle w:val="Compact"/>
              <w:jc w:val="left"/>
            </w:pPr>
            <w:r>
              <w:t xml:space="preserve">Fuel prices for power: 5-year moving average (A18; spot prices are a dashboard option)</w:t>
            </w:r>
          </w:p>
        </w:tc>
        <w:tc>
          <w:tcPr/>
          <w:p>
            <w:pPr>
              <w:pStyle w:val="Compact"/>
              <w:jc w:val="left"/>
            </w:pPr>
            <w:r>
              <w:t xml:space="preserve">Spot prices from section 2 (the legacy option</w:t>
            </w:r>
            <w:r>
              <w:t xml:space="preserve"> </w:t>
            </w:r>
            <w:r>
              <w:t xml:space="preserve">“</w:t>
            </w:r>
            <w:r>
              <w:t xml:space="preserve">use spot fuel prices</w:t>
            </w:r>
            <w:r>
              <w:t xml:space="preserve">”</w:t>
            </w:r>
            <w:r>
              <w:t xml:space="preserve">)</w:t>
            </w:r>
          </w:p>
        </w:tc>
        <w:tc>
          <w:tcPr/>
          <w:p>
            <w:pPr>
              <w:pStyle w:val="Compact"/>
              <w:jc w:val="left"/>
            </w:pPr>
            <w:r>
              <w:rPr>
                <w:bCs/>
                <w:b/>
              </w:rPr>
              <w:t xml:space="preserve">No</w:t>
            </w:r>
            <w:r>
              <w:t xml:space="preserve">: coal and oil cost changes reach power one to four years earlier. Listed in LegacyDiff; a moving average can come later</w:t>
            </w:r>
          </w:p>
        </w:tc>
      </w:tr>
      <w:tr>
        <w:tc>
          <w:tcPr/>
          <w:p>
            <w:pPr>
              <w:pStyle w:val="Compact"/>
              <w:jc w:val="left"/>
            </w:pPr>
            <w:r>
              <w:t xml:space="preserve">S6</w:t>
            </w:r>
          </w:p>
        </w:tc>
        <w:tc>
          <w:tcPr/>
          <w:p>
            <w:pPr>
              <w:pStyle w:val="Compact"/>
              <w:jc w:val="left"/>
            </w:pPr>
            <w:r>
              <w:t xml:space="preserve">Coal implicit cost (D3) and the additional shadow price (D6)</w:t>
            </w:r>
          </w:p>
        </w:tc>
        <w:tc>
          <w:tcPr/>
          <w:p>
            <w:pPr>
              <w:pStyle w:val="Compact"/>
              <w:jc w:val="left"/>
            </w:pPr>
            <w:r>
              <w:t xml:space="preserve">Not built (both 0 in the Egypt run, no coal in Egypt’s mix)</w:t>
            </w:r>
          </w:p>
        </w:tc>
        <w:tc>
          <w:tcPr/>
          <w:p>
            <w:pPr>
              <w:pStyle w:val="Compact"/>
              <w:jc w:val="left"/>
            </w:pPr>
            <w:r>
              <w:t xml:space="preserve">Yes for Egypt</w:t>
            </w:r>
          </w:p>
        </w:tc>
      </w:tr>
      <w:tr>
        <w:tc>
          <w:tcPr/>
          <w:p>
            <w:pPr>
              <w:pStyle w:val="Compact"/>
              <w:jc w:val="left"/>
            </w:pPr>
            <w:r>
              <w:t xml:space="preserve">S7</w:t>
            </w:r>
          </w:p>
        </w:tc>
        <w:tc>
          <w:tcPr/>
          <w:p>
            <w:pPr>
              <w:pStyle w:val="Compact"/>
              <w:jc w:val="left"/>
            </w:pPr>
            <w:r>
              <w:t xml:space="preserve">Producer-side subsidies and the over/under-estimate residual as rows</w:t>
            </w:r>
          </w:p>
        </w:tc>
        <w:tc>
          <w:tcPr/>
          <w:p>
            <w:pPr>
              <w:pStyle w:val="Compact"/>
              <w:jc w:val="left"/>
            </w:pPr>
            <w:r>
              <w:t xml:space="preserve">Not needed for prices (S4). Reported as one row, the subsidy gap = supply cost − price before VAT, for revenue analysis</w:t>
            </w:r>
          </w:p>
        </w:tc>
        <w:tc>
          <w:tcPr/>
          <w:p>
            <w:pPr>
              <w:pStyle w:val="Compact"/>
              <w:jc w:val="left"/>
            </w:pPr>
            <w:r>
              <w:t xml:space="preserve">Yes for prices</w:t>
            </w:r>
          </w:p>
        </w:tc>
      </w:tr>
    </w:tbl>
    <w:p>
      <w:pPr>
        <w:pStyle w:val="BodyText"/>
      </w:pPr>
      <w:r>
        <w:t xml:space="preserve">Row count of the price chain for one scenario: legacy about 330 rows (A5-G4, J1-J3); MVP about 140 (section 4).</w:t>
      </w:r>
    </w:p>
    <w:bookmarkEnd w:id="52"/>
    <w:bookmarkStart w:id="62" w:name="method-by-legacy-sub-table"/>
    <w:p>
      <w:pPr>
        <w:pStyle w:val="Heading3"/>
      </w:pPr>
      <w:r>
        <w:t xml:space="preserve">3. Method by legacy sub-table</w:t>
      </w:r>
    </w:p>
    <w:bookmarkStart w:id="53" w:name="X84248de046d920a648c2e37703764d8e792db37"/>
    <w:p>
      <w:pPr>
        <w:pStyle w:val="Heading4"/>
      </w:pPr>
      <w:r>
        <w:t xml:space="preserve">3.1 A. Inputs (data step: sheet Inputs_power, one row per generation type, and a few year paths)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Legacy</w:t>
            </w:r>
          </w:p>
        </w:tc>
      </w:tr>
      <w:tr>
        <w:tc>
          <w:tcPr/>
          <w:p>
            <w:pPr>
              <w:pStyle w:val="Compact"/>
              <w:jc w:val="left"/>
            </w:pPr>
            <w:r>
              <w:t xml:space="preserve">cax0, N</w:t>
            </w:r>
          </w:p>
        </w:tc>
        <w:tc>
          <w:tcPr/>
          <w:p>
            <w:pPr>
              <w:pStyle w:val="Compact"/>
              <w:jc w:val="left"/>
            </w:pPr>
            <w:r>
              <w:t xml:space="preserve">Capital cost at capex time factor 1 ($/kW; legacy base-year cost ÷ base-year factor), lifetime (years)</w:t>
            </w:r>
          </w:p>
        </w:tc>
        <w:tc>
          <w:tcPr/>
          <w:p>
            <w:pPr>
              <w:pStyle w:val="Compact"/>
              <w:jc w:val="left"/>
            </w:pPr>
            <w:r>
              <w:t xml:space="preserve">A2, B2</w:t>
            </w:r>
          </w:p>
        </w:tc>
      </w:tr>
      <w:tr>
        <w:tc>
          <w:tcPr/>
          <w:p>
            <w:pPr>
              <w:pStyle w:val="Compact"/>
              <w:jc w:val="left"/>
            </w:pPr>
            <w:r>
              <w:t xml:space="preserve">tcf(t)</w:t>
            </w:r>
          </w:p>
        </w:tc>
        <w:tc>
          <w:tcPr/>
          <w:p>
            <w:pPr>
              <w:pStyle w:val="Compact"/>
              <w:jc w:val="left"/>
            </w:pPr>
            <w:r>
              <w:t xml:space="preserve">Capex time factor (renewables fall; others 1)</w:t>
            </w:r>
          </w:p>
        </w:tc>
        <w:tc>
          <w:tcPr/>
          <w:p>
            <w:pPr>
              <w:pStyle w:val="Compact"/>
              <w:jc w:val="left"/>
            </w:pPr>
            <w:r>
              <w:t xml:space="preserve">A7</w:t>
            </w:r>
          </w:p>
        </w:tc>
      </w:tr>
      <w:tr>
        <w:tc>
          <w:tcPr/>
          <w:p>
            <w:pPr>
              <w:pStyle w:val="Compact"/>
              <w:jc w:val="left"/>
            </w:pPr>
            <w:r>
              <w:t xml:space="preserve">cax(t) = cax0 × tcf(t)</w:t>
            </w:r>
          </w:p>
        </w:tc>
        <w:tc>
          <w:tcPr/>
          <w:p>
            <w:pPr>
              <w:pStyle w:val="Compact"/>
              <w:jc w:val="left"/>
            </w:pPr>
            <w:r>
              <w:t xml:space="preserve">Capital cost path</w:t>
            </w:r>
          </w:p>
        </w:tc>
        <w:tc>
          <w:tcPr/>
          <w:p>
            <w:pPr>
              <w:pStyle w:val="Compact"/>
              <w:jc w:val="left"/>
            </w:pPr>
            <w:r>
              <w:t xml:space="preserve">A13</w:t>
            </w:r>
          </w:p>
        </w:tc>
      </w:tr>
      <w:tr>
        <w:tc>
          <w:tcPr/>
          <w:p>
            <w:pPr>
              <w:pStyle w:val="Compact"/>
              <w:jc w:val="left"/>
            </w:pPr>
            <w:r>
              <w:t xml:space="preserve">wacc</w:t>
            </w:r>
          </w:p>
        </w:tc>
        <w:tc>
          <w:tcPr/>
          <w:p>
            <w:pPr>
              <w:pStyle w:val="Compact"/>
              <w:jc w:val="left"/>
            </w:pPr>
            <w:r>
              <w:t xml:space="preserve">Country WACC + technology premium</w:t>
            </w:r>
          </w:p>
        </w:tc>
        <w:tc>
          <w:tcPr/>
          <w:p>
            <w:pPr>
              <w:pStyle w:val="Compact"/>
              <w:jc w:val="left"/>
            </w:pPr>
            <w:r>
              <w:t xml:space="preserve">A3, B4</w:t>
            </w:r>
            <w:r>
              <w:t xml:space="preserve"> </w:t>
            </w:r>
            <w:r>
              <w:t xml:space="preserve">“</w:t>
            </w:r>
            <w:r>
              <w:t xml:space="preserve">Final WACC</w:t>
            </w:r>
            <w:r>
              <w:t xml:space="preserve">”</w:t>
            </w:r>
          </w:p>
        </w:tc>
      </w:tr>
      <w:tr>
        <w:tc>
          <w:tcPr/>
          <w:p>
            <w:pPr>
              <w:pStyle w:val="Compact"/>
              <w:jc w:val="left"/>
            </w:pPr>
            <w:r>
              <w:t xml:space="preserve">cf</w:t>
            </w:r>
          </w:p>
        </w:tc>
        <w:tc>
          <w:tcPr/>
          <w:p>
            <w:pPr>
              <w:pStyle w:val="Compact"/>
              <w:jc w:val="left"/>
            </w:pPr>
            <w:r>
              <w:t xml:space="preserve">Capacity factor (constant)</w:t>
            </w:r>
          </w:p>
        </w:tc>
        <w:tc>
          <w:tcPr/>
          <w:p>
            <w:pPr>
              <w:pStyle w:val="Compact"/>
              <w:jc w:val="left"/>
            </w:pPr>
            <w:r>
              <w:t xml:space="preserve">A8</w:t>
            </w:r>
          </w:p>
        </w:tc>
      </w:tr>
      <w:tr>
        <w:tc>
          <w:tcPr/>
          <w:p>
            <w:pPr>
              <w:pStyle w:val="Compact"/>
              <w:jc w:val="left"/>
            </w:pPr>
            <w:r>
              <w:t xml:space="preserve">ν</w:t>
            </w:r>
          </w:p>
        </w:tc>
        <w:tc>
          <w:tcPr/>
          <w:p>
            <w:pPr>
              <w:pStyle w:val="Compact"/>
              <w:jc w:val="left"/>
            </w:pPr>
            <w:r>
              <w:t xml:space="preserve">Thermal efficiency, NCV (constant)</w:t>
            </w:r>
          </w:p>
        </w:tc>
        <w:tc>
          <w:tcPr/>
          <w:p>
            <w:pPr>
              <w:pStyle w:val="Compact"/>
              <w:jc w:val="left"/>
            </w:pPr>
            <w:r>
              <w:t xml:space="preserve">A9</w:t>
            </w:r>
          </w:p>
        </w:tc>
      </w:tr>
      <w:tr>
        <w:tc>
          <w:tcPr/>
          <w:p>
            <w:pPr>
              <w:pStyle w:val="Compact"/>
              <w:jc w:val="left"/>
            </w:pPr>
            <w:r>
              <w:t xml:space="preserve">dtc, tcx</w:t>
            </w:r>
          </w:p>
        </w:tc>
        <w:tc>
          <w:tcPr/>
          <w:p>
            <w:pPr>
              <w:pStyle w:val="Compact"/>
              <w:jc w:val="left"/>
            </w:pPr>
            <w:r>
              <w:t xml:space="preserve">Decommissioning cost; levelised transmission capex ($/kW)</w:t>
            </w:r>
          </w:p>
        </w:tc>
        <w:tc>
          <w:tcPr/>
          <w:p>
            <w:pPr>
              <w:pStyle w:val="Compact"/>
              <w:jc w:val="left"/>
            </w:pPr>
            <w:r>
              <w:t xml:space="preserve">A14, A15</w:t>
            </w:r>
          </w:p>
        </w:tc>
      </w:tr>
      <w:tr>
        <w:tc>
          <w:tcPr/>
          <w:p>
            <w:pPr>
              <w:pStyle w:val="Compact"/>
              <w:jc w:val="left"/>
            </w:pPr>
            <w:r>
              <w:t xml:space="preserve">opf</w:t>
            </w:r>
          </w:p>
        </w:tc>
        <w:tc>
          <w:tcPr/>
          <w:p>
            <w:pPr>
              <w:pStyle w:val="Compact"/>
              <w:jc w:val="left"/>
            </w:pPr>
            <w:r>
              <w:t xml:space="preserve">Fixed O&amp;M ($/kWh)</w:t>
            </w:r>
          </w:p>
        </w:tc>
        <w:tc>
          <w:tcPr/>
          <w:p>
            <w:pPr>
              <w:pStyle w:val="Compact"/>
              <w:jc w:val="left"/>
            </w:pPr>
            <w:r>
              <w:t xml:space="preserve">A16</w:t>
            </w:r>
          </w:p>
        </w:tc>
      </w:tr>
      <w:tr>
        <w:tc>
          <w:tcPr/>
          <w:p>
            <w:pPr>
              <w:pStyle w:val="Compact"/>
              <w:jc w:val="left"/>
            </w:pPr>
            <w:r>
              <w:t xml:space="preserve">vop</w:t>
            </w:r>
          </w:p>
        </w:tc>
        <w:tc>
          <w:tcPr/>
          <w:p>
            <w:pPr>
              <w:pStyle w:val="Compact"/>
              <w:jc w:val="left"/>
            </w:pPr>
            <w:r>
              <w:t xml:space="preserve">Variable O&amp;M ($/kWh); nuclear fuel 0.004 $/kWh included as fuel</w:t>
            </w:r>
          </w:p>
        </w:tc>
        <w:tc>
          <w:tcPr/>
          <w:p>
            <w:pPr>
              <w:pStyle w:val="Compact"/>
              <w:jc w:val="left"/>
            </w:pPr>
            <w:r>
              <w:t xml:space="preserve">D1, D2</w:t>
            </w:r>
          </w:p>
        </w:tc>
      </w:tr>
      <w:tr>
        <w:tc>
          <w:tcPr/>
          <w:p>
            <w:pPr>
              <w:pStyle w:val="Compact"/>
              <w:jc w:val="left"/>
            </w:pPr>
            <w:r>
              <w:t xml:space="preserve">rns</w:t>
            </w:r>
          </w:p>
        </w:tc>
        <w:tc>
          <w:tcPr/>
          <w:p>
            <w:pPr>
              <w:pStyle w:val="Compact"/>
              <w:jc w:val="left"/>
            </w:pPr>
            <w:r>
              <w:t xml:space="preserve">Renewable subsidy ($/kWh, negative = subsidy)</w:t>
            </w:r>
          </w:p>
        </w:tc>
        <w:tc>
          <w:tcPr/>
          <w:p>
            <w:pPr>
              <w:pStyle w:val="Compact"/>
              <w:jc w:val="left"/>
            </w:pPr>
            <w:r>
              <w:t xml:space="preserve">A17 (0)</w:t>
            </w:r>
          </w:p>
        </w:tc>
      </w:tr>
      <w:tr>
        <w:tc>
          <w:tcPr/>
          <w:p>
            <w:pPr>
              <w:pStyle w:val="Compact"/>
              <w:jc w:val="left"/>
            </w:pPr>
            <w:r>
              <w:t xml:space="preserve">dlf</w:t>
            </w:r>
          </w:p>
        </w:tc>
        <w:tc>
          <w:tcPr/>
          <w:p>
            <w:pPr>
              <w:pStyle w:val="Compact"/>
              <w:jc w:val="left"/>
            </w:pPr>
            <w:r>
              <w:t xml:space="preserve">Discounted lifetime (1 − (1+wacc)^−N) / (1 − (1+wacc)^−1)</w:t>
            </w:r>
          </w:p>
        </w:tc>
        <w:tc>
          <w:tcPr/>
          <w:p>
            <w:pPr>
              <w:pStyle w:val="Compact"/>
              <w:jc w:val="left"/>
            </w:pPr>
            <w:r>
              <w:t xml:space="preserve">A6</w:t>
            </w:r>
          </w:p>
        </w:tc>
      </w:tr>
    </w:tbl>
    <w:bookmarkEnd w:id="53"/>
    <w:bookmarkStart w:id="54" w:name="Xdbcd1e40ef4e4db5852c02edfa5b7f6061119cd"/>
    <w:p>
      <w:pPr>
        <w:pStyle w:val="Heading4"/>
      </w:pPr>
      <w:r>
        <w:t xml:space="preserve">3.2 B. Amortised (cost-recovery) fixed costs, for the cost of the existing stock</w:t>
      </w:r>
    </w:p>
    <w:p>
      <w:pPr>
        <w:numPr>
          <w:ilvl w:val="0"/>
          <w:numId w:val="1023"/>
        </w:numPr>
        <w:pStyle w:val="Compact"/>
      </w:pPr>
      <w:r>
        <w:t xml:space="preserve">Weighted average capex of the stock (verified against legacy, exact):</w:t>
      </w:r>
      <w:r>
        <w:t xml:space="preserve"> </w:t>
      </w:r>
      <w:r>
        <w:t xml:space="preserve">cax_av(t) = cax_av(t−1) × (1 − Φ(t−1)) + cax(t−1) × Φ(t−1); cax_av(base) = cax(base).</w:t>
      </w:r>
    </w:p>
    <w:p>
      <w:pPr>
        <w:numPr>
          <w:ilvl w:val="0"/>
          <w:numId w:val="1023"/>
        </w:numPr>
        <w:pStyle w:val="Compact"/>
      </w:pPr>
      <w:r>
        <w:t xml:space="preserve">Weighted average storage cost of vintages (exact; note the current-year marginal cost):</w:t>
      </w:r>
      <w:r>
        <w:t xml:space="preserve"> </w:t>
      </w:r>
      <w:r>
        <w:t xml:space="preserve">sto_av(t) = sto_av(t−1) × (1 − Φ(t−1)) + msc(t) × Φ(t−1); sto_av(base) = msc(base).</w:t>
      </w:r>
    </w:p>
    <w:p>
      <w:pPr>
        <w:numPr>
          <w:ilvl w:val="0"/>
          <w:numId w:val="1023"/>
        </w:numPr>
        <w:pStyle w:val="Compact"/>
      </w:pPr>
      <w:r>
        <w:t xml:space="preserve">Amortised fixed cost (S1): fix(t) = (cax_av × (1/N + wacc/2) + dtc/N) / (cf × 8,760) + sto_av + opf.</w:t>
      </w:r>
    </w:p>
    <w:bookmarkEnd w:id="54"/>
    <w:bookmarkStart w:id="55" w:name="X59389cf7363e5bdd09e1be1504bb7a943f14a9d"/>
    <w:p>
      <w:pPr>
        <w:pStyle w:val="Heading4"/>
      </w:pPr>
      <w:r>
        <w:t xml:space="preserve">3.3 C. Levelised (forward-looking) fixed costs, for new plants (investment)</w:t>
      </w:r>
    </w:p>
    <w:p>
      <w:pPr>
        <w:pStyle w:val="FirstParagraph"/>
      </w:pPr>
      <w:r>
        <w:t xml:space="preserve">lfx(t) = (cax(t) + dtc + tcx) / (cf × 8,760 × dlf) + msc(t) + opf + rns (S2).</w:t>
      </w:r>
    </w:p>
    <w:bookmarkEnd w:id="55"/>
    <w:bookmarkStart w:id="56" w:name="d.-current-variable-costs"/>
    <w:p>
      <w:pPr>
        <w:pStyle w:val="Heading4"/>
      </w:pPr>
      <w:r>
        <w:t xml:space="preserve">3.4 D. Current variable costs</w:t>
      </w:r>
    </w:p>
    <w:p>
      <w:pPr>
        <w:numPr>
          <w:ilvl w:val="0"/>
          <w:numId w:val="1024"/>
        </w:numPr>
        <w:pStyle w:val="Compact"/>
      </w:pPr>
      <w:r>
        <w:t xml:space="preserve">Fuel cost per kWh: fc(t) = pf(t) × 0.0036 / ν, with pf the section-2 price before new policies in $/GJ (oil: $/bbl ÷ GJ per bbl). Nuclear: 0.004 $/kWh. Renewables 0.</w:t>
      </w:r>
    </w:p>
    <w:p>
      <w:pPr>
        <w:numPr>
          <w:ilvl w:val="0"/>
          <w:numId w:val="1024"/>
        </w:numPr>
        <w:pStyle w:val="Compact"/>
      </w:pPr>
      <w:r>
        <w:t xml:space="preserve">Variable cost before carbon: vbc(t) = vop + fc(t).</w:t>
      </w:r>
    </w:p>
    <w:p>
      <w:pPr>
        <w:numPr>
          <w:ilvl w:val="0"/>
          <w:numId w:val="1024"/>
        </w:numPr>
        <w:pStyle w:val="Compact"/>
      </w:pPr>
      <w:r>
        <w:t xml:space="preserve">Carbon cost per kWh generated: ccp(t) = nce_pow(f, t) × 0.0036 / ν. nce_pow is the new policy wedge on the fuel in the power sector ($/GJ):</w:t>
      </w:r>
    </w:p>
    <w:p>
      <w:pPr>
        <w:numPr>
          <w:ilvl w:val="1"/>
          <w:numId w:val="1025"/>
        </w:numPr>
        <w:pStyle w:val="Compact"/>
      </w:pPr>
      <w:r>
        <w:t xml:space="preserve">carbon tax: carbon price × EF × fuel coverage × power coverage × (1 − ETS coverage of power);</w:t>
      </w:r>
    </w:p>
    <w:p>
      <w:pPr>
        <w:numPr>
          <w:ilvl w:val="1"/>
          <w:numId w:val="1025"/>
        </w:numPr>
        <w:pStyle w:val="Compact"/>
      </w:pPr>
      <w:r>
        <w:t xml:space="preserve">ETS: ETS tax-equivalent price × EF × ETS coverage of power × (1 − OBR share of power);</w:t>
      </w:r>
    </w:p>
    <w:p>
      <w:pPr>
        <w:numPr>
          <w:ilvl w:val="1"/>
          <w:numId w:val="1025"/>
        </w:numPr>
        <w:pStyle w:val="Compact"/>
      </w:pPr>
      <w:r>
        <w:t xml:space="preserve">fuel price reform for coal and gas in power.</w:t>
      </w:r>
    </w:p>
    <w:p>
      <w:pPr>
        <w:numPr>
          <w:ilvl w:val="0"/>
          <w:numId w:val="1024"/>
        </w:numPr>
        <w:pStyle w:val="Compact"/>
      </w:pPr>
      <w:r>
        <w:t xml:space="preserve">Total variable cost: tvc(t) = vbc(t) + ccp(t). This is used by dispatch (engineer model).</w:t>
      </w:r>
    </w:p>
    <w:bookmarkEnd w:id="56"/>
    <w:bookmarkStart w:id="57" w:name="e.-total-costs"/>
    <w:p>
      <w:pPr>
        <w:pStyle w:val="Heading4"/>
      </w:pPr>
      <w:r>
        <w:t xml:space="preserve">3.5 E. Total costs</w:t>
      </w:r>
    </w:p>
    <w:p>
      <w:pPr>
        <w:numPr>
          <w:ilvl w:val="0"/>
          <w:numId w:val="1026"/>
        </w:numPr>
        <w:pStyle w:val="Compact"/>
      </w:pPr>
      <w:r>
        <w:t xml:space="preserve">Generation cost before carbon (cost recovery): gnc(t) = fix(t) + vbc(t) (legacy E3).</w:t>
      </w:r>
    </w:p>
    <w:p>
      <w:pPr>
        <w:numPr>
          <w:ilvl w:val="0"/>
          <w:numId w:val="1026"/>
        </w:numPr>
        <w:pStyle w:val="Compact"/>
      </w:pPr>
      <w:r>
        <w:t xml:space="preserve">Average generation cost: gnc_av(t) = Σ_f gns(f, t) × gnc(f, t).</w:t>
      </w:r>
    </w:p>
    <w:p>
      <w:pPr>
        <w:numPr>
          <w:ilvl w:val="0"/>
          <w:numId w:val="1026"/>
        </w:numPr>
        <w:pStyle w:val="Compact"/>
      </w:pPr>
      <w:r>
        <w:t xml:space="preserve">Average carbon cost per kWh consumed: ccp_av(t) = Σ_f gns(f, t) × ccp(f, t) × gen/cons. Gen/cons is the ratio of generation to final consumption: losses, own use and net exports, from the base-year balance.</w:t>
      </w:r>
    </w:p>
    <w:p>
      <w:pPr>
        <w:pStyle w:val="FirstParagraph"/>
      </w:pPr>
      <w:r>
        <w:t xml:space="preserve">Carbon is kept out of gnc_av and added separately (legacy, documentation 3.4.1.7), so that a rebate can be computed against it.</w:t>
      </w:r>
    </w:p>
    <w:bookmarkEnd w:id="57"/>
    <w:bookmarkStart w:id="58" w:name="f.-memos"/>
    <w:p>
      <w:pPr>
        <w:pStyle w:val="Heading4"/>
      </w:pPr>
      <w:r>
        <w:t xml:space="preserve">3.6 F. Memos</w:t>
      </w:r>
    </w:p>
    <w:p>
      <w:pPr>
        <w:pStyle w:val="FirstParagraph"/>
      </w:pPr>
      <w:r>
        <w:t xml:space="preserve">F7 switching carbon prices, F1 system cost and F4 carbon intensity are memos. Only F4 (tCO2 per kWh = EF × 0.0036/ν) is built, as a parameter.</w:t>
      </w:r>
    </w:p>
    <w:bookmarkEnd w:id="58"/>
    <w:bookmarkStart w:id="59" w:name="X1a22306b9e6f3a6be922e8ca841166fcd9c7ad1"/>
    <w:p>
      <w:pPr>
        <w:pStyle w:val="Heading4"/>
      </w:pPr>
      <w:r>
        <w:t xml:space="preserve">3.7 J. Systems integration cost of renewables (storage)</w:t>
      </w:r>
    </w:p>
    <w:p>
      <w:pPr>
        <w:numPr>
          <w:ilvl w:val="0"/>
          <w:numId w:val="1027"/>
        </w:numPr>
        <w:pStyle w:val="Compact"/>
      </w:pPr>
      <w:r>
        <w:t xml:space="preserve">VRE share: v(t) = gns(wind) + gns(solar) + gns(other renewables) (legacy row 3851; v1.05 omitted other renewables, 0 for Egypt).</w:t>
      </w:r>
    </w:p>
    <w:p>
      <w:pPr>
        <w:numPr>
          <w:ilvl w:val="0"/>
          <w:numId w:val="1027"/>
        </w:numPr>
        <w:pStyle w:val="Compact"/>
      </w:pPr>
      <w:r>
        <w:t xml:space="preserve">Short-term storage (batteries):</w:t>
      </w:r>
    </w:p>
    <w:p>
      <w:pPr>
        <w:numPr>
          <w:ilvl w:val="1"/>
          <w:numId w:val="1028"/>
        </w:numPr>
        <w:pStyle w:val="Compact"/>
      </w:pPr>
      <w:r>
        <w:t xml:space="preserve">marginal hours: h(t) = ast × 18 × v(t), where ast = 1 is the share allocated to VRE and 18 = d(9 v²)/dv;</w:t>
      </w:r>
    </w:p>
    <w:p>
      <w:pPr>
        <w:numPr>
          <w:ilvl w:val="1"/>
          <w:numId w:val="1028"/>
        </w:numPr>
        <w:pStyle w:val="Compact"/>
      </w:pPr>
      <w:r>
        <w:t xml:space="preserve">cost per hour per kWh: cph(t) = (cbat(t) + cint(t) / r) / (dlf_ren × 8,760) + obat(t) / 8,760, where r = 2 hours kWh/kW, and cbat, cint, obat are the battery capex, interface capex and opex paths.</w:t>
      </w:r>
    </w:p>
    <w:p>
      <w:pPr>
        <w:numPr>
          <w:ilvl w:val="0"/>
          <w:numId w:val="1027"/>
        </w:numPr>
        <w:pStyle w:val="Compact"/>
      </w:pPr>
      <w:r>
        <w:t xml:space="preserve">Long-term storage (electrolysers): marginal units m(t) = 2 × max(0, v − x) / (1 − x)², with x = 0.75. Cost per unit: cel(t) = (electrolyser capex + LT storage capex) / (dlf_ren × 8,760) + fixed opex / 8,760 + variable opex.</w:t>
      </w:r>
    </w:p>
    <w:p>
      <w:pPr>
        <w:numPr>
          <w:ilvl w:val="0"/>
          <w:numId w:val="1027"/>
        </w:numPr>
        <w:pStyle w:val="Compact"/>
      </w:pPr>
      <w:r>
        <w:t xml:space="preserve">Marginal storage cost of wind, solar and other renewables: msc(t) = h(t) × cph(t) + m(t) × cel(t). It is 0 for other types.</w:t>
      </w:r>
    </w:p>
    <w:p>
      <w:pPr>
        <w:pStyle w:val="FirstParagraph"/>
      </w:pPr>
      <w:r>
        <w:t xml:space="preserve">Legacy has a 33%</w:t>
      </w:r>
      <w:r>
        <w:t xml:space="preserve"> </w:t>
      </w:r>
      <w:r>
        <w:t xml:space="preserve">“</w:t>
      </w:r>
      <w:r>
        <w:t xml:space="preserve">allocation of LT storage to VRE</w:t>
      </w:r>
      <w:r>
        <w:t xml:space="preserve">”</w:t>
      </w:r>
      <w:r>
        <w:t xml:space="preserve"> </w:t>
      </w:r>
      <w:r>
        <w:t xml:space="preserve">parameter and applies it twice (rows 3911 and 3912, a bug). From v1.06 the MVP applies it once (v1.05 left it out).</w:t>
      </w:r>
    </w:p>
    <w:bookmarkEnd w:id="59"/>
    <w:bookmarkStart w:id="60" w:name="Xea3a79cc23c2d8de503cc1bac2c5badf684787b"/>
    <w:p>
      <w:pPr>
        <w:pStyle w:val="Heading4"/>
      </w:pPr>
      <w:r>
        <w:t xml:space="preserve">3.8 G. End-user prices (residential g = res, industrial g = ind)</w:t>
      </w:r>
    </w:p>
    <w:p>
      <w:pPr>
        <w:numPr>
          <w:ilvl w:val="0"/>
          <w:numId w:val="1029"/>
        </w:numPr>
        <w:pStyle w:val="Compact"/>
      </w:pPr>
      <w:r>
        <w:t xml:space="preserve">Supply cost (I5, lagged): sc(g, t) = gnc_av(t−1) + tmc(g), with tmc = 0.040 (res) and 0.015 (ind) $/kWh. In the base year, gnc_av of the base year.</w:t>
      </w:r>
    </w:p>
    <w:p>
      <w:pPr>
        <w:numPr>
          <w:ilvl w:val="0"/>
          <w:numId w:val="1029"/>
        </w:numPr>
        <w:pStyle w:val="Compact"/>
      </w:pPr>
      <w:r>
        <w:t xml:space="preserve">Price before new policies (S4):</w:t>
      </w:r>
    </w:p>
    <w:p>
      <w:pPr>
        <w:numPr>
          <w:ilvl w:val="1"/>
          <w:numId w:val="1030"/>
        </w:numPr>
        <w:pStyle w:val="Compact"/>
      </w:pPr>
      <w:r>
        <w:t xml:space="preserve">up to the last historical year L: rp_pre(g, t) = hrp(g, t), the historical retail price including VAT from the price dataset (nominal → real with the CPI index);</w:t>
      </w:r>
    </w:p>
    <w:p>
      <w:pPr>
        <w:numPr>
          <w:ilvl w:val="1"/>
          <w:numId w:val="1030"/>
        </w:numPr>
        <w:pStyle w:val="Compact"/>
      </w:pPr>
      <w:r>
        <w:t xml:space="preserve">after L: rp_pre(g, t) = rp_pre(g, t−1) + pass × (sc(g, t) − sc(g, t−1)) × (1 + VAT(g, L)), with pass = 1 (legacy hardcode).</w:t>
      </w:r>
    </w:p>
    <w:p>
      <w:pPr>
        <w:numPr>
          <w:ilvl w:val="0"/>
          <w:numId w:val="1029"/>
        </w:numPr>
        <w:pStyle w:val="Compact"/>
      </w:pPr>
      <w:r>
        <w:t xml:space="preserve">End-user price: rp(g, t) = rp_pre(g, t) + (ccp_av(t) − reb(g, t) + pex(g, t)) × pass × (1 + VAT). The rebate (output-based rebating) and the power excise are 0 for now. As in legacy (row 3614), VAT is charged on the new policy terms (corrected in v1.06; v1.05 left VAT out, no effect for Egypt with VAT 0).</w:t>
      </w:r>
    </w:p>
    <w:p>
      <w:pPr>
        <w:numPr>
          <w:ilvl w:val="0"/>
          <w:numId w:val="1029"/>
        </w:numPr>
        <w:pStyle w:val="Compact"/>
      </w:pPr>
      <w:r>
        <w:t xml:space="preserve">Subsidy gap (S7): sgap(g, t) = sc(g, t) − rp_pre(g, t) / (1 + VAT). Positive = price below modelled supply cost.</w:t>
      </w:r>
    </w:p>
    <w:bookmarkEnd w:id="60"/>
    <w:bookmarkStart w:id="61" w:name="g4.-revenues-usd-million-real"/>
    <w:p>
      <w:pPr>
        <w:pStyle w:val="Heading4"/>
      </w:pPr>
      <w:r>
        <w:t xml:space="preserve">3.9 G4. Revenues (USD million real)</w:t>
      </w:r>
    </w:p>
    <w:p>
      <w:pPr>
        <w:numPr>
          <w:ilvl w:val="0"/>
          <w:numId w:val="1031"/>
        </w:numPr>
        <w:pStyle w:val="Compact"/>
      </w:pPr>
      <w:r>
        <w:t xml:space="preserve">VAT: rp_pre × VAT / (1 + VAT) × cons(g).</w:t>
      </w:r>
    </w:p>
    <w:p>
      <w:pPr>
        <w:numPr>
          <w:ilvl w:val="0"/>
          <w:numId w:val="1031"/>
        </w:numPr>
        <w:pStyle w:val="Compact"/>
      </w:pPr>
      <w:r>
        <w:t xml:space="preserve">Carbon revenue from power: ccp_av × cons(g). This equals the carbon cost of generation, because ccp_av is per kWh consumed.</w:t>
      </w:r>
    </w:p>
    <w:p>
      <w:pPr>
        <w:numPr>
          <w:ilvl w:val="0"/>
          <w:numId w:val="1031"/>
        </w:numPr>
        <w:pStyle w:val="Compact"/>
      </w:pPr>
      <w:r>
        <w:t xml:space="preserve">Subsidy gap: sgap × cons(g).</w:t>
      </w:r>
    </w:p>
    <w:p>
      <w:pPr>
        <w:pStyle w:val="FirstParagraph"/>
      </w:pPr>
      <w:r>
        <w:t xml:space="preserve">Here cons(g) is consumption in GWh, interim data until electricity demand is modelled (I6). Power revenues are reported separately, not yet in the section-12 totals.</w:t>
      </w:r>
    </w:p>
    <w:bookmarkEnd w:id="61"/>
    <w:bookmarkEnd w:id="62"/>
    <w:bookmarkStart w:id="63" w:name="X3531e0ca6fa3ff63bc0e14d7a92803c08828b41"/>
    <w:p>
      <w:pPr>
        <w:pStyle w:val="Heading3"/>
      </w:pPr>
      <w:r>
        <w:t xml:space="preserve">4. Pseudocode (one scenario, years base..2040, in order)</w:t>
      </w:r>
    </w:p>
    <w:p>
      <w:pPr>
        <w:pStyle w:val="SourceCode"/>
      </w:pPr>
      <w:r>
        <w:rPr>
          <w:rStyle w:val="VerbatimChar"/>
        </w:rPr>
        <w:t xml:space="preserve">inputs: tech table T[f] (cax0, N, wacc, cf, nu, dtc, tcx, opf, vop, rns, dlf, k_fuel, price_pos, ef_pow)</w:t>
      </w:r>
      <w:r>
        <w:br/>
      </w:r>
      <w:r>
        <w:rPr>
          <w:rStyle w:val="VerbatimChar"/>
        </w:rPr>
        <w:t xml:space="preserve">        year paths: tcf[f,t], cbat[t], cint[t], obat[t], cel_parts[t]</w:t>
      </w:r>
      <w:r>
        <w:br/>
      </w:r>
      <w:r>
        <w:rPr>
          <w:rStyle w:val="VerbatimChar"/>
        </w:rPr>
        <w:t xml:space="preserve">        interim (engineer model later): gns[f,t], phi[f,t], cons[g,t], gen_per_cons</w:t>
      </w:r>
      <w:r>
        <w:br/>
      </w:r>
      <w:r>
        <w:rPr>
          <w:rStyle w:val="VerbatimChar"/>
        </w:rPr>
        <w:t xml:space="preserve">        section 2: rpb[price_pos,t]  (coal/gas for power, oil, biomass; before new policies)</w:t>
      </w:r>
      <w:r>
        <w:br/>
      </w:r>
      <w:r>
        <w:rPr>
          <w:rStyle w:val="VerbatimChar"/>
        </w:rPr>
        <w:t xml:space="preserve">        section 1: cptraj[t], ets_pe[t], cover/ETS/OBR switches for power, fpr[coa.pow|nga.pow,t]</w:t>
      </w:r>
      <w:r>
        <w:br/>
      </w:r>
      <w:r>
        <w:rPr>
          <w:rStyle w:val="VerbatimChar"/>
        </w:rPr>
        <w:t xml:space="preserve">        data: hrp[g,t], vat[g,t] (t &lt;= L)</w:t>
      </w:r>
      <w:r>
        <w:br/>
      </w:r>
      <w:r>
        <w:br/>
      </w:r>
      <w:r>
        <w:rPr>
          <w:rStyle w:val="VerbatimChar"/>
        </w:rPr>
        <w:t xml:space="preserve">for t in years:</w:t>
      </w:r>
      <w:r>
        <w:br/>
      </w:r>
      <w:r>
        <w:rPr>
          <w:rStyle w:val="VerbatimChar"/>
        </w:rPr>
        <w:t xml:space="preserve">    # J storage (I3 -&gt; I7)</w:t>
      </w:r>
      <w:r>
        <w:br/>
      </w:r>
      <w:r>
        <w:rPr>
          <w:rStyle w:val="VerbatimChar"/>
        </w:rPr>
        <w:t xml:space="preserve">    v      = gns[wnd,t] + gns[sol,t] + gns[ore,t]</w:t>
      </w:r>
      <w:r>
        <w:br/>
      </w:r>
      <w:r>
        <w:rPr>
          <w:rStyle w:val="VerbatimChar"/>
        </w:rPr>
        <w:t xml:space="preserve">    cph    = (cbat[t] + cint[t]/2) / (dlf_ren*8760) + obat[t]/8760</w:t>
      </w:r>
      <w:r>
        <w:br/>
      </w:r>
      <w:r>
        <w:rPr>
          <w:rStyle w:val="VerbatimChar"/>
        </w:rPr>
        <w:t xml:space="preserve">    m_lt   = 2*max(0, v-0.75)/(0.25**2)</w:t>
      </w:r>
      <w:r>
        <w:br/>
      </w:r>
      <w:r>
        <w:rPr>
          <w:rStyle w:val="VerbatimChar"/>
        </w:rPr>
        <w:t xml:space="preserve">    msc    = 18*v*cph + m_lt*cel[t]*0.33                      # wind, solar, other renewables (v1.06: LT allocation)</w:t>
      </w:r>
      <w:r>
        <w:br/>
      </w:r>
      <w:r>
        <w:rPr>
          <w:rStyle w:val="VerbatimChar"/>
        </w:rPr>
        <w:t xml:space="preserve">    for f in types:</w:t>
      </w:r>
      <w:r>
        <w:br/>
      </w:r>
      <w:r>
        <w:rPr>
          <w:rStyle w:val="VerbatimChar"/>
        </w:rPr>
        <w:t xml:space="preserve">        cax[f]      = cax0[f]*tcf[f,t]</w:t>
      </w:r>
      <w:r>
        <w:br/>
      </w:r>
      <w:r>
        <w:rPr>
          <w:rStyle w:val="VerbatimChar"/>
        </w:rPr>
        <w:t xml:space="preserve">        # B amortised (vintages lagged one year, I4)</w:t>
      </w:r>
      <w:r>
        <w:br/>
      </w:r>
      <w:r>
        <w:rPr>
          <w:rStyle w:val="VerbatimChar"/>
        </w:rPr>
        <w:t xml:space="preserve">        if t == base: cax_av[f] = cax[f];  sto_av[f] = msc_f</w:t>
      </w:r>
      <w:r>
        <w:br/>
      </w:r>
      <w:r>
        <w:rPr>
          <w:rStyle w:val="VerbatimChar"/>
        </w:rPr>
        <w:t xml:space="preserve">        else:         cax_av[f] = cax_av_prev[f]*(1-phi[f,t-1]) + cax_prev[f]*phi[f,t-1]</w:t>
      </w:r>
      <w:r>
        <w:br/>
      </w:r>
      <w:r>
        <w:rPr>
          <w:rStyle w:val="VerbatimChar"/>
        </w:rPr>
        <w:t xml:space="preserve">                      sto_av[f] = sto_av_prev[f]*(1-phi[f,t-1]) + msc_f*phi[f,t-1]</w:t>
      </w:r>
      <w:r>
        <w:br/>
      </w:r>
      <w:r>
        <w:rPr>
          <w:rStyle w:val="VerbatimChar"/>
        </w:rPr>
        <w:t xml:space="preserve">        fix[f]  = (cax_av[f]*(1/N[f] + wacc[f]/2) + dtc[f]/N[f]) / (cf[f]*8760) + sto_av[f] + opf[f]</w:t>
      </w:r>
      <w:r>
        <w:br/>
      </w:r>
      <w:r>
        <w:rPr>
          <w:rStyle w:val="VerbatimChar"/>
        </w:rPr>
        <w:t xml:space="preserve">        # C levelised (investment only, I8)</w:t>
      </w:r>
      <w:r>
        <w:br/>
      </w:r>
      <w:r>
        <w:rPr>
          <w:rStyle w:val="VerbatimChar"/>
        </w:rPr>
        <w:t xml:space="preserve">        lfx[f]  = (cax[f] + dtc[f] + tcx[f]) / (cf[f]*8760*dlf[f]) + msc_f + opf[f] + rns[f]</w:t>
      </w:r>
      <w:r>
        <w:br/>
      </w:r>
      <w:r>
        <w:rPr>
          <w:rStyle w:val="VerbatimChar"/>
        </w:rPr>
        <w:t xml:space="preserve">        # D variable (I1, I2)</w:t>
      </w:r>
      <w:r>
        <w:br/>
      </w:r>
      <w:r>
        <w:rPr>
          <w:rStyle w:val="VerbatimChar"/>
        </w:rPr>
        <w:t xml:space="preserve">        vbc[f]  = vop[f] + rpb[price_pos[f],t]*k_fuel[f]          # k_fuel = 0.0036/nu (oil: /GJ per bbl)</w:t>
      </w:r>
      <w:r>
        <w:br/>
      </w:r>
      <w:r>
        <w:rPr>
          <w:rStyle w:val="VerbatimChar"/>
        </w:rPr>
        <w:t xml:space="preserve">        ccp[f]  = nce_pow[f,t]*0.0036/nu[f]</w:t>
      </w:r>
      <w:r>
        <w:br/>
      </w:r>
      <w:r>
        <w:rPr>
          <w:rStyle w:val="VerbatimChar"/>
        </w:rPr>
        <w:t xml:space="preserve">        # E</w:t>
      </w:r>
      <w:r>
        <w:br/>
      </w:r>
      <w:r>
        <w:rPr>
          <w:rStyle w:val="VerbatimChar"/>
        </w:rPr>
        <w:t xml:space="preserve">        gnc[f]  = fix[f] + vbc[f]</w:t>
      </w:r>
      <w:r>
        <w:br/>
      </w:r>
      <w:r>
        <w:rPr>
          <w:rStyle w:val="VerbatimChar"/>
        </w:rPr>
        <w:t xml:space="preserve">    gnc_av = sum_f gns[f,t]*gnc[f]</w:t>
      </w:r>
      <w:r>
        <w:br/>
      </w:r>
      <w:r>
        <w:rPr>
          <w:rStyle w:val="VerbatimChar"/>
        </w:rPr>
        <w:t xml:space="preserve">    ccp_av = sum_f gns[f,t]*ccp[f] * gen_per_cons</w:t>
      </w:r>
      <w:r>
        <w:br/>
      </w:r>
      <w:r>
        <w:rPr>
          <w:rStyle w:val="VerbatimChar"/>
        </w:rPr>
        <w:t xml:space="preserve">    for g in (res, ind):                                          # G (I5: lag)</w:t>
      </w:r>
      <w:r>
        <w:br/>
      </w:r>
      <w:r>
        <w:rPr>
          <w:rStyle w:val="VerbatimChar"/>
        </w:rPr>
        <w:t xml:space="preserve">        sc[g]     = (gnc_av if t == base else gnc_av_prev) + tmc[g]</w:t>
      </w:r>
      <w:r>
        <w:br/>
      </w:r>
      <w:r>
        <w:rPr>
          <w:rStyle w:val="VerbatimChar"/>
        </w:rPr>
        <w:t xml:space="preserve">        rp_pre[g] = hrp[g,t] if t &lt;= L else rp_pre_prev[g] + pass*(sc[g]-sc_prev[g])*(1+vat[g,L])   # hrp incl. VAT</w:t>
      </w:r>
      <w:r>
        <w:br/>
      </w:r>
      <w:r>
        <w:rPr>
          <w:rStyle w:val="VerbatimChar"/>
        </w:rPr>
        <w:t xml:space="preserve">        rp[g]     = rp_pre[g] + (ccp_av - reb[g] + pex[g]) * pass * (1 + vat[g])</w:t>
      </w:r>
      <w:r>
        <w:br/>
      </w:r>
      <w:r>
        <w:rPr>
          <w:rStyle w:val="VerbatimChar"/>
        </w:rPr>
        <w:t xml:space="preserve">        sgap[g]   = sc[g] - rp_pre[g]/(1+vat_used[g])</w:t>
      </w:r>
      <w:r>
        <w:br/>
      </w:r>
      <w:r>
        <w:rPr>
          <w:rStyle w:val="VerbatimChar"/>
        </w:rPr>
        <w:t xml:space="preserve">        rev_vat[g], rev_carbon[g], rev_gap[g] = ... * cons[g,t]</w:t>
      </w:r>
    </w:p>
    <w:bookmarkEnd w:id="63"/>
    <w:bookmarkStart w:id="64" w:name="X4c0d9ecddefbc630c08679ce72c47068aa7200e"/>
    <w:p>
      <w:pPr>
        <w:pStyle w:val="Heading3"/>
      </w:pPr>
      <w:r>
        <w:t xml:space="preserve">5. Workbook layout (Mitigation section 3, as legacy section 4; built in v1.05)</w:t>
      </w:r>
    </w:p>
    <w:p>
      <w:pPr>
        <w:pStyle w:val="FirstParagraph"/>
      </w:pPr>
      <w:r>
        <w:t xml:space="preserve">The power block sits in section 3,</w:t>
      </w:r>
      <w:r>
        <w:t xml:space="preserve"> </w:t>
      </w:r>
      <w:r>
        <w:t xml:space="preserve">“</w:t>
      </w:r>
      <w:r>
        <w:t xml:space="preserve">Power sector: generation costs and electricity prices</w:t>
      </w:r>
      <w:r>
        <w:t xml:space="preserve">”</w:t>
      </w:r>
      <w:r>
        <w:t xml:space="preserve">, per scenario column group, with one row per generation type (or end-user group) for each variable. Each block has one formula. Type-specific constants sit in the hidden parameter columns D:G, looked up in the data step sheet Inputs_power, which derives them from the data sheets PowerTech, PowerPaths and PowerParams. The right column calls a named LAMBDA. Sub-headings carry the legacy letters, in legacy order (J last, as in legacy, although B and C use it):</w:t>
      </w:r>
    </w:p>
    <w:p>
      <w:pPr>
        <w:numPr>
          <w:ilvl w:val="0"/>
          <w:numId w:val="1032"/>
        </w:numPr>
        <w:pStyle w:val="Compact"/>
      </w:pPr>
      <w:r>
        <w:t xml:space="preserve">A: tcf (capex factor), gns (generation shares; interim), phi (investment share; interim), storage cost paths cbat, cint, obat, cel.</w:t>
      </w:r>
    </w:p>
    <w:p>
      <w:pPr>
        <w:numPr>
          <w:ilvl w:val="0"/>
          <w:numId w:val="1032"/>
        </w:numPr>
        <w:pStyle w:val="Compact"/>
      </w:pPr>
      <w:r>
        <w:t xml:space="preserve">B: cax, caxav, stoav, fix.</w:t>
      </w:r>
    </w:p>
    <w:p>
      <w:pPr>
        <w:numPr>
          <w:ilvl w:val="0"/>
          <w:numId w:val="1032"/>
        </w:numPr>
        <w:pStyle w:val="Compact"/>
      </w:pPr>
      <w:r>
        <w:t xml:space="preserve">C: lfx.</w:t>
      </w:r>
    </w:p>
    <w:p>
      <w:pPr>
        <w:numPr>
          <w:ilvl w:val="0"/>
          <w:numId w:val="1032"/>
        </w:numPr>
        <w:pStyle w:val="Compact"/>
      </w:pPr>
      <w:r>
        <w:t xml:space="preserve">D: vbc, ccp. The new policy wedge is not a separate row: ccp is computed per kWh in one step with the constants tCO2/kWh (EF × 0.0036/ν) and kWh factor of the fuel price reform (0.0036/ν ÷ GJ per price unit); both are 0 for types without a fuel.</w:t>
      </w:r>
    </w:p>
    <w:p>
      <w:pPr>
        <w:numPr>
          <w:ilvl w:val="0"/>
          <w:numId w:val="1032"/>
        </w:numPr>
        <w:pStyle w:val="Compact"/>
      </w:pPr>
      <w:r>
        <w:t xml:space="preserve">E: gnc, gncav, ccpav.</w:t>
      </w:r>
    </w:p>
    <w:p>
      <w:pPr>
        <w:numPr>
          <w:ilvl w:val="0"/>
          <w:numId w:val="1032"/>
        </w:numPr>
        <w:pStyle w:val="Compact"/>
      </w:pPr>
      <w:r>
        <w:t xml:space="preserve">G: cons (interim), sc, rppre, rp, sgap by user group; revenues rvat, rcarb, rgap.</w:t>
      </w:r>
    </w:p>
    <w:p>
      <w:pPr>
        <w:numPr>
          <w:ilvl w:val="0"/>
          <w:numId w:val="1032"/>
        </w:numPr>
        <w:pStyle w:val="Compact"/>
      </w:pPr>
      <w:r>
        <w:t xml:space="preserve">J: vre, cph, msc.</w:t>
      </w:r>
    </w:p>
    <w:p>
      <w:pPr>
        <w:pStyle w:val="FirstParagraph"/>
      </w:pPr>
      <w:r>
        <w:t xml:space="preserve">Interim rows (gns, phi, cons) are shown in orange italic, with a note naming the engineer model as their future source. When rolled up, section 3 shows the average generation cost and the two end-user prices. MTOutputs adds these three indicators.</w:t>
      </w:r>
    </w:p>
    <w:p>
      <w:pPr>
        <w:pStyle w:val="BodyText"/>
      </w:pPr>
      <w:r>
        <w:t xml:space="preserve">Named LAMBDAs of section 3: CAPEX, VINTAGE (B2 and B6), AMORTISED, LEVELISED, VARCOST, GENCOST, WEIGHTED (averages and the VRE share), STORAGEHOUR, STORAGECOST, POWERSUPPLY, POWERPRICE, ENDUSERPOWER, SUBSIDYGAP, POWERREV; ccp reuses NEWPOLICY, CARBONTAX and ETSCOST of the sector sections.</w:t>
      </w:r>
    </w:p>
    <w:bookmarkEnd w:id="64"/>
    <w:bookmarkStart w:id="65" w:name="X7724368638d4acb127bd4af039ace1ecbbd0f08"/>
    <w:p>
      <w:pPr>
        <w:pStyle w:val="Heading3"/>
      </w:pPr>
      <w:r>
        <w:t xml:space="preserve">6. Interim data until the engineer model (I3, I4, I6)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Rows</w:t>
            </w:r>
          </w:p>
        </w:tc>
        <w:tc>
          <w:tcPr/>
          <w:p>
            <w:pPr>
              <w:pStyle w:val="Compact"/>
              <w:jc w:val="left"/>
            </w:pPr>
            <w:r>
              <w:t xml:space="preserve">Source now</w:t>
            </w:r>
          </w:p>
        </w:tc>
        <w:tc>
          <w:tcPr/>
          <w:p>
            <w:pPr>
              <w:pStyle w:val="Compact"/>
              <w:jc w:val="left"/>
            </w:pPr>
            <w:r>
              <w:t xml:space="preserve">Source later</w:t>
            </w:r>
          </w:p>
        </w:tc>
      </w:tr>
      <w:tr>
        <w:tc>
          <w:tcPr/>
          <w:p>
            <w:pPr>
              <w:pStyle w:val="Compact"/>
              <w:jc w:val="left"/>
            </w:pPr>
            <w:r>
              <w:t xml:space="preserve">gns: generation shares by type, 2022-2040</w:t>
            </w:r>
          </w:p>
        </w:tc>
        <w:tc>
          <w:tcPr/>
          <w:p>
            <w:pPr>
              <w:pStyle w:val="Compact"/>
              <w:jc w:val="left"/>
            </w:pPr>
            <w:r>
              <w:t xml:space="preserve">Legacy cached baseline (Mitigation I6 / E0)</w:t>
            </w:r>
          </w:p>
        </w:tc>
        <w:tc>
          <w:tcPr/>
          <w:p>
            <w:pPr>
              <w:pStyle w:val="Compact"/>
              <w:jc w:val="left"/>
            </w:pPr>
            <w:r>
              <w:t xml:space="preserve">Engineer model dispatch and investment</w:t>
            </w:r>
          </w:p>
        </w:tc>
      </w:tr>
      <w:tr>
        <w:tc>
          <w:tcPr/>
          <w:p>
            <w:pPr>
              <w:pStyle w:val="Compact"/>
              <w:jc w:val="left"/>
            </w:pPr>
            <w:r>
              <w:t xml:space="preserve">phi: investment as a share of remaining capacity</w:t>
            </w:r>
          </w:p>
        </w:tc>
        <w:tc>
          <w:tcPr/>
          <w:p>
            <w:pPr>
              <w:pStyle w:val="Compact"/>
              <w:jc w:val="left"/>
            </w:pPr>
            <w:r>
              <w:t xml:space="preserve">Legacy cached baseline (B1)</w:t>
            </w:r>
          </w:p>
        </w:tc>
        <w:tc>
          <w:tcPr/>
          <w:p>
            <w:pPr>
              <w:pStyle w:val="Compact"/>
              <w:jc w:val="left"/>
            </w:pPr>
            <w:r>
              <w:t xml:space="preserve">Engineer model investment</w:t>
            </w:r>
          </w:p>
        </w:tc>
      </w:tr>
      <w:tr>
        <w:tc>
          <w:tcPr/>
          <w:p>
            <w:pPr>
              <w:pStyle w:val="Compact"/>
              <w:jc w:val="left"/>
            </w:pPr>
            <w:r>
              <w:t xml:space="preserve">cons: residential and industrial consumption (GWh); generation / consumption</w:t>
            </w:r>
          </w:p>
        </w:tc>
        <w:tc>
          <w:tcPr/>
          <w:p>
            <w:pPr>
              <w:pStyle w:val="Compact"/>
              <w:jc w:val="left"/>
            </w:pPr>
            <w:r>
              <w:t xml:space="preserve">Legacy cached baseline (G1, G2, H2)</w:t>
            </w:r>
          </w:p>
        </w:tc>
        <w:tc>
          <w:tcPr/>
          <w:p>
            <w:pPr>
              <w:pStyle w:val="Compact"/>
              <w:jc w:val="left"/>
            </w:pPr>
            <w:r>
              <w:t xml:space="preserve">Electricity demand in the sector blocks plus the balance shares</w:t>
            </w:r>
          </w:p>
        </w:tc>
      </w:tr>
    </w:tbl>
    <w:p>
      <w:pPr>
        <w:pStyle w:val="BodyText"/>
      </w:pPr>
      <w:r>
        <w:t xml:space="preserve">Because these are baseline values, a policy scenario’s power prices respond to fuel and carbon costs but not to its own generation mix until the engineer model is built. This matters for high carbon prices; it is flagged in CAVEATS and LegacyDiff.</w:t>
      </w:r>
    </w:p>
    <w:bookmarkEnd w:id="65"/>
    <w:bookmarkStart w:id="66" w:name="validation"/>
    <w:p>
      <w:pPr>
        <w:pStyle w:val="Heading3"/>
      </w:pPr>
      <w:r>
        <w:t xml:space="preserve">7. Validation</w:t>
      </w:r>
    </w:p>
    <w:p>
      <w:pPr>
        <w:numPr>
          <w:ilvl w:val="0"/>
          <w:numId w:val="1033"/>
        </w:numPr>
        <w:pStyle w:val="Compact"/>
      </w:pPr>
      <w:r>
        <w:rPr>
          <w:bCs/>
          <w:b/>
        </w:rPr>
        <w:t xml:space="preserve">Method = legacy.</w:t>
      </w:r>
      <w:r>
        <w:t xml:space="preserve"> </w:t>
      </w:r>
      <w:r>
        <w:t xml:space="preserve">A Python reference feeds the legacy inputs (its fuel prices, shares, Φ, prices and VAT) into this method and reproduces the cached legacy rows: B2, B6, B8, C7, D4, E3, the weighted average, J storage, and G1/G2 supply cost and prices. The pass mark is a relative error below 1e-6.</w:t>
      </w:r>
    </w:p>
    <w:p>
      <w:pPr>
        <w:numPr>
          <w:ilvl w:val="0"/>
          <w:numId w:val="1033"/>
        </w:numPr>
        <w:pStyle w:val="Compact"/>
      </w:pPr>
      <w:r>
        <w:rPr>
          <w:bCs/>
          <w:b/>
        </w:rPr>
        <w:t xml:space="preserve">Workbook = Python</w:t>
      </w:r>
      <w:r>
        <w:t xml:space="preserve"> </w:t>
      </w:r>
      <w:r>
        <w:t xml:space="preserve">for the MVP’s own inputs (corrected Egypt prices, spot fuel prices), in the same style as the other checks.</w:t>
      </w:r>
    </w:p>
    <w:p>
      <w:pPr>
        <w:numPr>
          <w:ilvl w:val="0"/>
          <w:numId w:val="1033"/>
        </w:numPr>
        <w:pStyle w:val="Compact"/>
      </w:pPr>
      <w:r>
        <w:rPr>
          <w:bCs/>
          <w:b/>
        </w:rPr>
        <w:t xml:space="preserve">Formula uniformity</w:t>
      </w:r>
      <w:r>
        <w:t xml:space="preserve">, LAMBDA column, and copy of scenario groups, as for the rest of the sheet.</w:t>
      </w:r>
    </w:p>
    <w:p>
      <w:pPr>
        <w:numPr>
          <w:ilvl w:val="0"/>
          <w:numId w:val="1033"/>
        </w:numPr>
        <w:pStyle w:val="Compact"/>
      </w:pPr>
      <w:r>
        <w:t xml:space="preserve">Regression: every existing output code is unchanged. The power block does not yet feed any other section.</w:t>
      </w:r>
    </w:p>
    <w:p>
      <w:pPr>
        <w:pStyle w:val="FirstParagraph"/>
      </w:pPr>
      <w:r>
        <w:t xml:space="preserve">Result in v1.05 (</w:t>
      </w:r>
      <w:r>
        <w:rPr>
          <w:rStyle w:val="VerbatimChar"/>
        </w:rPr>
        <w:t xml:space="preserve">check_report_v1.05.md</w:t>
      </w:r>
      <w:r>
        <w:t xml:space="preserve">, PASS): (1) 80 legacy rows reproduced, largest relative difference 5.6e-17; (2) all 28 power variables equal the Python reference in every scenario test, largest relative difference about 5e-15; (3) one formula per block, LAMBDA in every right-column cell; (4) 3,642 codes unchanged vs v1.04.</w:t>
      </w:r>
    </w:p>
    <w:bookmarkEnd w:id="66"/>
    <w:bookmarkStart w:id="67" w:name="open-decisions"/>
    <w:p>
      <w:pPr>
        <w:pStyle w:val="Heading3"/>
      </w:pPr>
      <w:r>
        <w:t xml:space="preserve">8. Open decisions</w:t>
      </w:r>
    </w:p>
    <w:p>
      <w:pPr>
        <w:numPr>
          <w:ilvl w:val="0"/>
          <w:numId w:val="1034"/>
        </w:numPr>
        <w:pStyle w:val="Compact"/>
      </w:pPr>
      <w:r>
        <w:t xml:space="preserve">Spot vs moving-average fuel prices (S5).</w:t>
      </w:r>
    </w:p>
    <w:p>
      <w:pPr>
        <w:numPr>
          <w:ilvl w:val="0"/>
          <w:numId w:val="1034"/>
        </w:numPr>
        <w:pStyle w:val="Compact"/>
      </w:pPr>
      <w:r>
        <w:t xml:space="preserve">VAT on power policy terms: legacy charges VAT (row 3614), as the MVP does for fuels; applied from v1.06.</w:t>
      </w:r>
    </w:p>
    <w:p>
      <w:pPr>
        <w:numPr>
          <w:ilvl w:val="0"/>
          <w:numId w:val="1034"/>
        </w:numPr>
        <w:pStyle w:val="Compact"/>
      </w:pPr>
      <w:r>
        <w:t xml:space="preserve">Historical electricity prices: the corrected Egypt block (residential 0.054, 0.048, 0.043 $/kWh nominal, 2022-2024) differs from legacy’s vintage (0.097 in 2022). The MVP uses the corrected block.</w:t>
      </w:r>
    </w:p>
    <w:p>
      <w:pPr>
        <w:numPr>
          <w:ilvl w:val="0"/>
          <w:numId w:val="1034"/>
        </w:numPr>
        <w:pStyle w:val="Compact"/>
      </w:pPr>
      <w:r>
        <w:t xml:space="preserve">Producer-side subsidy data: the corrected block has none for electricity (</w:t>
      </w:r>
      <w:r>
        <w:rPr>
          <w:rStyle w:val="VerbatimChar"/>
        </w:rPr>
        <w:t xml:space="preserve">mit.pros.ecy.all</w:t>
      </w:r>
      <w:r>
        <w:t xml:space="preserve"> </w:t>
      </w:r>
      <w:r>
        <w:t xml:space="preserve">= 0); legacy used −9.2 bn USD in 2022. The MVP reports the modelled subsidy gap instead (S7).</w:t>
      </w:r>
    </w:p>
    <w:bookmarkEnd w:id="67"/>
    <w:bookmarkEnd w:id="68"/>
    <w:bookmarkStart w:id="73" w:name="Xb597a57c7d5840a7ae15c685aeb9a2856919cd9"/>
    <w:p>
      <w:pPr>
        <w:pStyle w:val="Heading1"/>
      </w:pPr>
      <w:r>
        <w:t xml:space="preserve">Power engineer model: demand, dispatch, retirement, investment</w:t>
      </w:r>
    </w:p>
    <w:p>
      <w:pPr>
        <w:pStyle w:val="FirstParagraph"/>
      </w:pPr>
      <w:r>
        <w:rPr>
          <w:iCs/>
          <w:i/>
        </w:rPr>
        <w:t xml:space="preserve">Source:</w:t>
      </w:r>
      <w:r>
        <w:rPr>
          <w:iCs/>
          <w:i/>
        </w:rPr>
        <w:t xml:space="preserve"> </w:t>
      </w:r>
      <w:r>
        <w:rPr>
          <w:rStyle w:val="VerbatimChar"/>
          <w:iCs/>
          <w:i/>
        </w:rPr>
        <w:t xml:space="preserve">PowerModel_Method_v0_2.md</w:t>
      </w:r>
      <w:r>
        <w:rPr>
          <w:iCs/>
          <w:i/>
        </w:rPr>
        <w:t xml:space="preserve">.</w:t>
      </w:r>
    </w:p>
    <w:p>
      <w:pPr>
        <w:pStyle w:val="BodyText"/>
      </w:pPr>
      <w:r>
        <w:rPr>
          <w:bCs/>
          <w:b/>
        </w:rPr>
        <w:t xml:space="preserve">Scope.</w:t>
      </w:r>
      <w:r>
        <w:t xml:space="preserve"> </w:t>
      </w:r>
      <w:r>
        <w:t xml:space="preserve">This note covers the quantity side of the power sector:</w:t>
      </w:r>
      <w:r>
        <w:t xml:space="preserve"> </w:t>
      </w:r>
      <w:r>
        <w:t xml:space="preserve">- power demand (legacy table H);</w:t>
      </w:r>
      <w:r>
        <w:t xml:space="preserve"> </w:t>
      </w:r>
      <w:r>
        <w:t xml:space="preserve">- dispatch (I);</w:t>
      </w:r>
      <w:r>
        <w:t xml:space="preserve"> </w:t>
      </w:r>
      <w:r>
        <w:t xml:space="preserve">- capacity and retirement (K);</w:t>
      </w:r>
      <w:r>
        <w:t xml:space="preserve"> </w:t>
      </w:r>
      <w:r>
        <w:t xml:space="preserve">- investment (L);</w:t>
      </w:r>
      <w:r>
        <w:t xml:space="preserve"> </w:t>
      </w:r>
      <w:r>
        <w:t xml:space="preserve">- the cost rows that investment needs: the shadow price and rebate (D6), the levelised variable cost (D9) and the levelised investment cost (E1).</w:t>
      </w:r>
    </w:p>
    <w:p>
      <w:pPr>
        <w:pStyle w:val="BodyText"/>
      </w:pPr>
      <w:r>
        <w:t xml:space="preserve">It completes the price side (</w:t>
      </w:r>
      <w:r>
        <w:rPr>
          <w:rStyle w:val="VerbatimChar"/>
        </w:rPr>
        <w:t xml:space="preserve">PowerPrices_Method_v0_1.md</w:t>
      </w:r>
      <w:r>
        <w:t xml:space="preserve">). The legacy reference is Mitigation section 4 of</w:t>
      </w:r>
      <w:r>
        <w:t xml:space="preserve"> </w:t>
      </w:r>
      <w:r>
        <w:rPr>
          <w:rStyle w:val="VerbatimChar"/>
        </w:rPr>
        <w:t xml:space="preserve">CPAT 1.0pre_456_NoPropData.xlsb</w:t>
      </w:r>
      <w:r>
        <w:t xml:space="preserve">: rows 2954-4297 for the baseline, rows 9285-10628 for the carbon-tax run.</w:t>
      </w:r>
    </w:p>
    <w:p>
      <w:pPr>
        <w:pStyle w:val="BodyText"/>
      </w:pPr>
      <w:r>
        <w:rPr>
          <w:bCs/>
          <w:b/>
        </w:rPr>
        <w:t xml:space="preserve">Alignment.</w:t>
      </w:r>
      <w:r>
        <w:t xml:space="preserve"> </w:t>
      </w:r>
      <w:r>
        <w:t xml:space="preserve">The MVP follows legacy formula by formula, except for ten bugs, which are fixed. They are listed with their effects in</w:t>
      </w:r>
      <w:r>
        <w:t xml:space="preserve"> </w:t>
      </w:r>
      <w:r>
        <w:rPr>
          <w:rStyle w:val="VerbatimChar"/>
        </w:rPr>
        <w:t xml:space="preserve">PowerModel_BugsAndImprovements_v1_0.docx</w:t>
      </w:r>
      <w:r>
        <w:t xml:space="preserve">.</w:t>
      </w:r>
      <w:r>
        <w:t xml:space="preserve"> </w:t>
      </w:r>
      <w:r>
        <w:rPr>
          <w:rStyle w:val="VerbatimChar"/>
        </w:rPr>
        <w:t xml:space="preserve">power_model_ref_v0_2.py</w:t>
      </w:r>
      <w:r>
        <w:t xml:space="preserve"> </w:t>
      </w:r>
      <w:r>
        <w:t xml:space="preserve">implements the method in Python. It has one switch per bug (</w:t>
      </w:r>
      <w:r>
        <w:rPr>
          <w:rStyle w:val="VerbatimChar"/>
        </w:rPr>
        <w:t xml:space="preserve">FIXES</w:t>
      </w:r>
      <w:r>
        <w:t xml:space="preserve">), and with all switches off it reproduces 208 cached legacy rows of both runs to 1e-13. Planned retirement is available for every generation type; legacy offers it for coal only.</w:t>
      </w:r>
    </w:p>
    <w:p>
      <w:pPr>
        <w:pStyle w:val="BodyText"/>
      </w:pPr>
      <w:r>
        <w:rPr>
          <w:bCs/>
          <w:b/>
        </w:rPr>
        <w:t xml:space="preserve">Power demand and sector policies.</w:t>
      </w:r>
      <w:r>
        <w:t xml:space="preserve"> </w:t>
      </w:r>
      <w:r>
        <w:t xml:space="preserve">Power demand follows its own elasticities (H). Sector policies (carbon tax, ETS, feebates, fuel price reform on fuels) act on the fuel blocks only, not on power demand. The sector blocks and section 11 show electricity demand as memo lines; these lines are not in the fuel totals.</w:t>
      </w:r>
    </w:p>
    <w:p>
      <w:pPr>
        <w:pStyle w:val="BodyText"/>
      </w:pPr>
      <w:r>
        <w:t xml:space="preserve">Units: generation and capacity in MW / MWy; demand in ktoe; costs in real $/kWh of 2026.</w:t>
      </w:r>
    </w:p>
    <w:bookmarkStart w:id="69" w:name="order-within-a-year-and-across-years"/>
    <w:p>
      <w:pPr>
        <w:pStyle w:val="Heading3"/>
      </w:pPr>
      <w:r>
        <w:t xml:space="preserve">1. Order within a year and across years</w:t>
      </w:r>
    </w:p>
    <w:p>
      <w:pPr>
        <w:pStyle w:val="SourceCode"/>
      </w:pPr>
      <w:r>
        <w:rPr>
          <w:rStyle w:val="VerbatimChar"/>
        </w:rPr>
        <w:t xml:space="preserve">year t:  H  demand(t)        &lt;- demand(t-1), GDP(t), price(t-1)              (no circularity: price lagged)</w:t>
      </w:r>
      <w:r>
        <w:br/>
      </w:r>
      <w:r>
        <w:rPr>
          <w:rStyle w:val="VerbatimChar"/>
        </w:rPr>
        <w:t xml:space="preserve">         K1 capacity(t)      &lt;- capacity(t-1) - retirement(t-1) + investment(t-1)</w:t>
      </w:r>
      <w:r>
        <w:br/>
      </w:r>
      <w:r>
        <w:rPr>
          <w:rStyle w:val="VerbatimChar"/>
        </w:rPr>
        <w:t xml:space="preserve">         I  dispatch(t)      &lt;- capacity(t), required generation(t), variable costs(t)</w:t>
      </w:r>
      <w:r>
        <w:br/>
      </w:r>
      <w:r>
        <w:rPr>
          <w:rStyle w:val="VerbatimChar"/>
        </w:rPr>
        <w:t xml:space="preserve">            shares(t)        -&gt; J VRE share -&gt; storage cost(t) -&gt; B (vintages), C (levelised)</w:t>
      </w:r>
      <w:r>
        <w:br/>
      </w:r>
      <w:r>
        <w:rPr>
          <w:rStyle w:val="VerbatimChar"/>
        </w:rPr>
        <w:t xml:space="preserve">            shares(t)        -&gt; E average generation cost(t) -&gt; G supply cost(t+1) -&gt; price(t+1) -&gt; demand(t+2)</w:t>
      </w:r>
      <w:r>
        <w:br/>
      </w:r>
      <w:r>
        <w:rPr>
          <w:rStyle w:val="VerbatimChar"/>
        </w:rPr>
        <w:t xml:space="preserve">         K  retirement(t)    &lt;- capacity(t), early coal retirement (coal variable cost vs wind and solar costs)</w:t>
      </w:r>
      <w:r>
        <w:br/>
      </w:r>
      <w:r>
        <w:rPr>
          <w:rStyle w:val="VerbatimChar"/>
        </w:rPr>
        <w:t xml:space="preserve">         L  investment(t)    &lt;- required generation(t) - capacity after retirement(t); logit on E1(t)</w:t>
      </w:r>
      <w:r>
        <w:br/>
      </w:r>
      <w:r>
        <w:rPr>
          <w:rStyle w:val="VerbatimChar"/>
        </w:rPr>
        <w:t xml:space="preserve">                             -&gt; capacity(t+1); share in the stock phi(t) -&gt; B vintages(t+1)</w:t>
      </w:r>
    </w:p>
    <w:p>
      <w:pPr>
        <w:pStyle w:val="FirstParagraph"/>
      </w:pPr>
      <w:r>
        <w:t xml:space="preserve">The levelised variable cost D9(t) averages the variable cost from t to the end of the horizon. Variable costs depend only on prices and policies, not on the generation mix, so D9 is computed before the year loop. In the workbook it runs backwards: next year’s value enters this year’s formula.</w:t>
      </w:r>
    </w:p>
    <w:bookmarkEnd w:id="69"/>
    <w:bookmarkStart w:id="70" w:name="equations-with-fixes"/>
    <w:p>
      <w:pPr>
        <w:pStyle w:val="Heading3"/>
      </w:pPr>
      <w:r>
        <w:t xml:space="preserve">2. Equations (with fixes)</w:t>
      </w:r>
    </w:p>
    <w:p>
      <w:pPr>
        <w:pStyle w:val="FirstParagraph"/>
      </w:pPr>
      <w:r>
        <w:rPr>
          <w:bCs/>
          <w:b/>
        </w:rPr>
        <w:t xml:space="preserve">H Demand.</w:t>
      </w:r>
      <w:r>
        <w:t xml:space="preserve"> </w:t>
      </w:r>
      <w:r>
        <w:t xml:space="preserve">There are four demand groups g (transport, residential, industry, services), with electricity elasticities from sheet Elasticities: eps_Y, eps_U, eps_F, alpha.</w:t>
      </w:r>
      <w:r>
        <w:t xml:space="preserve"> </w:t>
      </w:r>
      <w:r>
        <w:t xml:space="preserve">- p_g(t) = w_g × p_res(t-1) + (1 - w_g) × p_ind(t-1), with w = 0.5 for transport, 1 for residential, 0 for industry and services.</w:t>
      </w:r>
      <w:r>
        <w:t xml:space="preserve"> </w:t>
      </w:r>
      <w:r>
        <w:t xml:space="preserve">- mult_g(t) = (1 / (1 + alpha + extra))^(1 + eps_U) × (1 + GDP growth)^(eps_Y × inc(t)) × (p_g(t) / p_g(t-1))^(eps_U + eps_F + eps_U eps_F) × (1 + shock × switch).</w:t>
      </w:r>
      <w:r>
        <w:t xml:space="preserve"> </w:t>
      </w:r>
      <w:r>
        <w:t xml:space="preserve">- dem_s(t) = dem_s(t-1) × mult_group(s)(t), for the 15 subsectors (services use the services multiple in every year).</w:t>
      </w:r>
      <w:r>
        <w:t xml:space="preserve"> </w:t>
      </w:r>
      <w:r>
        <w:t xml:space="preserve">- req(t) = Σ dem × (1 + net exports + transmission + own use + stat. diff. shares) × 11.63 × 1000 / 8760 (MWy). In the base year, req is actual generation.</w:t>
      </w:r>
      <w:r>
        <w:t xml:space="preserve"> </w:t>
      </w:r>
      <w:r>
        <w:t xml:space="preserve">- Memo lines:</w:t>
      </w:r>
      <w:r>
        <w:t xml:space="preserve"> </w:t>
      </w:r>
      <w:r>
        <w:t xml:space="preserve">- demand by demand group = Σ dem over the subsectors of the group;</w:t>
      </w:r>
      <w:r>
        <w:t xml:space="preserve"> </w:t>
      </w:r>
      <w:r>
        <w:t xml:space="preserve">- electricity demand by subsector (</w:t>
      </w:r>
      <w:r>
        <w:rPr>
          <w:rStyle w:val="VerbatimChar"/>
        </w:rPr>
        <w:t xml:space="preserve">eldem</w:t>
      </w:r>
      <w:r>
        <w:t xml:space="preserve">) in each sector block of sections 5-8, and by sector (transport, buildings, industry, other energy use) and in total in section 11.</w:t>
      </w:r>
    </w:p>
    <w:p>
      <w:pPr>
        <w:pStyle w:val="BodyText"/>
      </w:pPr>
      <w:r>
        <w:rPr>
          <w:bCs/>
          <w:b/>
        </w:rPr>
        <w:t xml:space="preserve">I Dispatch.</w:t>
      </w:r>
      <w:r>
        <w:t xml:space="preserve"> </w:t>
      </w:r>
      <w:r>
        <w:t xml:space="preserve">- Fixed-output types (wind, solar, hydro, other renewables, oil, nuclear, biomass): gen = capacity × capacity factor.</w:t>
      </w:r>
      <w:r>
        <w:t xml:space="preserve"> </w:t>
      </w:r>
      <w:r>
        <w:t xml:space="preserve">- Coal and gas:</w:t>
      </w:r>
      <w:r>
        <w:t xml:space="preserve"> </w:t>
      </w:r>
      <w:r>
        <w:t xml:space="preserve">- reqcg = MAX(req - fixed output, 0);</w:t>
      </w:r>
      <w:r>
        <w:t xml:space="preserve"> </w:t>
      </w:r>
      <w:r>
        <w:t xml:space="preserve">- each type’s minimum = MIN(MAX(reqcg - maximum of the other, 0), own maximum), where maximum = capacity × 0.9;</w:t>
      </w:r>
      <w:r>
        <w:t xml:space="preserve"> </w:t>
      </w:r>
      <w:r>
        <w:t xml:space="preserve">- the remainder is shared by a logit EXP(-2 × tvc / lowest tvc);</w:t>
      </w:r>
      <w:r>
        <w:t xml:space="preserve"> </w:t>
      </w:r>
      <w:r>
        <w:t xml:space="preserve">- gen = MIN(maximum, minimum + remainder × share).</w:t>
      </w:r>
      <w:r>
        <w:t xml:space="preserve"> </w:t>
      </w:r>
      <w:r>
        <w:t xml:space="preserve">- Generation share = gen / total.</w:t>
      </w:r>
      <w:r>
        <w:t xml:space="preserve"> </w:t>
      </w:r>
      <w:r>
        <w:t xml:space="preserve">- Fuel use = gen × 8.76 / 11.63 / efficiency (ktoe); CO2 = fuel use × PJ/ktoe × EF (power).</w:t>
      </w:r>
    </w:p>
    <w:p>
      <w:pPr>
        <w:pStyle w:val="BodyText"/>
      </w:pPr>
      <w:r>
        <w:rPr>
          <w:bCs/>
          <w:b/>
        </w:rPr>
        <w:t xml:space="preserve">K Capacity and retirement.</w:t>
      </w:r>
      <w:r>
        <w:t xml:space="preserve"> </w:t>
      </w:r>
      <w:r>
        <w:t xml:space="preserve">- Planned retirement: each type has a switch (PowerTech</w:t>
      </w:r>
      <w:r>
        <w:t xml:space="preserve"> </w:t>
      </w:r>
      <w:r>
        <w:rPr>
          <w:rStyle w:val="VerbatimChar"/>
        </w:rPr>
        <w:t xml:space="preserve">planned_retirement</w:t>
      </w:r>
      <w:r>
        <w:t xml:space="preserve">, Yes/No) and a data row of planned retirements in nameplate MW per year (PowerPaths</w:t>
      </w:r>
      <w:r>
        <w:t xml:space="preserve"> </w:t>
      </w:r>
      <w:r>
        <w:rPr>
          <w:rStyle w:val="VerbatimChar"/>
        </w:rPr>
        <w:t xml:space="preserve">pret|&lt;type&gt;</w:t>
      </w:r>
      <w:r>
        <w:t xml:space="preserve">).</w:t>
      </w:r>
      <w:r>
        <w:t xml:space="preserve"> </w:t>
      </w:r>
      <w:r>
        <w:t xml:space="preserve">- Retirement = MIN(planned retirement if the switch is Yes, else capacity × 1/lifetime; + early coal retirement for coal; capacity). Hydro has rate 0.</w:t>
      </w:r>
      <w:r>
        <w:t xml:space="preserve"> </w:t>
      </w:r>
      <w:r>
        <w:t xml:space="preserve">- For Egypt, the legacy file has no planned-retirement data, so every switch is No.</w:t>
      </w:r>
      <w:r>
        <w:t xml:space="preserve"> </w:t>
      </w:r>
      <w:r>
        <w:t xml:space="preserve">- Effective retirement = retirement × capacity factor.</w:t>
      </w:r>
      <w:r>
        <w:t xml:space="preserve"> </w:t>
      </w:r>
      <w:r>
        <w:t xml:space="preserve">- Early coal retirement:</w:t>
      </w:r>
      <w:r>
        <w:t xml:space="preserve"> </w:t>
      </w:r>
      <w:r>
        <w:t xml:space="preserve">- room = MAX(0, maximum wind and solar additions - last year’s increase in generation - last year’s non-coal effective retirements);</w:t>
      </w:r>
      <w:r>
        <w:t xml:space="preserve"> </w:t>
      </w:r>
      <w:r>
        <w:t xml:space="preserve">- early = MAX(0, MIN(0.8 × coal effective capacity, room) × (1 - coal share of a logit over coal variable cost, wind and solar investment cost)) / coal capacity factor × 0.8.</w:t>
      </w:r>
      <w:r>
        <w:t xml:space="preserve"> </w:t>
      </w:r>
      <w:r>
        <w:t xml:space="preserve">- Capacity needed = MAX(req(t) - (effective capacity - effective retirement), 0). The capacity bought in year t is available in year t+1.</w:t>
      </w:r>
    </w:p>
    <w:p>
      <w:pPr>
        <w:pStyle w:val="BodyText"/>
      </w:pPr>
      <w:r>
        <w:rPr>
          <w:bCs/>
          <w:b/>
        </w:rPr>
        <w:t xml:space="preserve">L Investment.</w:t>
      </w:r>
      <w:r>
        <w:t xml:space="preserve"> </w:t>
      </w:r>
      <w:r>
        <w:t xml:space="preserve">- First round:</w:t>
      </w:r>
      <w:r>
        <w:t xml:space="preserve"> </w:t>
      </w:r>
      <w:r>
        <w:t xml:space="preserve">- permitted types only;</w:t>
      </w:r>
      <w:r>
        <w:t xml:space="preserve"> </w:t>
      </w:r>
      <w:r>
        <w:t xml:space="preserve">- logit share = EXP(-2 × E1 / lowest permitted E1) / sum;</w:t>
      </w:r>
      <w:r>
        <w:t xml:space="preserve"> </w:t>
      </w:r>
      <w:r>
        <w:t xml:space="preserve">- first round = MIN(scale-up limit, need × share), with scale-up limit = rate × total effective capacity.</w:t>
      </w:r>
      <w:r>
        <w:t xml:space="preserve"> </w:t>
      </w:r>
      <w:r>
        <w:t xml:space="preserve">- Second round: deficit = need - Σ first round; second = MAX(0, MIN(own remaining space, deficit - space of cheaper types)).</w:t>
      </w:r>
      <w:r>
        <w:t xml:space="preserve"> </w:t>
      </w:r>
      <w:r>
        <w:t xml:space="preserve">- Nameplate investment = effective / capacity factor.</w:t>
      </w:r>
      <w:r>
        <w:t xml:space="preserve"> </w:t>
      </w:r>
      <w:r>
        <w:t xml:space="preserve">- USD = nameplate × capital cost of the year / 1000.</w:t>
      </w:r>
      <w:r>
        <w:t xml:space="preserve"> </w:t>
      </w:r>
      <w:r>
        <w:t xml:space="preserve">- phi = nameplate / (capacity + nameplate - retirement), which enters the vintage averages B2 and B6.</w:t>
      </w:r>
    </w:p>
    <w:p>
      <w:pPr>
        <w:pStyle w:val="BodyText"/>
      </w:pPr>
      <w:r>
        <w:rPr>
          <w:bCs/>
          <w:b/>
        </w:rPr>
        <w:t xml:space="preserve">D5, D6, D9, E1.</w:t>
      </w:r>
      <w:r>
        <w:t xml:space="preserve"> </w:t>
      </w:r>
      <w:r>
        <w:t xml:space="preserve">- Section 1 holds three policy rates by sector, in $/tCO2:</w:t>
      </w:r>
      <w:r>
        <w:t xml:space="preserve"> </w:t>
      </w:r>
      <w:r>
        <w:t xml:space="preserve">- carbon tax = carbon price × sector coverage × (1 - ETS coverage);</w:t>
      </w:r>
      <w:r>
        <w:t xml:space="preserve"> </w:t>
      </w:r>
      <w:r>
        <w:t xml:space="preserve">- ETS cost = ETS tax-equivalent price × ETS coverage × (1 - OBR share);</w:t>
      </w:r>
      <w:r>
        <w:t xml:space="preserve"> </w:t>
      </w:r>
      <w:r>
        <w:t xml:space="preserve">- shadow price = feebate (and regulation) rate × share impacting efficiency + ETS tax-equivalent price × ETS coverage × OBR share.</w:t>
      </w:r>
      <w:r>
        <w:t xml:space="preserve"> </w:t>
      </w:r>
      <w:r>
        <w:t xml:space="preserve">- The sector blocks and the power block use the same rates.</w:t>
      </w:r>
      <w:r>
        <w:t xml:space="preserve"> </w:t>
      </w:r>
      <w:r>
        <w:t xml:space="preserve">- New policy cost per kWh (D5) = tCO2/kWh × (carbon tax × fuel coverage + ETS cost) + fuel price reform × its kWh factor.</w:t>
      </w:r>
      <w:r>
        <w:t xml:space="preserve"> </w:t>
      </w:r>
      <w:r>
        <w:t xml:space="preserve">- Shadow price per kWh = shadow price of power × tCO2/kWh.</w:t>
      </w:r>
      <w:r>
        <w:t xml:space="preserve"> </w:t>
      </w:r>
      <w:r>
        <w:t xml:space="preserve">- Rebate = -Σ shadow × base-year share, per kWh generated.</w:t>
      </w:r>
      <w:r>
        <w:t xml:space="preserve"> </w:t>
      </w:r>
      <w:r>
        <w:t xml:space="preserve">- tvc = vbc + ccp + shadow + rebate.</w:t>
      </w:r>
      <w:r>
        <w:t xml:space="preserve"> </w:t>
      </w:r>
      <w:r>
        <w:t xml:space="preserve">- D9 = discounted average of tvc to 2040.</w:t>
      </w:r>
      <w:r>
        <w:t xml:space="preserve"> </w:t>
      </w:r>
      <w:r>
        <w:t xml:space="preserve">- E1 = MAX(lfx + D9, 0.01).</w:t>
      </w:r>
    </w:p>
    <w:bookmarkEnd w:id="70"/>
    <w:bookmarkStart w:id="71" w:name="workbook"/>
    <w:p>
      <w:pPr>
        <w:pStyle w:val="Heading3"/>
      </w:pPr>
      <w:r>
        <w:t xml:space="preserve">3. Workbook</w:t>
      </w:r>
    </w:p>
    <w:p>
      <w:pPr>
        <w:numPr>
          <w:ilvl w:val="0"/>
          <w:numId w:val="1035"/>
        </w:numPr>
        <w:pStyle w:val="Compact"/>
      </w:pPr>
      <w:r>
        <w:t xml:space="preserve">Mitigation section 3 keeps the legacy letters in the legacy order: A, B, C, D, E, G, H, I, J, K, L.</w:t>
      </w:r>
    </w:p>
    <w:p>
      <w:pPr>
        <w:numPr>
          <w:ilvl w:val="0"/>
          <w:numId w:val="1035"/>
        </w:numPr>
        <w:pStyle w:val="Compact"/>
      </w:pPr>
      <w:r>
        <w:t xml:space="preserve">Each block has one formula across years, types and scenarios, and the right column calls a named LAMBDA. Two kinds of row are exceptions and stay plain:</w:t>
      </w:r>
    </w:p>
    <w:p>
      <w:pPr>
        <w:numPr>
          <w:ilvl w:val="1"/>
          <w:numId w:val="1036"/>
        </w:numPr>
        <w:pStyle w:val="Compact"/>
      </w:pPr>
      <w:r>
        <w:t xml:space="preserve">data rows and sums;</w:t>
      </w:r>
    </w:p>
    <w:p>
      <w:pPr>
        <w:numPr>
          <w:ilvl w:val="1"/>
          <w:numId w:val="1036"/>
        </w:numPr>
        <w:pStyle w:val="Compact"/>
      </w:pPr>
      <w:r>
        <w:rPr>
          <w:rStyle w:val="VerbatimChar"/>
        </w:rPr>
        <w:t xml:space="preserve">dsum</w:t>
      </w:r>
      <w:r>
        <w:t xml:space="preserve"> </w:t>
      </w:r>
      <w:r>
        <w:t xml:space="preserve">and</w:t>
      </w:r>
      <w:r>
        <w:t xml:space="preserve"> </w:t>
      </w:r>
      <w:r>
        <w:rPr>
          <w:rStyle w:val="VerbatimChar"/>
        </w:rPr>
        <w:t xml:space="preserve">lvc</w:t>
      </w:r>
      <w:r>
        <w:t xml:space="preserve">, which look one column ahead.</w:t>
      </w:r>
    </w:p>
    <w:p>
      <w:pPr>
        <w:numPr>
          <w:ilvl w:val="0"/>
          <w:numId w:val="1035"/>
        </w:numPr>
        <w:pStyle w:val="Compact"/>
      </w:pPr>
      <w:r>
        <w:t xml:space="preserve">No cell formula is longer than 100 characters. A formula that would be longer is split into visible steps, for example</w:t>
      </w:r>
      <w:r>
        <w:t xml:space="preserve"> </w:t>
      </w:r>
      <w:r>
        <w:rPr>
          <w:rStyle w:val="VerbatimChar"/>
        </w:rPr>
        <w:t xml:space="preserve">ecmin</w:t>
      </w:r>
      <w:r>
        <w:t xml:space="preserve"> </w:t>
      </w:r>
      <w:r>
        <w:t xml:space="preserve">and</w:t>
      </w:r>
      <w:r>
        <w:t xml:space="preserve"> </w:t>
      </w:r>
      <w:r>
        <w:rPr>
          <w:rStyle w:val="VerbatimChar"/>
        </w:rPr>
        <w:t xml:space="preserve">ecshr</w:t>
      </w:r>
      <w:r>
        <w:t xml:space="preserve"> </w:t>
      </w:r>
      <w:r>
        <w:t xml:space="preserve">before</w:t>
      </w:r>
      <w:r>
        <w:t xml:space="preserve"> </w:t>
      </w:r>
      <w:r>
        <w:rPr>
          <w:rStyle w:val="VerbatimChar"/>
        </w:rPr>
        <w:t xml:space="preserve">early</w:t>
      </w:r>
      <w:r>
        <w:t xml:space="preserve">; longer logic sits in the named LAMBDAs.</w:t>
      </w:r>
    </w:p>
    <w:p>
      <w:pPr>
        <w:numPr>
          <w:ilvl w:val="0"/>
          <w:numId w:val="1035"/>
        </w:numPr>
        <w:pStyle w:val="Compact"/>
      </w:pPr>
      <w:r>
        <w:t xml:space="preserve">Constants by type and the demand tables are in Inputs_power; the data sheets are PowerTech, PowerPaths, PowerParams and PowerDemand (</w:t>
      </w:r>
      <w:r>
        <w:rPr>
          <w:rStyle w:val="VerbatimChar"/>
        </w:rPr>
        <w:t xml:space="preserve">extract_power_v0_3.py</w:t>
      </w:r>
      <w:r>
        <w:t xml:space="preserve">).</w:t>
      </w:r>
    </w:p>
    <w:p>
      <w:pPr>
        <w:numPr>
          <w:ilvl w:val="0"/>
          <w:numId w:val="1035"/>
        </w:numPr>
        <w:pStyle w:val="Compact"/>
      </w:pPr>
      <w:r>
        <w:t xml:space="preserve">Power CO2 enters section 13: the total, by fuel and as ETS sector power. A new ETS that covers power therefore sees power emissions, and the baseline CO2 data rows include them.</w:t>
      </w:r>
    </w:p>
    <w:p>
      <w:pPr>
        <w:numPr>
          <w:ilvl w:val="0"/>
          <w:numId w:val="1035"/>
        </w:numPr>
        <w:pStyle w:val="Compact"/>
      </w:pPr>
      <w:r>
        <w:t xml:space="preserve">Settings C19 switches the legacy 2023-2024 demand shock on (default 0, as the fuel blocks).</w:t>
      </w:r>
    </w:p>
    <w:bookmarkEnd w:id="71"/>
    <w:bookmarkStart w:id="72" w:name="validation-check_report_v1.07.md"/>
    <w:p>
      <w:pPr>
        <w:pStyle w:val="Heading3"/>
      </w:pPr>
      <w:r>
        <w:t xml:space="preserve">4. Validation (</w:t>
      </w:r>
      <w:r>
        <w:rPr>
          <w:rStyle w:val="VerbatimChar"/>
        </w:rPr>
        <w:t xml:space="preserve">check_report_v1.07.md</w:t>
      </w:r>
      <w:r>
        <w:t xml:space="preserve">)</w:t>
      </w:r>
    </w:p>
    <w:p>
      <w:pPr>
        <w:numPr>
          <w:ilvl w:val="0"/>
          <w:numId w:val="1037"/>
        </w:numPr>
        <w:pStyle w:val="Compact"/>
      </w:pPr>
      <w:r>
        <w:rPr>
          <w:bCs/>
          <w:b/>
        </w:rPr>
        <w:t xml:space="preserve">Method = legacy.</w:t>
      </w:r>
      <w:r>
        <w:t xml:space="preserve"> </w:t>
      </w:r>
      <w:r>
        <w:t xml:space="preserve">The Python reference, fed with the cached legacy inputs and with the bugs switched on, reproduces 208 legacy rows of the baseline and of the carbon-tax run.</w:t>
      </w:r>
    </w:p>
    <w:p>
      <w:pPr>
        <w:numPr>
          <w:ilvl w:val="0"/>
          <w:numId w:val="1037"/>
        </w:numPr>
        <w:pStyle w:val="Compact"/>
      </w:pPr>
      <w:r>
        <w:rPr>
          <w:bCs/>
          <w:b/>
        </w:rPr>
        <w:t xml:space="preserve">Workbook = Python.</w:t>
      </w:r>
      <w:r>
        <w:t xml:space="preserve"> </w:t>
      </w:r>
      <w:r>
        <w:t xml:space="preserve">With all bugs fixed and the MVP inputs, the workbook matches the Python reference for every power row, in every scenario test.</w:t>
      </w:r>
    </w:p>
    <w:p>
      <w:pPr>
        <w:numPr>
          <w:ilvl w:val="0"/>
          <w:numId w:val="1037"/>
        </w:numPr>
        <w:pStyle w:val="Compact"/>
      </w:pPr>
      <w:r>
        <w:rPr>
          <w:bCs/>
          <w:b/>
        </w:rPr>
        <w:t xml:space="preserve">Properties:</w:t>
      </w:r>
    </w:p>
    <w:p>
      <w:pPr>
        <w:numPr>
          <w:ilvl w:val="1"/>
          <w:numId w:val="1038"/>
        </w:numPr>
        <w:pStyle w:val="Compact"/>
      </w:pPr>
      <w:r>
        <w:t xml:space="preserve">generation = required generation;</w:t>
      </w:r>
    </w:p>
    <w:p>
      <w:pPr>
        <w:numPr>
          <w:ilvl w:val="1"/>
          <w:numId w:val="1038"/>
        </w:numPr>
        <w:pStyle w:val="Compact"/>
      </w:pPr>
      <w:r>
        <w:t xml:space="preserve">the capacity balance holds;</w:t>
      </w:r>
    </w:p>
    <w:p>
      <w:pPr>
        <w:numPr>
          <w:ilvl w:val="1"/>
          <w:numId w:val="1038"/>
        </w:numPr>
        <w:pStyle w:val="Compact"/>
      </w:pPr>
      <w:r>
        <w:t xml:space="preserve">investment is at most the capacity needed (scale-up limits can leave part of it unplaced);</w:t>
      </w:r>
    </w:p>
    <w:p>
      <w:pPr>
        <w:numPr>
          <w:ilvl w:val="1"/>
          <w:numId w:val="1038"/>
        </w:numPr>
        <w:pStyle w:val="Compact"/>
      </w:pPr>
      <w:r>
        <w:t xml:space="preserve">the supply cost lag holds;</w:t>
      </w:r>
    </w:p>
    <w:p>
      <w:pPr>
        <w:numPr>
          <w:ilvl w:val="1"/>
          <w:numId w:val="1038"/>
        </w:numPr>
        <w:pStyle w:val="Compact"/>
      </w:pPr>
      <w:r>
        <w:t xml:space="preserve">a carbon price raises the VRE share and lowers power CO2.</w:t>
      </w:r>
    </w:p>
    <w:p>
      <w:pPr>
        <w:numPr>
          <w:ilvl w:val="0"/>
          <w:numId w:val="1037"/>
        </w:numPr>
        <w:pStyle w:val="Compact"/>
      </w:pPr>
      <w:r>
        <w:rPr>
          <w:bCs/>
          <w:b/>
        </w:rPr>
        <w:t xml:space="preserve">Planned retirement.</w:t>
      </w:r>
      <w:r>
        <w:t xml:space="preserve"> </w:t>
      </w:r>
      <w:r>
        <w:t xml:space="preserve">With the switch on for gas and oil and test data, the workbook matches the Python reference, and retirement equals the data.</w:t>
      </w:r>
    </w:p>
    <w:p>
      <w:pPr>
        <w:numPr>
          <w:ilvl w:val="0"/>
          <w:numId w:val="1037"/>
        </w:numPr>
        <w:pStyle w:val="Compact"/>
      </w:pPr>
      <w:r>
        <w:rPr>
          <w:bCs/>
          <w:b/>
        </w:rPr>
        <w:t xml:space="preserve">Memo lines.</w:t>
      </w:r>
      <w:r>
        <w:t xml:space="preserve"> </w:t>
      </w:r>
      <w:r>
        <w:t xml:space="preserve">The memo lines equal power demand by subsector and add up by sector and in total.</w:t>
      </w:r>
    </w:p>
    <w:bookmarkEnd w:id="72"/>
    <w:bookmarkEnd w:id="73"/>
    <w:bookmarkStart w:id="74" w:name="appendix-a.-differences-with-legacy-cpat"/>
    <w:p>
      <w:pPr>
        <w:pStyle w:val="Heading1"/>
      </w:pPr>
      <w:r>
        <w:t xml:space="preserve">Appendix A. Differences with legacy CPAT</w:t>
      </w:r>
    </w:p>
    <w:p>
      <w:pPr>
        <w:pStyle w:val="FirstParagraph"/>
      </w:pPr>
      <w:r>
        <w:rPr>
          <w:iCs/>
          <w:i/>
        </w:rPr>
        <w:t xml:space="preserve">Source: workbook sheet</w:t>
      </w:r>
      <w:r>
        <w:rPr>
          <w:iCs/>
          <w:i/>
        </w:rPr>
        <w:t xml:space="preserve"> </w:t>
      </w:r>
      <w:r>
        <w:rPr>
          <w:rStyle w:val="VerbatimChar"/>
          <w:iCs/>
          <w:i/>
        </w:rPr>
        <w:t xml:space="preserve">LegacyDiff</w:t>
      </w:r>
      <w:r>
        <w:rPr>
          <w:iCs/>
          <w:i/>
        </w:rPr>
        <w:t xml:space="preserve">. Type: Decision = user decision; Assumption = data assumption; Simplification; Not yet; Data; Method; Same.</w:t>
      </w:r>
    </w:p>
    <w:tbl>
      <w:tblPr>
        <w:tblStyle w:val="Table"/>
        <w:tblW w:type="pct" w:w="5000"/>
        <w:tblLook w:firstRow="1" w:lastRow="0" w:firstColumn="0" w:lastColumn="0" w:noHBand="0" w:noVBand="0" w:val="0020"/>
        <w:jc w:val="start"/>
      </w:tblPr>
      <w:tblGrid>
        <w:gridCol w:w="264"/>
        <w:gridCol w:w="1056"/>
        <w:gridCol w:w="1320"/>
        <w:gridCol w:w="1584"/>
        <w:gridCol w:w="1320"/>
        <w:gridCol w:w="1056"/>
        <w:gridCol w:w="1320"/>
      </w:tblGrid>
      <w:tr>
        <w:trPr>
          <w:tblHeader w:val="true"/>
        </w:trPr>
        <w:tc>
          <w:tcPr/>
          <w:p>
            <w:pPr>
              <w:pStyle w:val="Compact"/>
              <w:jc w:val="left"/>
            </w:pPr>
            <w:r>
              <w:t xml:space="preserve">#</w:t>
            </w:r>
          </w:p>
        </w:tc>
        <w:tc>
          <w:tcPr/>
          <w:p>
            <w:pPr>
              <w:pStyle w:val="Compact"/>
              <w:jc w:val="left"/>
            </w:pPr>
            <w:r>
              <w:t xml:space="preserve">Area</w:t>
            </w:r>
          </w:p>
        </w:tc>
        <w:tc>
          <w:tcPr/>
          <w:p>
            <w:pPr>
              <w:pStyle w:val="Compact"/>
              <w:jc w:val="left"/>
            </w:pPr>
            <w:r>
              <w:t xml:space="preserve">Legacy CPAT</w:t>
            </w:r>
          </w:p>
        </w:tc>
        <w:tc>
          <w:tcPr/>
          <w:p>
            <w:pPr>
              <w:pStyle w:val="Compact"/>
              <w:jc w:val="left"/>
            </w:pPr>
            <w:r>
              <w:t xml:space="preserve">This model</w:t>
            </w:r>
          </w:p>
        </w:tc>
        <w:tc>
          <w:tcPr/>
          <w:p>
            <w:pPr>
              <w:pStyle w:val="Compact"/>
              <w:jc w:val="left"/>
            </w:pPr>
            <w:r>
              <w:t xml:space="preserve">Why</w:t>
            </w:r>
          </w:p>
        </w:tc>
        <w:tc>
          <w:tcPr/>
          <w:p>
            <w:pPr>
              <w:pStyle w:val="Compact"/>
              <w:jc w:val="left"/>
            </w:pPr>
            <w:r>
              <w:t xml:space="preserve">Effect</w:t>
            </w:r>
          </w:p>
        </w:tc>
        <w:tc>
          <w:tcPr/>
          <w:p>
            <w:pPr>
              <w:pStyle w:val="Compact"/>
              <w:jc w:val="left"/>
            </w:pPr>
            <w:r>
              <w:t xml:space="preserve">Type</w:t>
            </w:r>
          </w:p>
        </w:tc>
      </w:tr>
      <w:tr>
        <w:tc>
          <w:tcPr/>
          <w:p>
            <w:pPr>
              <w:pStyle w:val="Compact"/>
              <w:jc w:val="left"/>
            </w:pPr>
            <w:r>
              <w:t xml:space="preserve">1</w:t>
            </w:r>
          </w:p>
        </w:tc>
        <w:tc>
          <w:tcPr/>
          <w:p>
            <w:pPr>
              <w:pStyle w:val="Compact"/>
              <w:jc w:val="left"/>
            </w:pPr>
            <w:r>
              <w:t xml:space="preserve">Elasticities: food &amp; forestry</w:t>
            </w:r>
          </w:p>
        </w:tc>
        <w:tc>
          <w:tcPr/>
          <w:p>
            <w:pPr>
              <w:pStyle w:val="Compact"/>
              <w:jc w:val="left"/>
            </w:pPr>
            <w:r>
              <w:t xml:space="preserve">Industry elasticities (cpat_coded EC_SECTORS)</w:t>
            </w:r>
          </w:p>
        </w:tc>
        <w:tc>
          <w:tcPr/>
          <w:p>
            <w:pPr>
              <w:pStyle w:val="Compact"/>
              <w:jc w:val="left"/>
            </w:pPr>
            <w:r>
              <w:t xml:space="preserve">Services (buildings) elasticities</w:t>
            </w:r>
          </w:p>
        </w:tc>
        <w:tc>
          <w:tcPr/>
          <w:p>
            <w:pPr>
              <w:pStyle w:val="Compact"/>
              <w:jc w:val="left"/>
            </w:pPr>
            <w:r>
              <w:t xml:space="preserve">User decision v0.11; legacy groups food &amp; forestry with services as Commercial</w:t>
            </w:r>
          </w:p>
        </w:tc>
        <w:tc>
          <w:tcPr/>
          <w:p>
            <w:pPr>
              <w:pStyle w:val="Compact"/>
              <w:jc w:val="left"/>
            </w:pPr>
            <w:r>
              <w:t xml:space="preserve">Food &amp; forestry fuel response</w:t>
            </w:r>
          </w:p>
        </w:tc>
        <w:tc>
          <w:tcPr/>
          <w:p>
            <w:pPr>
              <w:pStyle w:val="Compact"/>
              <w:jc w:val="left"/>
            </w:pPr>
            <w:r>
              <w:t xml:space="preserve">Decision</w:t>
            </w:r>
          </w:p>
        </w:tc>
      </w:tr>
      <w:tr>
        <w:tc>
          <w:tcPr/>
          <w:p>
            <w:pPr>
              <w:pStyle w:val="Compact"/>
              <w:jc w:val="left"/>
            </w:pPr>
            <w:r>
              <w:t xml:space="preserve">2</w:t>
            </w:r>
          </w:p>
        </w:tc>
        <w:tc>
          <w:tcPr/>
          <w:p>
            <w:pPr>
              <w:pStyle w:val="Compact"/>
              <w:jc w:val="left"/>
            </w:pPr>
            <w:r>
              <w:t xml:space="preserve">Other oil products: pass-through and margin</w:t>
            </w:r>
          </w:p>
        </w:tc>
        <w:tc>
          <w:tcPr/>
          <w:p>
            <w:pPr>
              <w:pStyle w:val="Compact"/>
              <w:jc w:val="left"/>
            </w:pPr>
            <w:r>
              <w:t xml:space="preserve">Hardcoded 1 and 0</w:t>
            </w:r>
          </w:p>
        </w:tc>
        <w:tc>
          <w:tcPr/>
          <w:p>
            <w:pPr>
              <w:pStyle w:val="Compact"/>
              <w:jc w:val="left"/>
            </w:pPr>
            <w:r>
              <w:t xml:space="preserve">From the IMF dataset like the other oil products (Egypt 0 and 7.95 $/bbl)</w:t>
            </w:r>
          </w:p>
        </w:tc>
        <w:tc>
          <w:tcPr/>
          <w:p>
            <w:pPr>
              <w:pStyle w:val="Compact"/>
              <w:jc w:val="left"/>
            </w:pPr>
            <w:r>
              <w:t xml:space="preserve">User decision v0.10: the legacy rule drove the retail price to the 0.01 floor and fuel use 10x by 2030</w:t>
            </w:r>
          </w:p>
        </w:tc>
        <w:tc>
          <w:tcPr/>
          <w:p>
            <w:pPr>
              <w:pStyle w:val="Compact"/>
              <w:jc w:val="left"/>
            </w:pPr>
            <w:r>
              <w:t xml:space="preserve">Large: other oil products, total fuel use</w:t>
            </w:r>
          </w:p>
        </w:tc>
        <w:tc>
          <w:tcPr/>
          <w:p>
            <w:pPr>
              <w:pStyle w:val="Compact"/>
              <w:jc w:val="left"/>
            </w:pPr>
            <w:r>
              <w:t xml:space="preserve">Decision</w:t>
            </w:r>
          </w:p>
        </w:tc>
      </w:tr>
      <w:tr>
        <w:tc>
          <w:tcPr/>
          <w:p>
            <w:pPr>
              <w:pStyle w:val="Compact"/>
              <w:jc w:val="left"/>
            </w:pPr>
            <w:r>
              <w:t xml:space="preserve">3</w:t>
            </w:r>
          </w:p>
        </w:tc>
        <w:tc>
          <w:tcPr/>
          <w:p>
            <w:pPr>
              <w:pStyle w:val="Compact"/>
              <w:jc w:val="left"/>
            </w:pPr>
            <w:r>
              <w:t xml:space="preserve">VAT rate where the dataset is blank</w:t>
            </w:r>
          </w:p>
        </w:tc>
        <w:tc>
          <w:tcPr/>
          <w:p>
            <w:pPr>
              <w:pStyle w:val="Compact"/>
              <w:jc w:val="left"/>
            </w:pPr>
            <w:r>
              <w:t xml:space="preserve">0</w:t>
            </w:r>
          </w:p>
        </w:tc>
        <w:tc>
          <w:tcPr/>
          <w:p>
            <w:pPr>
              <w:pStyle w:val="Compact"/>
              <w:jc w:val="left"/>
            </w:pPr>
            <w:r>
              <w:t xml:space="preserve">General VAT rate VAT_WEO for residential coal and gas and all-sector oil products; 0 for power, industry, biomass. Only for blank cells (v0.14)</w:t>
            </w:r>
          </w:p>
        </w:tc>
        <w:tc>
          <w:tcPr/>
          <w:p>
            <w:pPr>
              <w:pStyle w:val="Compact"/>
              <w:jc w:val="left"/>
            </w:pPr>
            <w:r>
              <w:t xml:space="preserve">User decision v0.10</w:t>
            </w:r>
          </w:p>
        </w:tc>
        <w:tc>
          <w:tcPr/>
          <w:p>
            <w:pPr>
              <w:pStyle w:val="Compact"/>
              <w:jc w:val="left"/>
            </w:pPr>
            <w:r>
              <w:t xml:space="preserve">None for Egypt since v0.14 (corrected data fill every VAT cell)</w:t>
            </w:r>
          </w:p>
        </w:tc>
        <w:tc>
          <w:tcPr/>
          <w:p>
            <w:pPr>
              <w:pStyle w:val="Compact"/>
              <w:jc w:val="left"/>
            </w:pPr>
            <w:r>
              <w:t xml:space="preserve">Assumption</w:t>
            </w:r>
          </w:p>
        </w:tc>
      </w:tr>
      <w:tr>
        <w:tc>
          <w:tcPr/>
          <w:p>
            <w:pPr>
              <w:pStyle w:val="Compact"/>
              <w:jc w:val="left"/>
            </w:pPr>
            <w:r>
              <w:t xml:space="preserve">4</w:t>
            </w:r>
          </w:p>
        </w:tc>
        <w:tc>
          <w:tcPr/>
          <w:p>
            <w:pPr>
              <w:pStyle w:val="Compact"/>
              <w:jc w:val="left"/>
            </w:pPr>
            <w:r>
              <w:t xml:space="preserve">Egypt price data</w:t>
            </w:r>
          </w:p>
        </w:tc>
        <w:tc>
          <w:tcPr/>
          <w:p>
            <w:pPr>
              <w:pStyle w:val="Compact"/>
              <w:jc w:val="left"/>
            </w:pPr>
            <w:r>
              <w:t xml:space="preserve">Price block in the legacy release</w:t>
            </w:r>
          </w:p>
        </w:tc>
        <w:tc>
          <w:tcPr/>
          <w:p>
            <w:pPr>
              <w:pStyle w:val="Compact"/>
              <w:jc w:val="left"/>
            </w:pPr>
            <w:r>
              <w:t xml:space="preserve">Corrected Egypt block supplied by the user (2026-10-09; 291 cells, years 2019-2020 added); changed cells bright yellow in Prices_dom</w:t>
            </w:r>
          </w:p>
        </w:tc>
        <w:tc>
          <w:tcPr/>
          <w:p>
            <w:pPr>
              <w:pStyle w:val="Compact"/>
              <w:jc w:val="left"/>
            </w:pPr>
            <w:r>
              <w:t xml:space="preserve">User data correction</w:t>
            </w:r>
          </w:p>
        </w:tc>
        <w:tc>
          <w:tcPr/>
          <w:p>
            <w:pPr>
              <w:pStyle w:val="Compact"/>
              <w:jc w:val="left"/>
            </w:pPr>
            <w:r>
              <w:t xml:space="preserve">Taxes and subsidies of gas and oil products; small supply-cost changes</w:t>
            </w:r>
          </w:p>
        </w:tc>
        <w:tc>
          <w:tcPr/>
          <w:p>
            <w:pPr>
              <w:pStyle w:val="Compact"/>
              <w:jc w:val="left"/>
            </w:pPr>
            <w:r>
              <w:t xml:space="preserve">Data</w:t>
            </w:r>
          </w:p>
        </w:tc>
      </w:tr>
      <w:tr>
        <w:tc>
          <w:tcPr/>
          <w:p>
            <w:pPr>
              <w:pStyle w:val="Compact"/>
              <w:jc w:val="left"/>
            </w:pPr>
            <w:r>
              <w:t xml:space="preserve">5</w:t>
            </w:r>
          </w:p>
        </w:tc>
        <w:tc>
          <w:tcPr/>
          <w:p>
            <w:pPr>
              <w:pStyle w:val="Compact"/>
              <w:jc w:val="left"/>
            </w:pPr>
            <w:r>
              <w:t xml:space="preserve">Oil-product share in the VAT of transport fuels</w:t>
            </w:r>
          </w:p>
        </w:tc>
        <w:tc>
          <w:tcPr/>
          <w:p>
            <w:pPr>
              <w:pStyle w:val="Compact"/>
              <w:jc w:val="left"/>
            </w:pPr>
            <w:r>
              <w:t xml:space="preserve">VAT rate x oil-product share</w:t>
            </w:r>
          </w:p>
        </w:tc>
        <w:tc>
          <w:tcPr/>
          <w:p>
            <w:pPr>
              <w:pStyle w:val="Compact"/>
              <w:jc w:val="left"/>
            </w:pPr>
            <w:r>
              <w:t xml:space="preserve">Share = 1</w:t>
            </w:r>
          </w:p>
        </w:tc>
        <w:tc>
          <w:tcPr/>
          <w:p>
            <w:pPr>
              <w:pStyle w:val="Compact"/>
              <w:jc w:val="left"/>
            </w:pPr>
            <w:r>
              <w:t xml:space="preserve">Not yet extracted</w:t>
            </w:r>
          </w:p>
        </w:tc>
        <w:tc>
          <w:tcPr/>
          <w:p>
            <w:pPr>
              <w:pStyle w:val="Compact"/>
              <w:jc w:val="left"/>
            </w:pPr>
            <w:r>
              <w:t xml:space="preserve">None for Egypt today</w:t>
            </w:r>
          </w:p>
        </w:tc>
        <w:tc>
          <w:tcPr/>
          <w:p>
            <w:pPr>
              <w:pStyle w:val="Compact"/>
              <w:jc w:val="left"/>
            </w:pPr>
            <w:r>
              <w:t xml:space="preserve">Simplification</w:t>
            </w:r>
          </w:p>
        </w:tc>
      </w:tr>
      <w:tr>
        <w:tc>
          <w:tcPr/>
          <w:p>
            <w:pPr>
              <w:pStyle w:val="Compact"/>
              <w:jc w:val="left"/>
            </w:pPr>
            <w:r>
              <w:t xml:space="preserve">6</w:t>
            </w:r>
          </w:p>
        </w:tc>
        <w:tc>
          <w:tcPr/>
          <w:p>
            <w:pPr>
              <w:pStyle w:val="Compact"/>
              <w:jc w:val="left"/>
            </w:pPr>
            <w:r>
              <w:t xml:space="preserve">New ETS price</w:t>
            </w:r>
          </w:p>
        </w:tc>
        <w:tc>
          <w:tcPr/>
          <w:p>
            <w:pPr>
              <w:pStyle w:val="Compact"/>
              <w:jc w:val="left"/>
            </w:pPr>
            <w:r>
              <w:t xml:space="preserve">Cap relative to baseline; quick estimate (linear in the semi-elasticity) and a VBA goal seek on an override row</w:t>
            </w:r>
          </w:p>
        </w:tc>
        <w:tc>
          <w:tcPr/>
          <w:p>
            <w:pPr>
              <w:pStyle w:val="Compact"/>
              <w:jc w:val="left"/>
            </w:pPr>
            <w:r>
              <w:t xml:space="preserve">Same cap; fast estimate in log form LN(cap/baseline)/(semi x effectiveness x volatility adjustment); override row pasted from ets_goalseek_v0_1.py (Python, same damped log-space step, no VBA); baseline covered emissions are data from scenario 1 (bco2)</w:t>
            </w:r>
          </w:p>
        </w:tc>
        <w:tc>
          <w:tcPr/>
          <w:p>
            <w:pPr>
              <w:pStyle w:val="Compact"/>
              <w:jc w:val="left"/>
            </w:pPr>
            <w:r>
              <w:t xml:space="preserve">No circular reference; legacy note</w:t>
            </w:r>
            <w:r>
              <w:t xml:space="preserve"> </w:t>
            </w:r>
            <w:r>
              <w:t xml:space="preserve">“</w:t>
            </w:r>
            <w:r>
              <w:t xml:space="preserve">arguably exp/ln</w:t>
            </w:r>
            <w:r>
              <w:t xml:space="preserve">”</w:t>
            </w:r>
          </w:p>
        </w:tc>
        <w:tc>
          <w:tcPr/>
          <w:p>
            <w:pPr>
              <w:pStyle w:val="Compact"/>
              <w:jc w:val="left"/>
            </w:pPr>
            <w:r>
              <w:t xml:space="preserve">ETS scenarios</w:t>
            </w:r>
          </w:p>
        </w:tc>
        <w:tc>
          <w:tcPr/>
          <w:p>
            <w:pPr>
              <w:pStyle w:val="Compact"/>
              <w:jc w:val="left"/>
            </w:pPr>
            <w:r>
              <w:t xml:space="preserve">Method</w:t>
            </w:r>
          </w:p>
        </w:tc>
      </w:tr>
      <w:tr>
        <w:tc>
          <w:tcPr/>
          <w:p>
            <w:pPr>
              <w:pStyle w:val="Compact"/>
              <w:jc w:val="left"/>
            </w:pPr>
            <w:r>
              <w:t xml:space="preserve">7</w:t>
            </w:r>
          </w:p>
        </w:tc>
        <w:tc>
          <w:tcPr/>
          <w:p>
            <w:pPr>
              <w:pStyle w:val="Compact"/>
              <w:jc w:val="left"/>
            </w:pPr>
            <w:r>
              <w:t xml:space="preserve">ETS allocation</w:t>
            </w:r>
          </w:p>
        </w:tc>
        <w:tc>
          <w:tcPr/>
          <w:p>
            <w:pPr>
              <w:pStyle w:val="Compact"/>
              <w:jc w:val="left"/>
            </w:pPr>
            <w:r>
              <w:t xml:space="preserve">One auctioned proportion for all sectors (MTInputs 90-92)</w:t>
            </w:r>
          </w:p>
        </w:tc>
        <w:tc>
          <w:tcPr/>
          <w:p>
            <w:pPr>
              <w:pStyle w:val="Compact"/>
              <w:jc w:val="left"/>
            </w:pPr>
            <w:r>
              <w:t xml:space="preserve">Benchmarks by sector group (pow, tra, res, ind; typed rows); OBR share = benchmark; MTInputs 90-92 not used</w:t>
            </w:r>
          </w:p>
        </w:tc>
        <w:tc>
          <w:tcPr/>
          <w:p>
            <w:pPr>
              <w:pStyle w:val="Compact"/>
              <w:jc w:val="left"/>
            </w:pPr>
            <w:r>
              <w:t xml:space="preserve">User decision v1.02 (benchmarks); the split afterwards is as legacy</w:t>
            </w:r>
          </w:p>
        </w:tc>
        <w:tc>
          <w:tcPr/>
          <w:p>
            <w:pPr>
              <w:pStyle w:val="Compact"/>
              <w:jc w:val="left"/>
            </w:pPr>
            <w:r>
              <w:t xml:space="preserve">ETS scenarios</w:t>
            </w:r>
          </w:p>
        </w:tc>
        <w:tc>
          <w:tcPr/>
          <w:p>
            <w:pPr>
              <w:pStyle w:val="Compact"/>
              <w:jc w:val="left"/>
            </w:pPr>
            <w:r>
              <w:t xml:space="preserve">Decision</w:t>
            </w:r>
          </w:p>
        </w:tc>
      </w:tr>
      <w:tr>
        <w:tc>
          <w:tcPr/>
          <w:p>
            <w:pPr>
              <w:pStyle w:val="Compact"/>
              <w:jc w:val="left"/>
            </w:pPr>
            <w:r>
              <w:t xml:space="preserve">8</w:t>
            </w:r>
          </w:p>
        </w:tc>
        <w:tc>
          <w:tcPr/>
          <w:p>
            <w:pPr>
              <w:pStyle w:val="Compact"/>
              <w:jc w:val="left"/>
            </w:pPr>
            <w:r>
              <w:t xml:space="preserve">ETS volatility</w:t>
            </w:r>
          </w:p>
        </w:tc>
        <w:tc>
          <w:tcPr/>
          <w:p>
            <w:pPr>
              <w:pStyle w:val="Compact"/>
              <w:jc w:val="left"/>
            </w:pPr>
            <w:r>
              <w:t xml:space="preserve">Relative price ETS vs tax hardcoded 1.1 (row 1843); volatility inputs feed a factor not used</w:t>
            </w:r>
          </w:p>
        </w:tc>
        <w:tc>
          <w:tcPr/>
          <w:p>
            <w:pPr>
              <w:pStyle w:val="Compact"/>
              <w:jc w:val="left"/>
            </w:pPr>
            <w:r>
              <w:t xml:space="preserve">Volatility adjustment (1 + policy risk x impact)/(1 + volatility x impact) from MTInputs 95-97 (1/1.1 at Medium) on the tax-equivalent price and in the fast estimate</w:t>
            </w:r>
          </w:p>
        </w:tc>
        <w:tc>
          <w:tcPr/>
          <w:p>
            <w:pPr>
              <w:pStyle w:val="Compact"/>
              <w:jc w:val="left"/>
            </w:pPr>
            <w:r>
              <w:t xml:space="preserve">User suggestion v1.02 (volatility-dependent effectiveness)</w:t>
            </w:r>
          </w:p>
        </w:tc>
        <w:tc>
          <w:tcPr/>
          <w:p>
            <w:pPr>
              <w:pStyle w:val="Compact"/>
              <w:jc w:val="left"/>
            </w:pPr>
            <w:r>
              <w:t xml:space="preserve">ETS scenarios</w:t>
            </w:r>
          </w:p>
        </w:tc>
        <w:tc>
          <w:tcPr/>
          <w:p>
            <w:pPr>
              <w:pStyle w:val="Compact"/>
              <w:jc w:val="left"/>
            </w:pPr>
            <w:r>
              <w:t xml:space="preserve">Method</w:t>
            </w:r>
          </w:p>
        </w:tc>
      </w:tr>
      <w:tr>
        <w:tc>
          <w:tcPr/>
          <w:p>
            <w:pPr>
              <w:pStyle w:val="Compact"/>
              <w:jc w:val="left"/>
            </w:pPr>
            <w:r>
              <w:t xml:space="preserve">9</w:t>
            </w:r>
          </w:p>
        </w:tc>
        <w:tc>
          <w:tcPr/>
          <w:p>
            <w:pPr>
              <w:pStyle w:val="Compact"/>
              <w:jc w:val="left"/>
            </w:pPr>
            <w:r>
              <w:t xml:space="preserve">Existing ETS and existing carbon taxes</w:t>
            </w:r>
          </w:p>
        </w:tc>
        <w:tc>
          <w:tcPr/>
          <w:p>
            <w:pPr>
              <w:pStyle w:val="Compact"/>
              <w:jc w:val="left"/>
            </w:pPr>
            <w:r>
              <w:t xml:space="preserve">Included where they exist</w:t>
            </w:r>
          </w:p>
        </w:tc>
        <w:tc>
          <w:tcPr/>
          <w:p>
            <w:pPr>
              <w:pStyle w:val="Compact"/>
              <w:jc w:val="left"/>
            </w:pPr>
            <w:r>
              <w:t xml:space="preserve">Not modelled</w:t>
            </w:r>
          </w:p>
        </w:tc>
        <w:tc>
          <w:tcPr/>
          <w:p>
            <w:pPr>
              <w:pStyle w:val="Compact"/>
              <w:jc w:val="left"/>
            </w:pPr>
            <w:r>
              <w:t xml:space="preserve">None for Egypt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10</w:t>
            </w:r>
          </w:p>
        </w:tc>
        <w:tc>
          <w:tcPr/>
          <w:p>
            <w:pPr>
              <w:pStyle w:val="Compact"/>
              <w:jc w:val="left"/>
            </w:pPr>
            <w:r>
              <w:t xml:space="preserve">Sectoral shadow prices</w:t>
            </w:r>
          </w:p>
        </w:tc>
        <w:tc>
          <w:tcPr/>
          <w:p>
            <w:pPr>
              <w:pStyle w:val="Compact"/>
              <w:jc w:val="left"/>
            </w:pPr>
            <w:r>
              <w:t xml:space="preserve">Feebates + non-auctioned ETS + regulations</w:t>
            </w:r>
          </w:p>
        </w:tc>
        <w:tc>
          <w:tcPr/>
          <w:p>
            <w:pPr>
              <w:pStyle w:val="Compact"/>
              <w:jc w:val="left"/>
            </w:pPr>
            <w:r>
              <w:t xml:space="preserve">Feebates + regulations (placeholder 0) + OBR part of the ETS</w:t>
            </w:r>
          </w:p>
        </w:tc>
        <w:tc>
          <w:tcPr/>
          <w:p>
            <w:pPr>
              <w:pStyle w:val="Compact"/>
              <w:jc w:val="left"/>
            </w:pPr>
            <w:r>
              <w:t xml:space="preserve">Regulations not yet</w:t>
            </w:r>
          </w:p>
        </w:tc>
        <w:tc>
          <w:tcPr/>
          <w:p>
            <w:pPr>
              <w:pStyle w:val="Compact"/>
              <w:jc w:val="left"/>
            </w:pPr>
            <w:r>
              <w:t xml:space="preserve">Regulation scenarios</w:t>
            </w:r>
          </w:p>
        </w:tc>
        <w:tc>
          <w:tcPr/>
          <w:p>
            <w:pPr>
              <w:pStyle w:val="Compact"/>
              <w:jc w:val="left"/>
            </w:pPr>
            <w:r>
              <w:t xml:space="preserve">Not yet</w:t>
            </w:r>
          </w:p>
        </w:tc>
      </w:tr>
      <w:tr>
        <w:tc>
          <w:tcPr/>
          <w:p>
            <w:pPr>
              <w:pStyle w:val="Compact"/>
              <w:jc w:val="left"/>
            </w:pPr>
            <w:r>
              <w:t xml:space="preserve">11</w:t>
            </w:r>
          </w:p>
        </w:tc>
        <w:tc>
          <w:tcPr/>
          <w:p>
            <w:pPr>
              <w:pStyle w:val="Compact"/>
              <w:jc w:val="left"/>
            </w:pPr>
            <w:r>
              <w:t xml:space="preserve">Policy paths after the target year</w:t>
            </w:r>
          </w:p>
        </w:tc>
        <w:tc>
          <w:tcPr/>
          <w:p>
            <w:pPr>
              <w:pStyle w:val="Compact"/>
              <w:jc w:val="left"/>
            </w:pPr>
            <w:r>
              <w:t xml:space="preserve">Per instrument (carbon price: MTInputs switch)</w:t>
            </w:r>
          </w:p>
        </w:tc>
        <w:tc>
          <w:tcPr/>
          <w:p>
            <w:pPr>
              <w:pStyle w:val="Compact"/>
              <w:jc w:val="left"/>
            </w:pPr>
            <w:r>
              <w:t xml:space="preserve">Linear continuation for fuel price reform and feebates; carbon price keeps the switch; ETS benchmarks constant; ETS cap per MTInputs switch</w:t>
            </w:r>
          </w:p>
        </w:tc>
        <w:tc>
          <w:tcPr/>
          <w:p>
            <w:pPr>
              <w:pStyle w:val="Compact"/>
              <w:jc w:val="left"/>
            </w:pPr>
            <w:r>
              <w:t xml:space="preserve">User decision v0.8 (one default)</w:t>
            </w:r>
          </w:p>
        </w:tc>
        <w:tc>
          <w:tcPr/>
          <w:p>
            <w:pPr>
              <w:pStyle w:val="Compact"/>
              <w:jc w:val="left"/>
            </w:pPr>
            <w:r>
              <w:t xml:space="preserve">Post-target years</w:t>
            </w:r>
          </w:p>
        </w:tc>
        <w:tc>
          <w:tcPr/>
          <w:p>
            <w:pPr>
              <w:pStyle w:val="Compact"/>
              <w:jc w:val="left"/>
            </w:pPr>
            <w:r>
              <w:t xml:space="preserve">Decision</w:t>
            </w:r>
          </w:p>
        </w:tc>
      </w:tr>
      <w:tr>
        <w:tc>
          <w:tcPr/>
          <w:p>
            <w:pPr>
              <w:pStyle w:val="Compact"/>
              <w:jc w:val="left"/>
            </w:pPr>
            <w:r>
              <w:t xml:space="preserve">12</w:t>
            </w:r>
          </w:p>
        </w:tc>
        <w:tc>
          <w:tcPr/>
          <w:p>
            <w:pPr>
              <w:pStyle w:val="Compact"/>
              <w:jc w:val="left"/>
            </w:pPr>
            <w:r>
              <w:t xml:space="preserve">Scenario batch runs</w:t>
            </w:r>
          </w:p>
        </w:tc>
        <w:tc>
          <w:tcPr/>
          <w:p>
            <w:pPr>
              <w:pStyle w:val="Compact"/>
              <w:jc w:val="left"/>
            </w:pPr>
            <w:r>
              <w:t xml:space="preserve">Macros copy each MTInputs scenario column into the column used for calculation and store the outputs</w:t>
            </w:r>
          </w:p>
        </w:tc>
        <w:tc>
          <w:tcPr/>
          <w:p>
            <w:pPr>
              <w:pStyle w:val="Compact"/>
              <w:jc w:val="left"/>
            </w:pPr>
            <w:r>
              <w:t xml:space="preserve">Same idea: RunAllScenarios copies each definition (MTInputs L onwards, Run? = Yes) into the live column K, runs the ETS goal seek when needed, stores MTOutputs values in StoredResults; ScenarioCompare compares one year</w:t>
            </w:r>
          </w:p>
        </w:tc>
        <w:tc>
          <w:tcPr/>
          <w:p>
            <w:pPr>
              <w:pStyle w:val="Compact"/>
              <w:jc w:val="left"/>
            </w:pPr>
            <w:r>
              <w:t xml:space="preserve">User request v1.03</w:t>
            </w:r>
          </w:p>
        </w:tc>
        <w:tc>
          <w:tcPr/>
          <w:p>
            <w:pPr>
              <w:pStyle w:val="Compact"/>
              <w:jc w:val="left"/>
            </w:pPr>
            <w:r>
              <w:t xml:space="preserve">Multi-scenario analysis</w:t>
            </w:r>
          </w:p>
        </w:tc>
        <w:tc>
          <w:tcPr/>
          <w:p>
            <w:pPr>
              <w:pStyle w:val="Compact"/>
              <w:jc w:val="left"/>
            </w:pPr>
            <w:r>
              <w:t xml:space="preserve">Same</w:t>
            </w:r>
          </w:p>
        </w:tc>
      </w:tr>
      <w:tr>
        <w:tc>
          <w:tcPr/>
          <w:p>
            <w:pPr>
              <w:pStyle w:val="Compact"/>
              <w:jc w:val="left"/>
            </w:pPr>
            <w:r>
              <w:t xml:space="preserve">13</w:t>
            </w:r>
          </w:p>
        </w:tc>
        <w:tc>
          <w:tcPr/>
          <w:p>
            <w:pPr>
              <w:pStyle w:val="Compact"/>
              <w:jc w:val="left"/>
            </w:pPr>
            <w:r>
              <w:t xml:space="preserve">Feebate grouping</w:t>
            </w:r>
          </w:p>
        </w:tc>
        <w:tc>
          <w:tcPr/>
          <w:p>
            <w:pPr>
              <w:pStyle w:val="Compact"/>
              <w:jc w:val="left"/>
            </w:pPr>
            <w:r>
              <w:t xml:space="preserve">Main grouping (buildings = residential rate)</w:t>
            </w:r>
          </w:p>
        </w:tc>
        <w:tc>
          <w:tcPr/>
          <w:p>
            <w:pPr>
              <w:pStyle w:val="Compact"/>
              <w:jc w:val="left"/>
            </w:pPr>
            <w:r>
              <w:t xml:space="preserve">Same: food &amp; forestry and services take the residential rate; other energy use the industry rate</w:t>
            </w:r>
          </w:p>
        </w:tc>
        <w:tc>
          <w:tcPr/>
          <w:p>
            <w:pPr>
              <w:pStyle w:val="Compact"/>
              <w:jc w:val="left"/>
            </w:pPr>
            <w:r>
              <w:t xml:space="preserve">User decision v0.8</w:t>
            </w:r>
          </w:p>
        </w:tc>
        <w:tc>
          <w:tcPr/>
          <w:p>
            <w:pPr>
              <w:pStyle w:val="Compact"/>
              <w:jc w:val="left"/>
            </w:pPr>
            <w:r>
              <w:t xml:space="preserve">None</w:t>
            </w:r>
          </w:p>
        </w:tc>
        <w:tc>
          <w:tcPr/>
          <w:p>
            <w:pPr>
              <w:pStyle w:val="Compact"/>
              <w:jc w:val="left"/>
            </w:pPr>
            <w:r>
              <w:t xml:space="preserve">Same</w:t>
            </w:r>
          </w:p>
        </w:tc>
      </w:tr>
      <w:tr>
        <w:tc>
          <w:tcPr/>
          <w:p>
            <w:pPr>
              <w:pStyle w:val="Compact"/>
              <w:jc w:val="left"/>
            </w:pPr>
            <w:r>
              <w:t xml:space="preserve">14</w:t>
            </w:r>
          </w:p>
        </w:tc>
        <w:tc>
          <w:tcPr/>
          <w:p>
            <w:pPr>
              <w:pStyle w:val="Compact"/>
              <w:jc w:val="left"/>
            </w:pPr>
            <w:r>
              <w:t xml:space="preserve">Biomass carbon-tax coverage</w:t>
            </w:r>
          </w:p>
        </w:tc>
        <w:tc>
          <w:tcPr/>
          <w:p>
            <w:pPr>
              <w:pStyle w:val="Compact"/>
              <w:jc w:val="left"/>
            </w:pPr>
            <w:r>
              <w:t xml:space="preserve">No switch</w:t>
            </w:r>
          </w:p>
        </w:tc>
        <w:tc>
          <w:tcPr/>
          <w:p>
            <w:pPr>
              <w:pStyle w:val="Compact"/>
              <w:jc w:val="left"/>
            </w:pPr>
            <w:r>
              <w:t xml:space="preserve">TRUE (EF 0)</w:t>
            </w:r>
          </w:p>
        </w:tc>
        <w:tc>
          <w:tcPr/>
          <w:p>
            <w:pPr>
              <w:pStyle w:val="Compact"/>
              <w:jc w:val="left"/>
            </w:pPr>
            <w:r>
              <w:t xml:space="preserve">User decision v0.8</w:t>
            </w:r>
          </w:p>
        </w:tc>
        <w:tc>
          <w:tcPr/>
          <w:p>
            <w:pPr>
              <w:pStyle w:val="Compact"/>
              <w:jc w:val="left"/>
            </w:pPr>
            <w:r>
              <w:t xml:space="preserve">None</w:t>
            </w:r>
          </w:p>
        </w:tc>
        <w:tc>
          <w:tcPr/>
          <w:p>
            <w:pPr>
              <w:pStyle w:val="Compact"/>
              <w:jc w:val="left"/>
            </w:pPr>
            <w:r>
              <w:t xml:space="preserve">Decision</w:t>
            </w:r>
          </w:p>
        </w:tc>
      </w:tr>
      <w:tr>
        <w:tc>
          <w:tcPr/>
          <w:p>
            <w:pPr>
              <w:pStyle w:val="Compact"/>
              <w:jc w:val="left"/>
            </w:pPr>
            <w:r>
              <w:t xml:space="preserve">15</w:t>
            </w:r>
          </w:p>
        </w:tc>
        <w:tc>
          <w:tcPr/>
          <w:p>
            <w:pPr>
              <w:pStyle w:val="Compact"/>
              <w:jc w:val="left"/>
            </w:pPr>
            <w:r>
              <w:t xml:space="preserve">Margins and production costs</w:t>
            </w:r>
          </w:p>
        </w:tc>
        <w:tc>
          <w:tcPr/>
          <w:p>
            <w:pPr>
              <w:pStyle w:val="Compact"/>
              <w:jc w:val="left"/>
            </w:pPr>
            <w:r>
              <w:t xml:space="preserve">cpat_coded applies no inflation conversion</w:t>
            </w:r>
          </w:p>
        </w:tc>
        <w:tc>
          <w:tcPr/>
          <w:p>
            <w:pPr>
              <w:pStyle w:val="Compact"/>
              <w:jc w:val="left"/>
            </w:pPr>
            <w:r>
              <w:t xml:space="preserve">x CPI index of the base year</w:t>
            </w:r>
          </w:p>
        </w:tc>
        <w:tc>
          <w:tcPr/>
          <w:p>
            <w:pPr>
              <w:pStyle w:val="Compact"/>
              <w:jc w:val="left"/>
            </w:pPr>
            <w:r>
              <w:t xml:space="preserve">Consistent real terms (assumption A4)</w:t>
            </w:r>
          </w:p>
        </w:tc>
        <w:tc>
          <w:tcPr/>
          <w:p>
            <w:pPr>
              <w:pStyle w:val="Compact"/>
              <w:jc w:val="left"/>
            </w:pPr>
            <w:r>
              <w:t xml:space="preserve">Coal and gas supply cost level</w:t>
            </w:r>
          </w:p>
        </w:tc>
        <w:tc>
          <w:tcPr/>
          <w:p>
            <w:pPr>
              <w:pStyle w:val="Compact"/>
              <w:jc w:val="left"/>
            </w:pPr>
            <w:r>
              <w:t xml:space="preserve">To check (bucket 5)</w:t>
            </w:r>
          </w:p>
        </w:tc>
      </w:tr>
      <w:tr>
        <w:tc>
          <w:tcPr/>
          <w:p>
            <w:pPr>
              <w:pStyle w:val="Compact"/>
              <w:jc w:val="left"/>
            </w:pPr>
            <w:r>
              <w:t xml:space="preserve">16</w:t>
            </w:r>
          </w:p>
        </w:tc>
        <w:tc>
          <w:tcPr/>
          <w:p>
            <w:pPr>
              <w:pStyle w:val="Compact"/>
              <w:jc w:val="left"/>
            </w:pPr>
            <w:r>
              <w:t xml:space="preserve">Existing taxes and subsidies</w:t>
            </w:r>
          </w:p>
        </w:tc>
        <w:tc>
          <w:tcPr/>
          <w:p>
            <w:pPr>
              <w:pStyle w:val="Compact"/>
              <w:jc w:val="left"/>
            </w:pPr>
            <w:r>
              <w:t xml:space="preserve">txo = fixed tax (fadtx) + fixed subsidy (fixs) + floating part (cs)</w:t>
            </w:r>
          </w:p>
        </w:tc>
        <w:tc>
          <w:tcPr/>
          <w:p>
            <w:pPr>
              <w:pStyle w:val="Compact"/>
              <w:jc w:val="left"/>
            </w:pPr>
            <w:r>
              <w:t xml:space="preserve">Split by the sign of txo: etx = max(txo, 0), esub = max(-txo, 0)</w:t>
            </w:r>
          </w:p>
        </w:tc>
        <w:tc>
          <w:tcPr/>
          <w:p>
            <w:pPr>
              <w:pStyle w:val="Compact"/>
              <w:jc w:val="left"/>
            </w:pPr>
            <w:r>
              <w:t xml:space="preserve">Simple and revenue-ready; same totals</w:t>
            </w:r>
          </w:p>
        </w:tc>
        <w:tc>
          <w:tcPr/>
          <w:p>
            <w:pPr>
              <w:pStyle w:val="Compact"/>
              <w:jc w:val="left"/>
            </w:pPr>
            <w:r>
              <w:t xml:space="preserve">Presentation only</w:t>
            </w:r>
          </w:p>
        </w:tc>
        <w:tc>
          <w:tcPr/>
          <w:p>
            <w:pPr>
              <w:pStyle w:val="Compact"/>
              <w:jc w:val="left"/>
            </w:pPr>
            <w:r>
              <w:t xml:space="preserve">Simplification</w:t>
            </w:r>
          </w:p>
        </w:tc>
      </w:tr>
      <w:tr>
        <w:tc>
          <w:tcPr/>
          <w:p>
            <w:pPr>
              <w:pStyle w:val="Compact"/>
              <w:jc w:val="left"/>
            </w:pPr>
            <w:r>
              <w:t xml:space="preserve">17</w:t>
            </w:r>
          </w:p>
        </w:tc>
        <w:tc>
          <w:tcPr/>
          <w:p>
            <w:pPr>
              <w:pStyle w:val="Compact"/>
              <w:jc w:val="left"/>
            </w:pPr>
            <w:r>
              <w:t xml:space="preserve">Subsidy and price-control phase-outs</w:t>
            </w:r>
          </w:p>
        </w:tc>
        <w:tc>
          <w:tcPr/>
          <w:p>
            <w:pPr>
              <w:pStyle w:val="Compact"/>
              <w:jc w:val="left"/>
            </w:pPr>
            <w:r>
              <w:t xml:space="preserve">MTInputs 123-138, 191-195</w:t>
            </w:r>
          </w:p>
        </w:tc>
        <w:tc>
          <w:tcPr/>
          <w:p>
            <w:pPr>
              <w:pStyle w:val="Compact"/>
              <w:jc w:val="left"/>
            </w:pPr>
            <w:r>
              <w:t xml:space="preserve">Not yet (phase-out factors 1)</w:t>
            </w:r>
          </w:p>
        </w:tc>
        <w:tc>
          <w:tcPr/>
          <w:p>
            <w:pPr>
              <w:pStyle w:val="Compact"/>
              <w:jc w:val="left"/>
            </w:pPr>
            <w:r>
              <w:t xml:space="preserve">Later per-fuel policy input; esubpu prepared</w:t>
            </w:r>
          </w:p>
        </w:tc>
        <w:tc>
          <w:tcPr/>
          <w:p>
            <w:pPr>
              <w:pStyle w:val="Compact"/>
              <w:jc w:val="left"/>
            </w:pPr>
            <w:r>
              <w:t xml:space="preserve">Reform scenarios</w:t>
            </w:r>
          </w:p>
        </w:tc>
        <w:tc>
          <w:tcPr/>
          <w:p>
            <w:pPr>
              <w:pStyle w:val="Compact"/>
              <w:jc w:val="left"/>
            </w:pPr>
            <w:r>
              <w:t xml:space="preserve">Not yet</w:t>
            </w:r>
          </w:p>
        </w:tc>
      </w:tr>
      <w:tr>
        <w:tc>
          <w:tcPr/>
          <w:p>
            <w:pPr>
              <w:pStyle w:val="Compact"/>
              <w:jc w:val="left"/>
            </w:pPr>
            <w:r>
              <w:t xml:space="preserve">18</w:t>
            </w:r>
          </w:p>
        </w:tc>
        <w:tc>
          <w:tcPr/>
          <w:p>
            <w:pPr>
              <w:pStyle w:val="Compact"/>
              <w:jc w:val="left"/>
            </w:pPr>
            <w:r>
              <w:t xml:space="preserve">Producer subsidies</w:t>
            </w:r>
          </w:p>
        </w:tc>
        <w:tc>
          <w:tcPr/>
          <w:p>
            <w:pPr>
              <w:pStyle w:val="Compact"/>
              <w:jc w:val="left"/>
            </w:pPr>
            <w:r>
              <w:t xml:space="preserve">In the supply cost</w:t>
            </w:r>
          </w:p>
        </w:tc>
        <w:tc>
          <w:tcPr/>
          <w:p>
            <w:pPr>
              <w:pStyle w:val="Compact"/>
              <w:jc w:val="left"/>
            </w:pPr>
            <w:r>
              <w:t xml:space="preserve">Left out</w:t>
            </w:r>
          </w:p>
        </w:tc>
        <w:tc>
          <w:tcPr/>
          <w:p>
            <w:pPr>
              <w:pStyle w:val="Compact"/>
              <w:jc w:val="left"/>
            </w:pPr>
            <w:r>
              <w:t xml:space="preserve">Zero for Egypt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19</w:t>
            </w:r>
          </w:p>
        </w:tc>
        <w:tc>
          <w:tcPr/>
          <w:p>
            <w:pPr>
              <w:pStyle w:val="Compact"/>
              <w:jc w:val="left"/>
            </w:pPr>
            <w:r>
              <w:t xml:space="preserve">Ad-valorem baseline taxes; Europe LNG shift</w:t>
            </w:r>
          </w:p>
        </w:tc>
        <w:tc>
          <w:tcPr/>
          <w:p>
            <w:pPr>
              <w:pStyle w:val="Compact"/>
              <w:jc w:val="left"/>
            </w:pPr>
            <w:r>
              <w:t xml:space="preserve">Per Prices_int assumptions</w:t>
            </w:r>
          </w:p>
        </w:tc>
        <w:tc>
          <w:tcPr/>
          <w:p>
            <w:pPr>
              <w:pStyle w:val="Compact"/>
              <w:jc w:val="left"/>
            </w:pPr>
            <w:r>
              <w:t xml:space="preserve">Fixed taxes only; no shift</w:t>
            </w:r>
          </w:p>
        </w:tc>
        <w:tc>
          <w:tcPr/>
          <w:p>
            <w:pPr>
              <w:pStyle w:val="Compact"/>
              <w:jc w:val="left"/>
            </w:pPr>
            <w:r>
              <w:t xml:space="preserve">Egypt: Fixed taxes, Global gas market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20</w:t>
            </w:r>
          </w:p>
        </w:tc>
        <w:tc>
          <w:tcPr/>
          <w:p>
            <w:pPr>
              <w:pStyle w:val="Compact"/>
              <w:jc w:val="left"/>
            </w:pPr>
            <w:r>
              <w:t xml:space="preserve">Fuel-use equation</w:t>
            </w:r>
          </w:p>
        </w:tc>
        <w:tc>
          <w:tcPr/>
          <w:p>
            <w:pPr>
              <w:pStyle w:val="Compact"/>
              <w:jc w:val="left"/>
            </w:pPr>
            <w:r>
              <w:t xml:space="preserve">Includes Covid factor and additional policy efficiency gains (MTInputs 242-245)</w:t>
            </w:r>
          </w:p>
        </w:tc>
        <w:tc>
          <w:tcPr/>
          <w:p>
            <w:pPr>
              <w:pStyle w:val="Compact"/>
              <w:jc w:val="left"/>
            </w:pPr>
            <w:r>
              <w:t xml:space="preserve">CPAT eq. 3.3.3 without them</w:t>
            </w:r>
          </w:p>
        </w:tc>
        <w:tc>
          <w:tcPr/>
          <w:p>
            <w:pPr>
              <w:pStyle w:val="Compact"/>
              <w:jc w:val="left"/>
            </w:pPr>
            <w:r>
              <w:t xml:space="preserve">Not yet</w:t>
            </w:r>
          </w:p>
        </w:tc>
        <w:tc>
          <w:tcPr/>
          <w:p>
            <w:pPr>
              <w:pStyle w:val="Compact"/>
              <w:jc w:val="left"/>
            </w:pPr>
            <w:r>
              <w:t xml:space="preserve">Small</w:t>
            </w:r>
          </w:p>
        </w:tc>
        <w:tc>
          <w:tcPr/>
          <w:p>
            <w:pPr>
              <w:pStyle w:val="Compact"/>
              <w:jc w:val="left"/>
            </w:pPr>
            <w:r>
              <w:t xml:space="preserve">Not yet</w:t>
            </w:r>
          </w:p>
        </w:tc>
      </w:tr>
      <w:tr>
        <w:tc>
          <w:tcPr/>
          <w:p>
            <w:pPr>
              <w:pStyle w:val="Compact"/>
              <w:jc w:val="left"/>
            </w:pPr>
            <w:r>
              <w:t xml:space="preserve">21</w:t>
            </w:r>
          </w:p>
        </w:tc>
        <w:tc>
          <w:tcPr/>
          <w:p>
            <w:pPr>
              <w:pStyle w:val="Compact"/>
              <w:jc w:val="left"/>
            </w:pPr>
            <w:r>
              <w:t xml:space="preserve">Power engineer model (v1.06)</w:t>
            </w:r>
          </w:p>
        </w:tc>
        <w:tc>
          <w:tcPr/>
          <w:p>
            <w:pPr>
              <w:pStyle w:val="Compact"/>
              <w:jc w:val="left"/>
            </w:pPr>
            <w:r>
              <w:t xml:space="preserve">Tables H (demand), I (dispatch), K (retirement, capacity), L (investment)</w:t>
            </w:r>
          </w:p>
        </w:tc>
        <w:tc>
          <w:tcPr/>
          <w:p>
            <w:pPr>
              <w:pStyle w:val="Compact"/>
              <w:jc w:val="left"/>
            </w:pPr>
            <w:r>
              <w:t xml:space="preserve">Same method, year by year (method test: 208 legacy rows of the baseline and the carbon-tax run reproduced to 1e-13 with the bugs switched on)</w:t>
            </w:r>
          </w:p>
        </w:tc>
        <w:tc>
          <w:tcPr/>
          <w:p>
            <w:pPr>
              <w:pStyle w:val="Compact"/>
              <w:jc w:val="left"/>
            </w:pPr>
            <w:r>
              <w:t xml:space="preserve">User request v1.06: align except for bugs</w:t>
            </w:r>
          </w:p>
        </w:tc>
        <w:tc>
          <w:tcPr/>
          <w:p>
            <w:pPr>
              <w:pStyle w:val="Compact"/>
              <w:jc w:val="left"/>
            </w:pPr>
            <w:r>
              <w:t xml:space="preserve">Generation mix, capacity, investment and power CO2 now respond to each scenario</w:t>
            </w:r>
          </w:p>
        </w:tc>
        <w:tc>
          <w:tcPr/>
          <w:p>
            <w:pPr>
              <w:pStyle w:val="Compact"/>
              <w:jc w:val="left"/>
            </w:pPr>
            <w:r>
              <w:t xml:space="preserve">Same</w:t>
            </w:r>
          </w:p>
        </w:tc>
      </w:tr>
      <w:tr>
        <w:tc>
          <w:tcPr/>
          <w:p>
            <w:pPr>
              <w:pStyle w:val="Compact"/>
              <w:jc w:val="left"/>
            </w:pPr>
            <w:r>
              <w:t xml:space="preserve">22</w:t>
            </w:r>
          </w:p>
        </w:tc>
        <w:tc>
          <w:tcPr/>
          <w:p>
            <w:pPr>
              <w:pStyle w:val="Compact"/>
              <w:jc w:val="left"/>
            </w:pPr>
            <w:r>
              <w:t xml:space="preserve">Power: bug fixes (v1.06)</w:t>
            </w:r>
          </w:p>
        </w:tc>
        <w:tc>
          <w:tcPr/>
          <w:p>
            <w:pPr>
              <w:pStyle w:val="Compact"/>
              <w:jc w:val="left"/>
            </w:pPr>
            <w:r>
              <w:t xml:space="preserve">Ten defects (PowerModel_BugsAndImprovements_v1_0.docx): services demand with the industrial multiple from 2024; efficiency exponent with eps_F; income factor twice; LT storage allocation twice; investment spending at base capital cost; investment logit normalised by non-permitted types; early-retirement units; coal effective retirement uncapped; feebate rebate x 1.22; capacity check on the plan</w:t>
            </w:r>
          </w:p>
        </w:tc>
        <w:tc>
          <w:tcPr/>
          <w:p>
            <w:pPr>
              <w:pStyle w:val="Compact"/>
              <w:jc w:val="left"/>
            </w:pPr>
            <w:r>
              <w:t xml:space="preserve">Fixed</w:t>
            </w:r>
          </w:p>
        </w:tc>
        <w:tc>
          <w:tcPr/>
          <w:p>
            <w:pPr>
              <w:pStyle w:val="Compact"/>
              <w:jc w:val="left"/>
            </w:pPr>
            <w:r>
              <w:t xml:space="preserve">User request v1.06</w:t>
            </w:r>
          </w:p>
        </w:tc>
        <w:tc>
          <w:tcPr/>
          <w:p>
            <w:pPr>
              <w:pStyle w:val="Compact"/>
              <w:jc w:val="left"/>
            </w:pPr>
            <w:r>
              <w:t xml:space="preserve">Legacy Egypt inputs: generation 2040 +12.6% (baseline), +9.2% (carbon tax); power CO2 2040 +10.8%; the last six are latent for Egypt</w:t>
            </w:r>
          </w:p>
        </w:tc>
        <w:tc>
          <w:tcPr/>
          <w:p>
            <w:pPr>
              <w:pStyle w:val="Compact"/>
              <w:jc w:val="left"/>
            </w:pPr>
            <w:r>
              <w:t xml:space="preserve">Bug fix</w:t>
            </w:r>
          </w:p>
        </w:tc>
      </w:tr>
      <w:tr>
        <w:tc>
          <w:tcPr/>
          <w:p>
            <w:pPr>
              <w:pStyle w:val="Compact"/>
              <w:jc w:val="left"/>
            </w:pPr>
            <w:r>
              <w:t xml:space="preserve">23</w:t>
            </w:r>
          </w:p>
        </w:tc>
        <w:tc>
          <w:tcPr/>
          <w:p>
            <w:pPr>
              <w:pStyle w:val="Compact"/>
              <w:jc w:val="left"/>
            </w:pPr>
            <w:r>
              <w:t xml:space="preserve">Power demand: 2023-2024 demand shock</w:t>
            </w:r>
          </w:p>
        </w:tc>
        <w:tc>
          <w:tcPr/>
          <w:p>
            <w:pPr>
              <w:pStyle w:val="Compact"/>
              <w:jc w:val="left"/>
            </w:pPr>
            <w:r>
              <w:t xml:space="preserve">Exogenous shock -20.8% (2023), +9.2% (2024) on power demand</w:t>
            </w:r>
          </w:p>
        </w:tc>
        <w:tc>
          <w:tcPr/>
          <w:p>
            <w:pPr>
              <w:pStyle w:val="Compact"/>
              <w:jc w:val="left"/>
            </w:pPr>
            <w:r>
              <w:t xml:space="preserve">Switch Settings C19, off by default (the fuel blocks do not apply it either); the resulting 2023 demand jump (USD electricity prices after the devaluation) is accepted</w:t>
            </w:r>
          </w:p>
        </w:tc>
        <w:tc>
          <w:tcPr/>
          <w:p>
            <w:pPr>
              <w:pStyle w:val="Compact"/>
              <w:jc w:val="left"/>
            </w:pPr>
            <w:r>
              <w:t xml:space="preserve">User decision v1.07 (consistency with the fuel blocks)</w:t>
            </w:r>
          </w:p>
        </w:tc>
        <w:tc>
          <w:tcPr/>
          <w:p>
            <w:pPr>
              <w:pStyle w:val="Compact"/>
              <w:jc w:val="left"/>
            </w:pPr>
            <w:r>
              <w:t xml:space="preserve">Power demand 2023-2040 higher than legacy</w:t>
            </w:r>
          </w:p>
        </w:tc>
        <w:tc>
          <w:tcPr/>
          <w:p>
            <w:pPr>
              <w:pStyle w:val="Compact"/>
              <w:jc w:val="left"/>
            </w:pPr>
            <w:r>
              <w:t xml:space="preserve">Decision</w:t>
            </w:r>
          </w:p>
        </w:tc>
      </w:tr>
      <w:tr>
        <w:tc>
          <w:tcPr/>
          <w:p>
            <w:pPr>
              <w:pStyle w:val="Compact"/>
              <w:jc w:val="left"/>
            </w:pPr>
            <w:r>
              <w:t xml:space="preserve">24</w:t>
            </w:r>
          </w:p>
        </w:tc>
        <w:tc>
          <w:tcPr/>
          <w:p>
            <w:pPr>
              <w:pStyle w:val="Compact"/>
              <w:jc w:val="left"/>
            </w:pPr>
            <w:r>
              <w:t xml:space="preserve">Power demand and sector policies</w:t>
            </w:r>
          </w:p>
        </w:tc>
        <w:tc>
          <w:tcPr/>
          <w:p>
            <w:pPr>
              <w:pStyle w:val="Compact"/>
              <w:jc w:val="left"/>
            </w:pPr>
            <w:r>
              <w:t xml:space="preserve">Power demand from its own elasticities (H); sector policies act on fuels only</w:t>
            </w:r>
          </w:p>
        </w:tc>
        <w:tc>
          <w:tcPr/>
          <w:p>
            <w:pPr>
              <w:pStyle w:val="Compact"/>
              <w:jc w:val="left"/>
            </w:pPr>
            <w:r>
              <w:t xml:space="preserve">Same; electricity demand shown as memo lines in the sector blocks and section 11 (not in the fuel totals)</w:t>
            </w:r>
          </w:p>
        </w:tc>
        <w:tc>
          <w:tcPr/>
          <w:p>
            <w:pPr>
              <w:pStyle w:val="Compact"/>
              <w:jc w:val="left"/>
            </w:pPr>
            <w:r>
              <w:t xml:space="preserve">User decision v1.07: keep sector policies separate</w:t>
            </w:r>
          </w:p>
        </w:tc>
        <w:tc>
          <w:tcPr/>
          <w:p>
            <w:pPr>
              <w:pStyle w:val="Compact"/>
              <w:jc w:val="left"/>
            </w:pPr>
            <w:r>
              <w:t xml:space="preserve">None</w:t>
            </w:r>
          </w:p>
        </w:tc>
        <w:tc>
          <w:tcPr/>
          <w:p>
            <w:pPr>
              <w:pStyle w:val="Compact"/>
              <w:jc w:val="left"/>
            </w:pPr>
            <w:r>
              <w:t xml:space="preserve">Same</w:t>
            </w:r>
          </w:p>
        </w:tc>
      </w:tr>
      <w:tr>
        <w:tc>
          <w:tcPr/>
          <w:p>
            <w:pPr>
              <w:pStyle w:val="Compact"/>
              <w:jc w:val="left"/>
            </w:pPr>
            <w:r>
              <w:t xml:space="preserve">25</w:t>
            </w:r>
          </w:p>
        </w:tc>
        <w:tc>
          <w:tcPr/>
          <w:p>
            <w:pPr>
              <w:pStyle w:val="Compact"/>
              <w:jc w:val="left"/>
            </w:pPr>
            <w:r>
              <w:t xml:space="preserve">Power: planned retirement</w:t>
            </w:r>
          </w:p>
        </w:tc>
        <w:tc>
          <w:tcPr/>
          <w:p>
            <w:pPr>
              <w:pStyle w:val="Compact"/>
              <w:jc w:val="left"/>
            </w:pPr>
            <w:r>
              <w:t xml:space="preserve">Coal only (K5), data from sheet Power when Use Data = Yes; else the rate</w:t>
            </w:r>
          </w:p>
        </w:tc>
        <w:tc>
          <w:tcPr/>
          <w:p>
            <w:pPr>
              <w:pStyle w:val="Compact"/>
              <w:jc w:val="left"/>
            </w:pPr>
            <w:r>
              <w:t xml:space="preserve">Every type: switch planned_retirement (PowerTech) and data rows pret/</w:t>
            </w:r>
            <w:r>
              <w:t xml:space="preserve"> </w:t>
            </w:r>
            <w:r>
              <w:t xml:space="preserve">(PowerPaths); retirement = MIN(planned or rate-based + early coal, capacity)</w:t>
            </w:r>
          </w:p>
        </w:tc>
        <w:tc>
          <w:tcPr/>
          <w:p>
            <w:pPr>
              <w:pStyle w:val="Compact"/>
              <w:jc w:val="left"/>
            </w:pPr>
            <w:r>
              <w:t xml:space="preserve">User request v1.07</w:t>
            </w:r>
          </w:p>
        </w:tc>
        <w:tc>
          <w:tcPr/>
          <w:p>
            <w:pPr>
              <w:pStyle w:val="Compact"/>
              <w:jc w:val="left"/>
            </w:pPr>
            <w:r>
              <w:t xml:space="preserve">None for Egypt (no data, switches No)</w:t>
            </w:r>
          </w:p>
        </w:tc>
        <w:tc>
          <w:tcPr/>
          <w:p>
            <w:pPr>
              <w:pStyle w:val="Compact"/>
              <w:jc w:val="left"/>
            </w:pPr>
            <w:r>
              <w:t xml:space="preserve">Design</w:t>
            </w:r>
          </w:p>
        </w:tc>
      </w:tr>
      <w:tr>
        <w:tc>
          <w:tcPr/>
          <w:p>
            <w:pPr>
              <w:pStyle w:val="Compact"/>
              <w:jc w:val="left"/>
            </w:pPr>
            <w:r>
              <w:t xml:space="preserve">26</w:t>
            </w:r>
          </w:p>
        </w:tc>
        <w:tc>
          <w:tcPr/>
          <w:p>
            <w:pPr>
              <w:pStyle w:val="Compact"/>
              <w:jc w:val="left"/>
            </w:pPr>
            <w:r>
              <w:t xml:space="preserve">Power demand: road electricity</w:t>
            </w:r>
          </w:p>
        </w:tc>
        <w:tc>
          <w:tcPr/>
          <w:p>
            <w:pPr>
              <w:pStyle w:val="Compact"/>
              <w:jc w:val="left"/>
            </w:pPr>
            <w:r>
              <w:t xml:space="preserve">From the road module (EV electricity)</w:t>
            </w:r>
          </w:p>
        </w:tc>
        <w:tc>
          <w:tcPr/>
          <w:p>
            <w:pPr>
              <w:pStyle w:val="Compact"/>
              <w:jc w:val="left"/>
            </w:pPr>
            <w:r>
              <w:t xml:space="preserve">Grows with the transport multiple (legacy fallback)</w:t>
            </w:r>
          </w:p>
        </w:tc>
        <w:tc>
          <w:tcPr/>
          <w:p>
            <w:pPr>
              <w:pStyle w:val="Compact"/>
              <w:jc w:val="left"/>
            </w:pPr>
            <w:r>
              <w:t xml:space="preserve">No road module in the MVP</w:t>
            </w:r>
          </w:p>
        </w:tc>
        <w:tc>
          <w:tcPr/>
          <w:p>
            <w:pPr>
              <w:pStyle w:val="Compact"/>
              <w:jc w:val="left"/>
            </w:pPr>
            <w:r>
              <w:t xml:space="preserve">None for Egypt (0)</w:t>
            </w:r>
          </w:p>
        </w:tc>
        <w:tc>
          <w:tcPr/>
          <w:p>
            <w:pPr>
              <w:pStyle w:val="Compact"/>
              <w:jc w:val="left"/>
            </w:pPr>
            <w:r>
              <w:t xml:space="preserve">Not yet</w:t>
            </w:r>
          </w:p>
        </w:tc>
      </w:tr>
      <w:tr>
        <w:tc>
          <w:tcPr/>
          <w:p>
            <w:pPr>
              <w:pStyle w:val="Compact"/>
              <w:jc w:val="left"/>
            </w:pPr>
            <w:r>
              <w:t xml:space="preserve">27</w:t>
            </w:r>
          </w:p>
        </w:tc>
        <w:tc>
          <w:tcPr/>
          <w:p>
            <w:pPr>
              <w:pStyle w:val="Compact"/>
              <w:jc w:val="left"/>
            </w:pPr>
            <w:r>
              <w:t xml:space="preserve">Power: features not built</w:t>
            </w:r>
          </w:p>
        </w:tc>
        <w:tc>
          <w:tcPr/>
          <w:p>
            <w:pPr>
              <w:pStyle w:val="Compact"/>
              <w:jc w:val="left"/>
            </w:pPr>
            <w:r>
              <w:t xml:space="preserve">PPAs, manual capacity and investment, power demand from the elasticity model, carbon price on power use (feebates), apply final deficit to gas</w:t>
            </w:r>
          </w:p>
        </w:tc>
        <w:tc>
          <w:tcPr/>
          <w:p>
            <w:pPr>
              <w:pStyle w:val="Compact"/>
              <w:jc w:val="left"/>
            </w:pPr>
            <w:r>
              <w:t xml:space="preserve">Not built (all off or 0 in the Egypt runs)</w:t>
            </w:r>
          </w:p>
        </w:tc>
        <w:tc>
          <w:tcPr/>
          <w:p>
            <w:pPr>
              <w:pStyle w:val="Compact"/>
              <w:jc w:val="left"/>
            </w:pPr>
            <w:r>
              <w:t xml:space="preserve">Scope</w:t>
            </w:r>
          </w:p>
        </w:tc>
        <w:tc>
          <w:tcPr/>
          <w:p>
            <w:pPr>
              <w:pStyle w:val="Compact"/>
              <w:jc w:val="left"/>
            </w:pPr>
            <w:r>
              <w:t xml:space="preserve">None for Egypt</w:t>
            </w:r>
          </w:p>
        </w:tc>
        <w:tc>
          <w:tcPr/>
          <w:p>
            <w:pPr>
              <w:pStyle w:val="Compact"/>
              <w:jc w:val="left"/>
            </w:pPr>
            <w:r>
              <w:t xml:space="preserve">Not yet</w:t>
            </w:r>
          </w:p>
        </w:tc>
      </w:tr>
      <w:tr>
        <w:tc>
          <w:tcPr/>
          <w:p>
            <w:pPr>
              <w:pStyle w:val="Compact"/>
              <w:jc w:val="left"/>
            </w:pPr>
            <w:r>
              <w:t xml:space="preserve">28</w:t>
            </w:r>
          </w:p>
        </w:tc>
        <w:tc>
          <w:tcPr/>
          <w:p>
            <w:pPr>
              <w:pStyle w:val="Compact"/>
              <w:jc w:val="left"/>
            </w:pPr>
            <w:r>
              <w:t xml:space="preserve">Power: levelised variable cost window</w:t>
            </w:r>
          </w:p>
        </w:tc>
        <w:tc>
          <w:tcPr/>
          <w:p>
            <w:pPr>
              <w:pStyle w:val="Compact"/>
              <w:jc w:val="left"/>
            </w:pPr>
            <w:r>
              <w:t xml:space="preserve">To the last model year 2041</w:t>
            </w:r>
          </w:p>
        </w:tc>
        <w:tc>
          <w:tcPr/>
          <w:p>
            <w:pPr>
              <w:pStyle w:val="Compact"/>
              <w:jc w:val="left"/>
            </w:pPr>
            <w:r>
              <w:t xml:space="preserve">To the last model year 2040</w:t>
            </w:r>
          </w:p>
        </w:tc>
        <w:tc>
          <w:tcPr/>
          <w:p>
            <w:pPr>
              <w:pStyle w:val="Compact"/>
              <w:jc w:val="left"/>
            </w:pPr>
            <w:r>
              <w:t xml:space="preserve">Horizon of the MVP</w:t>
            </w:r>
          </w:p>
        </w:tc>
        <w:tc>
          <w:tcPr/>
          <w:p>
            <w:pPr>
              <w:pStyle w:val="Compact"/>
              <w:jc w:val="left"/>
            </w:pPr>
            <w:r>
              <w:t xml:space="preserve">Small, at the end of the horizon</w:t>
            </w:r>
          </w:p>
        </w:tc>
        <w:tc>
          <w:tcPr/>
          <w:p>
            <w:pPr>
              <w:pStyle w:val="Compact"/>
              <w:jc w:val="left"/>
            </w:pPr>
            <w:r>
              <w:t xml:space="preserve">Decision</w:t>
            </w:r>
          </w:p>
        </w:tc>
      </w:tr>
      <w:tr>
        <w:tc>
          <w:tcPr/>
          <w:p>
            <w:pPr>
              <w:pStyle w:val="Compact"/>
              <w:jc w:val="left"/>
            </w:pPr>
            <w:r>
              <w:t xml:space="preserve">29</w:t>
            </w:r>
          </w:p>
        </w:tc>
        <w:tc>
          <w:tcPr/>
          <w:p>
            <w:pPr>
              <w:pStyle w:val="Compact"/>
              <w:jc w:val="left"/>
            </w:pPr>
            <w:r>
              <w:t xml:space="preserve">Power: generation costs (v1.05)</w:t>
            </w:r>
          </w:p>
        </w:tc>
        <w:tc>
          <w:tcPr/>
          <w:p>
            <w:pPr>
              <w:pStyle w:val="Compact"/>
              <w:jc w:val="left"/>
            </w:pPr>
            <w:r>
              <w:t xml:space="preserve">Tables B3-B8 (amortised), C1-C7 (levelised), A5-A6 discount factors</w:t>
            </w:r>
          </w:p>
        </w:tc>
        <w:tc>
          <w:tcPr/>
          <w:p>
            <w:pPr>
              <w:pStyle w:val="Compact"/>
              <w:jc w:val="left"/>
            </w:pPr>
            <w:r>
              <w:t xml:space="preserve">One row per type for amortised and for levelised fixed cost; discounted lifetime in closed form; constants derived in Inputs_power</w:t>
            </w:r>
          </w:p>
        </w:tc>
        <w:tc>
          <w:tcPr/>
          <w:p>
            <w:pPr>
              <w:pStyle w:val="Compact"/>
              <w:jc w:val="left"/>
            </w:pPr>
            <w:r>
              <w:t xml:space="preserve">Fewer, readable rows (PowerPrices_Method_v0_1.md S1-S3)</w:t>
            </w:r>
          </w:p>
        </w:tc>
        <w:tc>
          <w:tcPr/>
          <w:p>
            <w:pPr>
              <w:pStyle w:val="Compact"/>
              <w:jc w:val="left"/>
            </w:pPr>
            <w:r>
              <w:t xml:space="preserve">None (method test: legacy rows reproduced to 1e-15)</w:t>
            </w:r>
          </w:p>
        </w:tc>
        <w:tc>
          <w:tcPr/>
          <w:p>
            <w:pPr>
              <w:pStyle w:val="Compact"/>
              <w:jc w:val="left"/>
            </w:pPr>
            <w:r>
              <w:t xml:space="preserve">Simplification</w:t>
            </w:r>
          </w:p>
        </w:tc>
      </w:tr>
      <w:tr>
        <w:tc>
          <w:tcPr/>
          <w:p>
            <w:pPr>
              <w:pStyle w:val="Compact"/>
              <w:jc w:val="left"/>
            </w:pPr>
            <w:r>
              <w:t xml:space="preserve">30</w:t>
            </w:r>
          </w:p>
        </w:tc>
        <w:tc>
          <w:tcPr/>
          <w:p>
            <w:pPr>
              <w:pStyle w:val="Compact"/>
              <w:jc w:val="left"/>
            </w:pPr>
            <w:r>
              <w:t xml:space="preserve">Power: fuel prices</w:t>
            </w:r>
          </w:p>
        </w:tc>
        <w:tc>
          <w:tcPr/>
          <w:p>
            <w:pPr>
              <w:pStyle w:val="Compact"/>
              <w:jc w:val="left"/>
            </w:pPr>
            <w:r>
              <w:t xml:space="preserve">5-year moving average of fuel prices (A18; spot prices a dashboard option)</w:t>
            </w:r>
          </w:p>
        </w:tc>
        <w:tc>
          <w:tcPr/>
          <w:p>
            <w:pPr>
              <w:pStyle w:val="Compact"/>
              <w:jc w:val="left"/>
            </w:pPr>
            <w:r>
              <w:t xml:space="preserve">Spot prices: section 2 retail price before new policies of the price fuel (coal and gas for power, oil, biomass)</w:t>
            </w:r>
          </w:p>
        </w:tc>
        <w:tc>
          <w:tcPr/>
          <w:p>
            <w:pPr>
              <w:pStyle w:val="Compact"/>
              <w:jc w:val="left"/>
            </w:pPr>
            <w:r>
              <w:t xml:space="preserve">Simplification S5; the legacy option</w:t>
            </w:r>
            <w:r>
              <w:t xml:space="preserve"> </w:t>
            </w:r>
            <w:r>
              <w:t xml:space="preserve">“</w:t>
            </w:r>
            <w:r>
              <w:t xml:space="preserve">use spot fuel prices</w:t>
            </w:r>
            <w:r>
              <w:t xml:space="preserve">”</w:t>
            </w:r>
          </w:p>
        </w:tc>
        <w:tc>
          <w:tcPr/>
          <w:p>
            <w:pPr>
              <w:pStyle w:val="Compact"/>
              <w:jc w:val="left"/>
            </w:pPr>
            <w:r>
              <w:t xml:space="preserve">Fuel-price changes reach power costs one to four years earlier</w:t>
            </w:r>
          </w:p>
        </w:tc>
        <w:tc>
          <w:tcPr/>
          <w:p>
            <w:pPr>
              <w:pStyle w:val="Compact"/>
              <w:jc w:val="left"/>
            </w:pPr>
            <w:r>
              <w:t xml:space="preserve">Simplification</w:t>
            </w:r>
          </w:p>
        </w:tc>
      </w:tr>
      <w:tr>
        <w:tc>
          <w:tcPr/>
          <w:p>
            <w:pPr>
              <w:pStyle w:val="Compact"/>
              <w:jc w:val="left"/>
            </w:pPr>
            <w:r>
              <w:t xml:space="preserve">31</w:t>
            </w:r>
          </w:p>
        </w:tc>
        <w:tc>
          <w:tcPr/>
          <w:p>
            <w:pPr>
              <w:pStyle w:val="Compact"/>
              <w:jc w:val="left"/>
            </w:pPr>
            <w:r>
              <w:t xml:space="preserve">Power: end-user prices</w:t>
            </w:r>
          </w:p>
        </w:tc>
        <w:tc>
          <w:tcPr/>
          <w:p>
            <w:pPr>
              <w:pStyle w:val="Compact"/>
              <w:jc w:val="left"/>
            </w:pPr>
            <w:r>
              <w:t xml:space="preserve">Supply cost + producer subsidy + other tax + over/under-estimate residual (held at the last historical year), then VAT</w:t>
            </w:r>
          </w:p>
        </w:tc>
        <w:tc>
          <w:tcPr/>
          <w:p>
            <w:pPr>
              <w:pStyle w:val="Compact"/>
              <w:jc w:val="left"/>
            </w:pPr>
            <w:r>
              <w:t xml:space="preserve">Telescoped: price(t) = price(t-1) + pass-through x change in supply cost x (1 + VAT) after the last historical year</w:t>
            </w:r>
          </w:p>
        </w:tc>
        <w:tc>
          <w:tcPr/>
          <w:p>
            <w:pPr>
              <w:pStyle w:val="Compact"/>
              <w:jc w:val="left"/>
            </w:pPr>
            <w:r>
              <w:t xml:space="preserve">Simplification S4: the held components cancel</w:t>
            </w:r>
          </w:p>
        </w:tc>
        <w:tc>
          <w:tcPr/>
          <w:p>
            <w:pPr>
              <w:pStyle w:val="Compact"/>
              <w:jc w:val="left"/>
            </w:pPr>
            <w:r>
              <w:t xml:space="preserve">None (same numbers)</w:t>
            </w:r>
          </w:p>
        </w:tc>
        <w:tc>
          <w:tcPr/>
          <w:p>
            <w:pPr>
              <w:pStyle w:val="Compact"/>
              <w:jc w:val="left"/>
            </w:pPr>
            <w:r>
              <w:t xml:space="preserve">Simplification</w:t>
            </w:r>
          </w:p>
        </w:tc>
      </w:tr>
      <w:tr>
        <w:tc>
          <w:tcPr/>
          <w:p>
            <w:pPr>
              <w:pStyle w:val="Compact"/>
              <w:jc w:val="left"/>
            </w:pPr>
            <w:r>
              <w:t xml:space="preserve">32</w:t>
            </w:r>
          </w:p>
        </w:tc>
        <w:tc>
          <w:tcPr/>
          <w:p>
            <w:pPr>
              <w:pStyle w:val="Compact"/>
              <w:jc w:val="left"/>
            </w:pPr>
            <w:r>
              <w:t xml:space="preserve">Power: historical electricity prices and VAT</w:t>
            </w:r>
          </w:p>
        </w:tc>
        <w:tc>
          <w:tcPr/>
          <w:p>
            <w:pPr>
              <w:pStyle w:val="Compact"/>
              <w:jc w:val="left"/>
            </w:pPr>
            <w:r>
              <w:t xml:space="preserve">Legacy vintage (residential 0.112 $/kWh incl. 15.6% VAT in 2022)</w:t>
            </w:r>
          </w:p>
        </w:tc>
        <w:tc>
          <w:tcPr/>
          <w:p>
            <w:pPr>
              <w:pStyle w:val="Compact"/>
              <w:jc w:val="left"/>
            </w:pPr>
            <w:r>
              <w:t xml:space="preserve">Corrected Egypt block (residential 0.054, 0.048, 0.043 $/kWh nominal 2022-2024; VAT 0)</w:t>
            </w:r>
          </w:p>
        </w:tc>
        <w:tc>
          <w:tcPr/>
          <w:p>
            <w:pPr>
              <w:pStyle w:val="Compact"/>
              <w:jc w:val="left"/>
            </w:pPr>
            <w:r>
              <w:t xml:space="preserve">User data (2026-10-09)</w:t>
            </w:r>
          </w:p>
        </w:tc>
        <w:tc>
          <w:tcPr/>
          <w:p>
            <w:pPr>
              <w:pStyle w:val="Compact"/>
              <w:jc w:val="left"/>
            </w:pPr>
            <w:r>
              <w:t xml:space="preserve">Electricity price levels</w:t>
            </w:r>
          </w:p>
        </w:tc>
        <w:tc>
          <w:tcPr/>
          <w:p>
            <w:pPr>
              <w:pStyle w:val="Compact"/>
              <w:jc w:val="left"/>
            </w:pPr>
            <w:r>
              <w:t xml:space="preserve">Data</w:t>
            </w:r>
          </w:p>
        </w:tc>
      </w:tr>
      <w:tr>
        <w:tc>
          <w:tcPr/>
          <w:p>
            <w:pPr>
              <w:pStyle w:val="Compact"/>
              <w:jc w:val="left"/>
            </w:pPr>
            <w:r>
              <w:t xml:space="preserve">33</w:t>
            </w:r>
          </w:p>
        </w:tc>
        <w:tc>
          <w:tcPr/>
          <w:p>
            <w:pPr>
              <w:pStyle w:val="Compact"/>
              <w:jc w:val="left"/>
            </w:pPr>
            <w:r>
              <w:t xml:space="preserve">Power: coal implicit cost</w:t>
            </w:r>
          </w:p>
        </w:tc>
        <w:tc>
          <w:tcPr/>
          <w:p>
            <w:pPr>
              <w:pStyle w:val="Compact"/>
              <w:jc w:val="left"/>
            </w:pPr>
            <w:r>
              <w:t xml:space="preserve">D3 (calibrated on the coal share)</w:t>
            </w:r>
          </w:p>
        </w:tc>
        <w:tc>
          <w:tcPr/>
          <w:p>
            <w:pPr>
              <w:pStyle w:val="Compact"/>
              <w:jc w:val="left"/>
            </w:pPr>
            <w:r>
              <w:t xml:space="preserve">Not built (D6 shadow price and rebate built in v1.06)</w:t>
            </w:r>
          </w:p>
        </w:tc>
        <w:tc>
          <w:tcPr/>
          <w:p>
            <w:pPr>
              <w:pStyle w:val="Compact"/>
              <w:jc w:val="left"/>
            </w:pPr>
            <w:r>
              <w:t xml:space="preserve">0 for Egypt (no coal in the mix)</w:t>
            </w:r>
          </w:p>
        </w:tc>
        <w:tc>
          <w:tcPr/>
          <w:p>
            <w:pPr>
              <w:pStyle w:val="Compact"/>
              <w:jc w:val="left"/>
            </w:pPr>
            <w:r>
              <w:t xml:space="preserve">Other countries with coal</w:t>
            </w:r>
          </w:p>
        </w:tc>
        <w:tc>
          <w:tcPr/>
          <w:p>
            <w:pPr>
              <w:pStyle w:val="Compact"/>
              <w:jc w:val="left"/>
            </w:pPr>
            <w:r>
              <w:t xml:space="preserve">Not yet</w:t>
            </w:r>
          </w:p>
        </w:tc>
      </w:tr>
      <w:tr>
        <w:tc>
          <w:tcPr/>
          <w:p>
            <w:pPr>
              <w:pStyle w:val="Compact"/>
              <w:jc w:val="left"/>
            </w:pPr>
            <w:r>
              <w:t xml:space="preserve">34</w:t>
            </w:r>
          </w:p>
        </w:tc>
        <w:tc>
          <w:tcPr/>
          <w:p>
            <w:pPr>
              <w:pStyle w:val="Compact"/>
              <w:jc w:val="left"/>
            </w:pPr>
            <w:r>
              <w:t xml:space="preserve">Power: new-policy revenue</w:t>
            </w:r>
          </w:p>
        </w:tc>
        <w:tc>
          <w:tcPr/>
          <w:p>
            <w:pPr>
              <w:pStyle w:val="Compact"/>
              <w:jc w:val="left"/>
            </w:pPr>
            <w:r>
              <w:t xml:space="preserve">Carbon revenue from power</w:t>
            </w:r>
          </w:p>
        </w:tc>
        <w:tc>
          <w:tcPr/>
          <w:p>
            <w:pPr>
              <w:pStyle w:val="Compact"/>
              <w:jc w:val="left"/>
            </w:pPr>
            <w:r>
              <w:t xml:space="preserve">ccpav x consumption; the ETS part valued at the tax-equivalent price (subsector revenues use the permit price on the auctioned part)</w:t>
            </w:r>
          </w:p>
        </w:tc>
        <w:tc>
          <w:tcPr/>
          <w:p>
            <w:pPr>
              <w:pStyle w:val="Compact"/>
              <w:jc w:val="left"/>
            </w:pPr>
            <w:r>
              <w:t xml:space="preserve">Simplification</w:t>
            </w:r>
          </w:p>
        </w:tc>
        <w:tc>
          <w:tcPr/>
          <w:p>
            <w:pPr>
              <w:pStyle w:val="Compact"/>
              <w:jc w:val="left"/>
            </w:pPr>
            <w:r>
              <w:t xml:space="preserve">Power ETS revenue about 10% high at Medium volatility</w:t>
            </w:r>
          </w:p>
        </w:tc>
        <w:tc>
          <w:tcPr/>
          <w:p>
            <w:pPr>
              <w:pStyle w:val="Compact"/>
              <w:jc w:val="left"/>
            </w:pPr>
            <w:r>
              <w:t xml:space="preserve">Simplification</w:t>
            </w:r>
          </w:p>
        </w:tc>
      </w:tr>
      <w:tr>
        <w:tc>
          <w:tcPr/>
          <w:p>
            <w:pPr>
              <w:pStyle w:val="Compact"/>
              <w:jc w:val="left"/>
            </w:pPr>
            <w:r>
              <w:t xml:space="preserve">35</w:t>
            </w:r>
          </w:p>
        </w:tc>
        <w:tc>
          <w:tcPr/>
          <w:p>
            <w:pPr>
              <w:pStyle w:val="Compact"/>
              <w:jc w:val="left"/>
            </w:pPr>
            <w:r>
              <w:t xml:space="preserve">Emissions</w:t>
            </w:r>
          </w:p>
        </w:tc>
        <w:tc>
          <w:tcPr/>
          <w:p>
            <w:pPr>
              <w:pStyle w:val="Compact"/>
              <w:jc w:val="left"/>
            </w:pPr>
            <w:r>
              <w:t xml:space="preserve">All GHGs and local pollutants; inventory-adjusted EFs; power and process emissions</w:t>
            </w:r>
          </w:p>
        </w:tc>
        <w:tc>
          <w:tcPr/>
          <w:p>
            <w:pPr>
              <w:pStyle w:val="Compact"/>
              <w:jc w:val="left"/>
            </w:pPr>
            <w:r>
              <w:t xml:space="preserve">CO2 from fuel combustion only, IIASA EFs without inventory adjustment; power from v1.06; no process emissions</w:t>
            </w:r>
          </w:p>
        </w:tc>
        <w:tc>
          <w:tcPr/>
          <w:p>
            <w:pPr>
              <w:pStyle w:val="Compact"/>
              <w:jc w:val="left"/>
            </w:pPr>
            <w:r>
              <w:t xml:space="preserve">User decision v0.13: CO2 first</w:t>
            </w:r>
          </w:p>
        </w:tc>
        <w:tc>
          <w:tcPr/>
          <w:p>
            <w:pPr>
              <w:pStyle w:val="Compact"/>
              <w:jc w:val="left"/>
            </w:pPr>
            <w:r>
              <w:t xml:space="preserve">Emission levels</w:t>
            </w:r>
          </w:p>
        </w:tc>
        <w:tc>
          <w:tcPr/>
          <w:p>
            <w:pPr>
              <w:pStyle w:val="Compact"/>
              <w:jc w:val="left"/>
            </w:pPr>
            <w:r>
              <w:t xml:space="preserve">Not yet</w:t>
            </w:r>
          </w:p>
        </w:tc>
      </w:tr>
      <w:tr>
        <w:tc>
          <w:tcPr/>
          <w:p>
            <w:pPr>
              <w:pStyle w:val="Compact"/>
              <w:jc w:val="left"/>
            </w:pPr>
            <w:r>
              <w:t xml:space="preserve">36</w:t>
            </w:r>
          </w:p>
        </w:tc>
        <w:tc>
          <w:tcPr/>
          <w:p>
            <w:pPr>
              <w:pStyle w:val="Compact"/>
              <w:jc w:val="left"/>
            </w:pPr>
            <w:r>
              <w:t xml:space="preserve">Revenue structure</w:t>
            </w:r>
          </w:p>
        </w:tc>
        <w:tc>
          <w:tcPr/>
          <w:p>
            <w:pPr>
              <w:pStyle w:val="Compact"/>
              <w:jc w:val="left"/>
            </w:pPr>
            <w:r>
              <w:t xml:space="preserve">Revenue by instrument incl. electricity, producer subsidies, ETS allowances, GDP feedback</w:t>
            </w:r>
          </w:p>
        </w:tc>
        <w:tc>
          <w:tcPr/>
          <w:p>
            <w:pPr>
              <w:pStyle w:val="Compact"/>
              <w:jc w:val="left"/>
            </w:pPr>
            <w:r>
              <w:t xml:space="preserve">Three separate calculations per subsector and fuel: existing taxes (txo positive part + VAT), existing consumer subsidies, new policies (carbon tax, excise, auctioned ETS, VAT on them); no power, no producer subsidies, no GDP feedback</w:t>
            </w:r>
          </w:p>
        </w:tc>
        <w:tc>
          <w:tcPr/>
          <w:p>
            <w:pPr>
              <w:pStyle w:val="Compact"/>
              <w:jc w:val="left"/>
            </w:pPr>
            <w:r>
              <w:t xml:space="preserve">User request v0.12; scope of the prototype</w:t>
            </w:r>
          </w:p>
        </w:tc>
        <w:tc>
          <w:tcPr/>
          <w:p>
            <w:pPr>
              <w:pStyle w:val="Compact"/>
              <w:jc w:val="left"/>
            </w:pPr>
            <w:r>
              <w:t xml:space="preserve">Revenue levels</w:t>
            </w:r>
          </w:p>
        </w:tc>
        <w:tc>
          <w:tcPr/>
          <w:p>
            <w:pPr>
              <w:pStyle w:val="Compact"/>
              <w:jc w:val="left"/>
            </w:pPr>
            <w:r>
              <w:t xml:space="preserve">Simplification</w:t>
            </w:r>
          </w:p>
        </w:tc>
      </w:tr>
      <w:tr>
        <w:tc>
          <w:tcPr/>
          <w:p>
            <w:pPr>
              <w:pStyle w:val="Compact"/>
              <w:jc w:val="left"/>
            </w:pPr>
            <w:r>
              <w:t xml:space="preserve">37</w:t>
            </w:r>
          </w:p>
        </w:tc>
        <w:tc>
          <w:tcPr/>
          <w:p>
            <w:pPr>
              <w:pStyle w:val="Compact"/>
              <w:jc w:val="left"/>
            </w:pPr>
            <w:r>
              <w:t xml:space="preserve">Horizon and indices</w:t>
            </w:r>
          </w:p>
        </w:tc>
        <w:tc>
          <w:tcPr/>
          <w:p>
            <w:pPr>
              <w:pStyle w:val="Compact"/>
              <w:jc w:val="left"/>
            </w:pPr>
            <w:r>
              <w:t xml:space="preserve">To 2050; CPI held flat after 2031</w:t>
            </w:r>
          </w:p>
        </w:tc>
        <w:tc>
          <w:tcPr/>
          <w:p>
            <w:pPr>
              <w:pStyle w:val="Compact"/>
              <w:jc w:val="left"/>
            </w:pPr>
            <w:r>
              <w:t xml:space="preserve">To 2040; same indices; values after 2030 not a legacy target</w:t>
            </w:r>
          </w:p>
        </w:tc>
        <w:tc>
          <w:tcPr/>
          <w:p>
            <w:pPr>
              <w:pStyle w:val="Compact"/>
              <w:jc w:val="left"/>
            </w:pPr>
            <w:r>
              <w:t xml:space="preserve">User decision v0.9 / v0.11</w:t>
            </w:r>
          </w:p>
        </w:tc>
        <w:tc>
          <w:tcPr/>
          <w:p>
            <w:pPr>
              <w:pStyle w:val="Compact"/>
              <w:jc w:val="left"/>
            </w:pPr>
            <w:r>
              <w:t xml:space="preserve">Post-2030</w:t>
            </w:r>
          </w:p>
        </w:tc>
        <w:tc>
          <w:tcPr/>
          <w:p>
            <w:pPr>
              <w:pStyle w:val="Compact"/>
              <w:jc w:val="left"/>
            </w:pPr>
            <w:r>
              <w:t xml:space="preserve">Decision</w:t>
            </w:r>
          </w:p>
        </w:tc>
      </w:tr>
      <w:tr>
        <w:tc>
          <w:tcPr/>
          <w:p>
            <w:pPr>
              <w:pStyle w:val="Compact"/>
              <w:jc w:val="left"/>
            </w:pPr>
            <w:r>
              <w:t xml:space="preserve">38</w:t>
            </w:r>
          </w:p>
        </w:tc>
        <w:tc>
          <w:tcPr/>
          <w:p>
            <w:pPr>
              <w:pStyle w:val="Compact"/>
              <w:jc w:val="left"/>
            </w:pPr>
            <w:r>
              <w:t xml:space="preserve">Data vintage</w:t>
            </w:r>
          </w:p>
        </w:tc>
        <w:tc>
          <w:tcPr/>
          <w:p>
            <w:pPr>
              <w:pStyle w:val="Compact"/>
              <w:jc w:val="left"/>
            </w:pPr>
            <w:r>
              <w:t xml:space="preserve">Proprietary price forecasts; IEA balances</w:t>
            </w:r>
          </w:p>
        </w:tc>
        <w:tc>
          <w:tcPr/>
          <w:p>
            <w:pPr>
              <w:pStyle w:val="Compact"/>
              <w:jc w:val="left"/>
            </w:pPr>
            <w:r>
              <w:t xml:space="preserve">NoPropData extracts; energy use via kernel v1.6; IIASA EFs without inventory adjustment</w:t>
            </w:r>
          </w:p>
        </w:tc>
        <w:tc>
          <w:tcPr/>
          <w:p>
            <w:pPr>
              <w:pStyle w:val="Compact"/>
              <w:jc w:val="left"/>
            </w:pPr>
            <w:r>
              <w:t xml:space="preserve">No proprietary data</w:t>
            </w:r>
          </w:p>
        </w:tc>
        <w:tc>
          <w:tcPr/>
          <w:p>
            <w:pPr>
              <w:pStyle w:val="Compact"/>
              <w:jc w:val="left"/>
            </w:pPr>
            <w:r>
              <w:t xml:space="preserve">Levels; legacy price forecasts #N/A</w:t>
            </w:r>
          </w:p>
        </w:tc>
        <w:tc>
          <w:tcPr/>
          <w:p>
            <w:pPr>
              <w:pStyle w:val="Compact"/>
              <w:jc w:val="left"/>
            </w:pPr>
            <w:r>
              <w:t xml:space="preserve">Data</w:t>
            </w:r>
          </w:p>
        </w:tc>
      </w:tr>
      <w:tr>
        <w:tc>
          <w:tcPr/>
          <w:p>
            <w:pPr>
              <w:pStyle w:val="Compact"/>
              <w:jc w:val="left"/>
            </w:pPr>
            <w:r>
              <w:t xml:space="preserve">39</w:t>
            </w:r>
          </w:p>
        </w:tc>
        <w:tc>
          <w:tcPr/>
          <w:p>
            <w:pPr>
              <w:pStyle w:val="Compact"/>
              <w:jc w:val="left"/>
            </w:pPr>
            <w:r>
              <w:t xml:space="preserve">Formula structure</w:t>
            </w:r>
          </w:p>
        </w:tc>
        <w:tc>
          <w:tcPr/>
          <w:p>
            <w:pPr>
              <w:pStyle w:val="Compact"/>
              <w:jc w:val="left"/>
            </w:pPr>
            <w:r>
              <w:t xml:space="preserve">Different formulas by block and year</w:t>
            </w:r>
          </w:p>
        </w:tc>
        <w:tc>
          <w:tcPr/>
          <w:p>
            <w:pPr>
              <w:pStyle w:val="Compact"/>
              <w:jc w:val="left"/>
            </w:pPr>
            <w:r>
              <w:t xml:space="preserve">One formula per variable block; LAMBDA in the right column (2040) with the history/projection IF inside</w:t>
            </w:r>
          </w:p>
        </w:tc>
        <w:tc>
          <w:tcPr/>
          <w:p>
            <w:pPr>
              <w:pStyle w:val="Compact"/>
              <w:jc w:val="left"/>
            </w:pPr>
            <w:r>
              <w:t xml:space="preserve">Auditability and copy-paste</w:t>
            </w:r>
          </w:p>
        </w:tc>
        <w:tc>
          <w:tcPr/>
          <w:p>
            <w:pPr>
              <w:pStyle w:val="Compact"/>
              <w:jc w:val="left"/>
            </w:pPr>
            <w:r>
              <w:t xml:space="preserve">None (numerically identical)</w:t>
            </w:r>
          </w:p>
        </w:tc>
        <w:tc>
          <w:tcPr/>
          <w:p>
            <w:pPr>
              <w:pStyle w:val="Compact"/>
              <w:jc w:val="left"/>
            </w:pPr>
            <w:r>
              <w:t xml:space="preserve">Design</w:t>
            </w:r>
          </w:p>
        </w:tc>
      </w:tr>
    </w:tbl>
    <w:bookmarkEnd w:id="74"/>
    <w:bookmarkStart w:id="75" w:name="appendix-b.-version-log"/>
    <w:p>
      <w:pPr>
        <w:pStyle w:val="Heading1"/>
      </w:pPr>
      <w:r>
        <w:t xml:space="preserve">Appendix B. Version log</w:t>
      </w:r>
    </w:p>
    <w:p>
      <w:pPr>
        <w:pStyle w:val="FirstParagraph"/>
      </w:pPr>
      <w:r>
        <w:rPr>
          <w:iCs/>
          <w:i/>
        </w:rPr>
        <w:t xml:space="preserve">Source: workbook sheet</w:t>
      </w:r>
      <w:r>
        <w:rPr>
          <w:iCs/>
          <w:i/>
        </w:rPr>
        <w:t xml:space="preserve"> </w:t>
      </w:r>
      <w:r>
        <w:rPr>
          <w:rStyle w:val="VerbatimChar"/>
          <w:iCs/>
          <w:i/>
        </w:rPr>
        <w:t xml:space="preserve">Settings</w:t>
      </w:r>
      <w:r>
        <w:rPr>
          <w:iCs/>
          <w:i/>
        </w:rPr>
        <w:t xml:space="preserve">.</w:t>
      </w:r>
    </w:p>
    <w:tbl>
      <w:tblPr>
        <w:tblStyle w:val="Table"/>
        <w:tblW w:type="pct" w:w="5000"/>
        <w:tblLook w:firstRow="1" w:lastRow="0" w:firstColumn="0" w:lastColumn="0" w:noHBand="0" w:noVBand="0" w:val="0020"/>
        <w:jc w:val="start"/>
      </w:tblPr>
      <w:tblGrid>
        <w:gridCol w:w="720"/>
        <w:gridCol w:w="1080"/>
        <w:gridCol w:w="4320"/>
        <w:gridCol w:w="180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Max abs regression diff</w:t>
            </w:r>
          </w:p>
        </w:tc>
      </w:tr>
      <w:tr>
        <w:tc>
          <w:tcPr/>
          <w:p>
            <w:pPr>
              <w:pStyle w:val="Compact"/>
              <w:jc w:val="left"/>
            </w:pPr>
            <w:r>
              <w:t xml:space="preserve">0.1</w:t>
            </w:r>
          </w:p>
        </w:tc>
        <w:tc>
          <w:tcPr/>
          <w:p>
            <w:pPr>
              <w:pStyle w:val="Compact"/>
              <w:jc w:val="left"/>
            </w:pPr>
            <w:r>
              <w:t xml:space="preserve">2026-10-08</w:t>
            </w:r>
          </w:p>
        </w:tc>
        <w:tc>
          <w:tcPr/>
          <w:p>
            <w:pPr>
              <w:pStyle w:val="Compact"/>
              <w:jc w:val="left"/>
            </w:pPr>
            <w:r>
              <w:t xml:space="preserve">First build: design 2 price -&gt; fuel-use prototype, Egypt base data, 2 scenarios.</w:t>
            </w:r>
          </w:p>
        </w:tc>
        <w:tc>
          <w:tcPr/>
          <w:p>
            <w:pPr>
              <w:pStyle w:val="Compact"/>
              <w:jc w:val="left"/>
            </w:pPr>
            <w:r>
              <w:t xml:space="preserve">n/a (first version)</w:t>
            </w:r>
          </w:p>
        </w:tc>
      </w:tr>
      <w:tr>
        <w:tc>
          <w:tcPr/>
          <w:p>
            <w:pPr>
              <w:pStyle w:val="Compact"/>
              <w:jc w:val="left"/>
            </w:pPr>
            <w:r>
              <w:t xml:space="preserve">0.2</w:t>
            </w:r>
          </w:p>
        </w:tc>
        <w:tc>
          <w:tcPr/>
          <w:p>
            <w:pPr>
              <w:pStyle w:val="Compact"/>
              <w:jc w:val="left"/>
            </w:pPr>
            <w:r>
              <w:t xml:space="preserve">2026-10-08</w:t>
            </w:r>
          </w:p>
        </w:tc>
        <w:tc>
          <w:tcPr/>
          <w:p>
            <w:pPr>
              <w:pStyle w:val="Compact"/>
              <w:jc w:val="left"/>
            </w:pPr>
            <w:r>
              <w:t xml:space="preserve">Inputs sheet by fuel/subsector (lookups separated from formulas); 4 hidden parameter columns D:G, global parameters; base year 2022 in column L; named LAMBDAs in 2035.</w:t>
            </w:r>
          </w:p>
        </w:tc>
        <w:tc>
          <w:tcPr/>
          <w:p>
            <w:pPr>
              <w:pStyle w:val="Compact"/>
              <w:jc w:val="left"/>
            </w:pPr>
            <w:r>
              <w:t xml:space="preserve">0 (vs v0.1)</w:t>
            </w:r>
          </w:p>
        </w:tc>
      </w:tr>
      <w:tr>
        <w:tc>
          <w:tcPr/>
          <w:p>
            <w:pPr>
              <w:pStyle w:val="Compact"/>
              <w:jc w:val="left"/>
            </w:pPr>
            <w:r>
              <w:t xml:space="preserve">0.3</w:t>
            </w:r>
          </w:p>
        </w:tc>
        <w:tc>
          <w:tcPr/>
          <w:p>
            <w:pPr>
              <w:pStyle w:val="Compact"/>
              <w:jc w:val="left"/>
            </w:pPr>
            <w:r>
              <w:t xml:space="preserve">2026-10-08</w:t>
            </w:r>
          </w:p>
        </w:tc>
        <w:tc>
          <w:tcPr/>
          <w:p>
            <w:pPr>
              <w:pStyle w:val="Compact"/>
              <w:jc w:val="left"/>
            </w:pPr>
            <w:r>
              <w:t xml:space="preserve">Variable codes in column A; labels from Variables; code column per scenario with full CPAT codes (auto-numbered).</w:t>
            </w:r>
          </w:p>
        </w:tc>
        <w:tc>
          <w:tcPr/>
          <w:p>
            <w:pPr>
              <w:pStyle w:val="Compact"/>
              <w:jc w:val="left"/>
            </w:pPr>
            <w:r>
              <w:t xml:space="preserve">0 (vs v0.2)</w:t>
            </w:r>
          </w:p>
        </w:tc>
      </w:tr>
      <w:tr>
        <w:tc>
          <w:tcPr/>
          <w:p>
            <w:pPr>
              <w:pStyle w:val="Compact"/>
              <w:jc w:val="left"/>
            </w:pPr>
            <w:r>
              <w:t xml:space="preserve">0.4</w:t>
            </w:r>
          </w:p>
        </w:tc>
        <w:tc>
          <w:tcPr/>
          <w:p>
            <w:pPr>
              <w:pStyle w:val="Compact"/>
              <w:jc w:val="left"/>
            </w:pPr>
            <w:r>
              <w:t xml:space="preserve">2026-10-08</w:t>
            </w:r>
          </w:p>
        </w:tc>
        <w:tc>
          <w:tcPr/>
          <w:p>
            <w:pPr>
              <w:pStyle w:val="Compact"/>
              <w:jc w:val="left"/>
            </w:pPr>
            <w:r>
              <w:t xml:space="preserve">Row outline: blocks roll up.</w:t>
            </w:r>
          </w:p>
        </w:tc>
        <w:tc>
          <w:tcPr/>
          <w:p>
            <w:pPr>
              <w:pStyle w:val="Compact"/>
              <w:jc w:val="left"/>
            </w:pPr>
            <w:r>
              <w:t xml:space="preserve">0 (vs v0.3)</w:t>
            </w:r>
          </w:p>
        </w:tc>
      </w:tr>
      <w:tr>
        <w:tc>
          <w:tcPr/>
          <w:p>
            <w:pPr>
              <w:pStyle w:val="Compact"/>
              <w:jc w:val="left"/>
            </w:pPr>
            <w:r>
              <w:t xml:space="preserve">0.5</w:t>
            </w:r>
          </w:p>
        </w:tc>
        <w:tc>
          <w:tcPr/>
          <w:p>
            <w:pPr>
              <w:pStyle w:val="Compact"/>
              <w:jc w:val="left"/>
            </w:pPr>
            <w:r>
              <w:t xml:space="preserve">2026-10-08</w:t>
            </w:r>
          </w:p>
        </w:tc>
        <w:tc>
          <w:tcPr/>
          <w:p>
            <w:pPr>
              <w:pStyle w:val="Compact"/>
              <w:jc w:val="left"/>
            </w:pPr>
            <w:r>
              <w:t xml:space="preserve">White band text; summary lines under bands.</w:t>
            </w:r>
          </w:p>
        </w:tc>
        <w:tc>
          <w:tcPr/>
          <w:p>
            <w:pPr>
              <w:pStyle w:val="Compact"/>
              <w:jc w:val="left"/>
            </w:pPr>
            <w:r>
              <w:t xml:space="preserve">0 (vs v0.4)</w:t>
            </w:r>
          </w:p>
        </w:tc>
      </w:tr>
      <w:tr>
        <w:tc>
          <w:tcPr/>
          <w:p>
            <w:pPr>
              <w:pStyle w:val="Compact"/>
              <w:jc w:val="left"/>
            </w:pPr>
            <w:r>
              <w:t xml:space="preserve">0.6</w:t>
            </w:r>
          </w:p>
        </w:tc>
        <w:tc>
          <w:tcPr/>
          <w:p>
            <w:pPr>
              <w:pStyle w:val="Compact"/>
              <w:jc w:val="left"/>
            </w:pPr>
            <w:r>
              <w:t xml:space="preserve">2026-10-08</w:t>
            </w:r>
          </w:p>
        </w:tc>
        <w:tc>
          <w:tcPr/>
          <w:p>
            <w:pPr>
              <w:pStyle w:val="Compact"/>
              <w:jc w:val="left"/>
            </w:pPr>
            <w:r>
              <w:t xml:space="preserve">MTInputs sheet per scenario; carbon price from MTInputs.</w:t>
            </w:r>
          </w:p>
        </w:tc>
        <w:tc>
          <w:tcPr/>
          <w:p>
            <w:pPr>
              <w:pStyle w:val="Compact"/>
              <w:jc w:val="left"/>
            </w:pPr>
            <w:r>
              <w:t xml:space="preserve">0 (vs v0.5)</w:t>
            </w:r>
          </w:p>
        </w:tc>
      </w:tr>
      <w:tr>
        <w:tc>
          <w:tcPr/>
          <w:p>
            <w:pPr>
              <w:pStyle w:val="Compact"/>
              <w:jc w:val="left"/>
            </w:pPr>
            <w:r>
              <w:t xml:space="preserve">0.7</w:t>
            </w:r>
          </w:p>
        </w:tc>
        <w:tc>
          <w:tcPr/>
          <w:p>
            <w:pPr>
              <w:pStyle w:val="Compact"/>
              <w:jc w:val="left"/>
            </w:pPr>
            <w:r>
              <w:t xml:space="preserve">2026-10-08</w:t>
            </w:r>
          </w:p>
        </w:tc>
        <w:tc>
          <w:tcPr/>
          <w:p>
            <w:pPr>
              <w:pStyle w:val="Compact"/>
              <w:jc w:val="left"/>
            </w:pPr>
            <w:r>
              <w:t xml:space="preserve">Legacy CPAT section layout (1 Policies, 3 Power, 5-8 sectors, 11 Results; subsector &gt; variable &gt; fuel); policy wedges: new carbon tax with MTInputs coverage, new excise (fuel price reform), total new policy; feebate shadow price (not yet used).</w:t>
            </w:r>
          </w:p>
        </w:tc>
        <w:tc>
          <w:tcPr/>
          <w:p>
            <w:pPr>
              <w:pStyle w:val="Compact"/>
              <w:jc w:val="left"/>
            </w:pPr>
            <w:r>
              <w:t xml:space="preserve">0 (common codes vs v0.6)</w:t>
            </w:r>
          </w:p>
        </w:tc>
      </w:tr>
      <w:tr>
        <w:tc>
          <w:tcPr/>
          <w:p>
            <w:pPr>
              <w:pStyle w:val="Compact"/>
              <w:jc w:val="left"/>
            </w:pPr>
            <w:r>
              <w:t xml:space="preserve">0.8</w:t>
            </w:r>
          </w:p>
        </w:tc>
        <w:tc>
          <w:tcPr/>
          <w:p>
            <w:pPr>
              <w:pStyle w:val="Compact"/>
              <w:jc w:val="left"/>
            </w:pPr>
            <w:r>
              <w:t xml:space="preserve">2026-10-08</w:t>
            </w:r>
          </w:p>
        </w:tc>
        <w:tc>
          <w:tcPr/>
          <w:p>
            <w:pPr>
              <w:pStyle w:val="Compact"/>
              <w:jc w:val="left"/>
            </w:pPr>
            <w:r>
              <w:t xml:space="preserve">Shadow price on the efficiency margin of fuel use; shadow prices by sector and share impacting efficiency in section 1; all policy paths continue linearly; biomass carbon-tax coverage TRUE.</w:t>
            </w:r>
          </w:p>
        </w:tc>
        <w:tc>
          <w:tcPr/>
          <w:p>
            <w:pPr>
              <w:pStyle w:val="Compact"/>
              <w:jc w:val="left"/>
            </w:pPr>
            <w:r>
              <w:t xml:space="preserve">0 (common codes vs v0.7, no feebate)</w:t>
            </w:r>
          </w:p>
        </w:tc>
      </w:tr>
      <w:tr>
        <w:tc>
          <w:tcPr/>
          <w:p>
            <w:pPr>
              <w:pStyle w:val="Compact"/>
              <w:jc w:val="left"/>
            </w:pPr>
            <w:r>
              <w:t xml:space="preserve">0.9</w:t>
            </w:r>
          </w:p>
        </w:tc>
        <w:tc>
          <w:tcPr/>
          <w:p>
            <w:pPr>
              <w:pStyle w:val="Compact"/>
              <w:jc w:val="left"/>
            </w:pPr>
            <w:r>
              <w:t xml:space="preserve">2026-10-08</w:t>
            </w:r>
          </w:p>
        </w:tc>
        <w:tc>
          <w:tcPr/>
          <w:p>
            <w:pPr>
              <w:pStyle w:val="Compact"/>
              <w:jc w:val="left"/>
            </w:pPr>
            <w:r>
              <w:t xml:space="preserve">Domestic price projection (legacy method) in section 2: international prices by source, supply cost, excise and other taxes with pass-through, retail price before new policies; real USD of ResultsYear (CPI and deflator indices); historical prices 2022-2024 from data; per subsector atp = rpb + nce x (1 + VAT).</w:t>
            </w:r>
          </w:p>
        </w:tc>
        <w:tc>
          <w:tcPr/>
          <w:p>
            <w:pPr>
              <w:pStyle w:val="Compact"/>
              <w:jc w:val="left"/>
            </w:pPr>
            <w:r>
              <w:t xml:space="preserve">intended change: all prices and fuel use (see check report)</w:t>
            </w:r>
          </w:p>
        </w:tc>
      </w:tr>
      <w:tr>
        <w:tc>
          <w:tcPr/>
          <w:p>
            <w:pPr>
              <w:pStyle w:val="Compact"/>
              <w:jc w:val="left"/>
            </w:pPr>
            <w:r>
              <w:t xml:space="preserve">0.10</w:t>
            </w:r>
          </w:p>
        </w:tc>
        <w:tc>
          <w:tcPr/>
          <w:p>
            <w:pPr>
              <w:pStyle w:val="Compact"/>
              <w:jc w:val="left"/>
            </w:pPr>
            <w:r>
              <w:t xml:space="preserve">2026-10-08</w:t>
            </w:r>
          </w:p>
        </w:tc>
        <w:tc>
          <w:tcPr/>
          <w:p>
            <w:pPr>
              <w:pStyle w:val="Compact"/>
              <w:jc w:val="left"/>
            </w:pPr>
            <w:r>
              <w:t xml:space="preserve">Other oil products treated like the other oil products (pass-through and margin from data); VAT-rate assumption where data blank (VAT_WEO for residential and oil products); changed data marked bright yellow.</w:t>
            </w:r>
          </w:p>
        </w:tc>
        <w:tc>
          <w:tcPr/>
          <w:p>
            <w:pPr>
              <w:pStyle w:val="Compact"/>
              <w:jc w:val="left"/>
            </w:pPr>
            <w:r>
              <w:t xml:space="preserve">intended change: prices with VAT, other oil products, fuel use</w:t>
            </w:r>
          </w:p>
        </w:tc>
      </w:tr>
      <w:tr>
        <w:tc>
          <w:tcPr/>
          <w:p>
            <w:pPr>
              <w:pStyle w:val="Compact"/>
              <w:jc w:val="left"/>
            </w:pPr>
            <w:r>
              <w:t xml:space="preserve">0.11</w:t>
            </w:r>
          </w:p>
        </w:tc>
        <w:tc>
          <w:tcPr/>
          <w:p>
            <w:pPr>
              <w:pStyle w:val="Compact"/>
              <w:jc w:val="left"/>
            </w:pPr>
            <w:r>
              <w:t xml:space="preserve">2026-10-09</w:t>
            </w:r>
          </w:p>
        </w:tc>
        <w:tc>
          <w:tcPr/>
          <w:p>
            <w:pPr>
              <w:pStyle w:val="Compact"/>
              <w:jc w:val="left"/>
            </w:pPr>
            <w:r>
              <w:t xml:space="preserve">Horizon 2040; food &amp; forestry with services elasticities; new ETS (price = carbon price inputs, replaces the carbon tax where it covers); sectoral shadow prices (feebates + regulations placeholder); section 2: VAT payment, existing taxes and subsidies, subsidy per price unit; LAMBDA in the right column of every calculated row; separate history / projection column blocks; LegacyDiff sheet; 12. Revenues prepared.</w:t>
            </w:r>
          </w:p>
        </w:tc>
        <w:tc>
          <w:tcPr/>
          <w:p>
            <w:pPr>
              <w:pStyle w:val="Compact"/>
              <w:jc w:val="left"/>
            </w:pPr>
            <w:r>
              <w:t xml:space="preserve">0 to 2035 on unaffected codes (see check report); foo and horizon changes intended</w:t>
            </w:r>
          </w:p>
        </w:tc>
      </w:tr>
      <w:tr>
        <w:tc>
          <w:tcPr/>
          <w:p>
            <w:pPr>
              <w:pStyle w:val="Compact"/>
              <w:jc w:val="left"/>
            </w:pPr>
            <w:r>
              <w:t xml:space="preserve">0.12</w:t>
            </w:r>
          </w:p>
        </w:tc>
        <w:tc>
          <w:tcPr/>
          <w:p>
            <w:pPr>
              <w:pStyle w:val="Compact"/>
              <w:jc w:val="left"/>
            </w:pPr>
            <w:r>
              <w:t xml:space="preserve">2026-10-09</w:t>
            </w:r>
          </w:p>
        </w:tc>
        <w:tc>
          <w:tcPr/>
          <w:p>
            <w:pPr>
              <w:pStyle w:val="Compact"/>
              <w:jc w:val="left"/>
            </w:pPr>
            <w:r>
              <w:t xml:space="preserve">Revenues: existing tax revenue, existing subsidy cost and new-policy revenue as separate calculations per subsector and fuel; section 12 totals by sector, net existing, total and change vs scenario 1.</w:t>
            </w:r>
          </w:p>
        </w:tc>
        <w:tc>
          <w:tcPr/>
          <w:p>
            <w:pPr>
              <w:pStyle w:val="Compact"/>
              <w:jc w:val="left"/>
            </w:pPr>
            <w:r>
              <w:t xml:space="preserve">0 on all v0.11 codes</w:t>
            </w:r>
          </w:p>
        </w:tc>
      </w:tr>
      <w:tr>
        <w:tc>
          <w:tcPr/>
          <w:p>
            <w:pPr>
              <w:pStyle w:val="Compact"/>
              <w:jc w:val="left"/>
            </w:pPr>
            <w:r>
              <w:t xml:space="preserve">0.13</w:t>
            </w:r>
          </w:p>
        </w:tc>
        <w:tc>
          <w:tcPr/>
          <w:p>
            <w:pPr>
              <w:pStyle w:val="Compact"/>
              <w:jc w:val="left"/>
            </w:pPr>
            <w:r>
              <w:t xml:space="preserve">2026-10-09</w:t>
            </w:r>
          </w:p>
        </w:tc>
        <w:tc>
          <w:tcPr/>
          <w:p>
            <w:pPr>
              <w:pStyle w:val="Compact"/>
              <w:jc w:val="left"/>
            </w:pPr>
            <w:r>
              <w:t xml:space="preserve">CO2 emissions from fuel combustion per subsector and fuel (fuel use x EF); section 13 totals by sector and fuel, change vs scenario 1.</w:t>
            </w:r>
          </w:p>
        </w:tc>
        <w:tc>
          <w:tcPr/>
          <w:p>
            <w:pPr>
              <w:pStyle w:val="Compact"/>
              <w:jc w:val="left"/>
            </w:pPr>
            <w:r>
              <w:t xml:space="preserve">0 on all v0.12 codes</w:t>
            </w:r>
          </w:p>
        </w:tc>
      </w:tr>
      <w:tr>
        <w:tc>
          <w:tcPr/>
          <w:p>
            <w:pPr>
              <w:pStyle w:val="Compact"/>
              <w:jc w:val="left"/>
            </w:pPr>
            <w:r>
              <w:t xml:space="preserve">0.14</w:t>
            </w:r>
          </w:p>
        </w:tc>
        <w:tc>
          <w:tcPr/>
          <w:p>
            <w:pPr>
              <w:pStyle w:val="Compact"/>
              <w:jc w:val="left"/>
            </w:pPr>
            <w:r>
              <w:t xml:space="preserve">2026-10-09</w:t>
            </w:r>
          </w:p>
        </w:tc>
        <w:tc>
          <w:tcPr/>
          <w:p>
            <w:pPr>
              <w:pStyle w:val="Compact"/>
              <w:jc w:val="left"/>
            </w:pPr>
            <w:r>
              <w:t xml:space="preserve">Corrected Egypt price block (user); changed cells bright yellow in Prices_dom; VAT assumption only where the data cell is blank.</w:t>
            </w:r>
          </w:p>
        </w:tc>
        <w:tc>
          <w:tcPr/>
          <w:p>
            <w:pPr>
              <w:pStyle w:val="Compact"/>
              <w:jc w:val="left"/>
            </w:pPr>
            <w:r>
              <w:t xml:space="preserve">intended: prices, taxes, subsidies, fuel use, revenue, CO2 (see check report)</w:t>
            </w:r>
          </w:p>
        </w:tc>
      </w:tr>
      <w:tr>
        <w:tc>
          <w:tcPr/>
          <w:p>
            <w:pPr>
              <w:pStyle w:val="Compact"/>
              <w:jc w:val="left"/>
            </w:pPr>
            <w:r>
              <w:t xml:space="preserve">0.15</w:t>
            </w:r>
          </w:p>
        </w:tc>
        <w:tc>
          <w:tcPr/>
          <w:p>
            <w:pPr>
              <w:pStyle w:val="Compact"/>
              <w:jc w:val="left"/>
            </w:pPr>
            <w:r>
              <w:t xml:space="preserve">2026-10-09</w:t>
            </w:r>
          </w:p>
        </w:tc>
        <w:tc>
          <w:tcPr/>
          <w:p>
            <w:pPr>
              <w:pStyle w:val="Compact"/>
              <w:jc w:val="left"/>
            </w:pPr>
            <w:r>
              <w:t xml:space="preserve">Layout: columns B:C and I:K grouped (D:G nested), row group buttons below, opens rolled up; Mitigation first tab at 75% zoom.</w:t>
            </w:r>
          </w:p>
        </w:tc>
        <w:tc>
          <w:tcPr/>
          <w:p>
            <w:pPr>
              <w:pStyle w:val="Compact"/>
              <w:jc w:val="left"/>
            </w:pPr>
            <w:r>
              <w:t xml:space="preserve">0 (all codes vs v0.14)</w:t>
            </w:r>
          </w:p>
        </w:tc>
      </w:tr>
      <w:tr>
        <w:tc>
          <w:tcPr/>
          <w:p>
            <w:pPr>
              <w:pStyle w:val="Compact"/>
              <w:jc w:val="left"/>
            </w:pPr>
            <w:r>
              <w:t xml:space="preserve">0.16</w:t>
            </w:r>
          </w:p>
        </w:tc>
        <w:tc>
          <w:tcPr/>
          <w:p>
            <w:pPr>
              <w:pStyle w:val="Compact"/>
              <w:jc w:val="left"/>
            </w:pPr>
            <w:r>
              <w:t xml:space="preserve">2026-10-09</w:t>
            </w:r>
          </w:p>
        </w:tc>
        <w:tc>
          <w:tcPr/>
          <w:p>
            <w:pPr>
              <w:pStyle w:val="Compact"/>
              <w:jc w:val="left"/>
            </w:pPr>
            <w:r>
              <w:t xml:space="preserve">Layout: one level of column groups (B:G, I:K, 2030-2039 per scenario); light beige for the LAMBDA column and the 2023-2024 price history block; blank column between scenario groups.</w:t>
            </w:r>
          </w:p>
        </w:tc>
        <w:tc>
          <w:tcPr/>
          <w:p>
            <w:pPr>
              <w:pStyle w:val="Compact"/>
              <w:jc w:val="left"/>
            </w:pPr>
            <w:r>
              <w:t xml:space="preserve">0 (all codes vs v0.15)</w:t>
            </w:r>
          </w:p>
        </w:tc>
      </w:tr>
      <w:tr>
        <w:tc>
          <w:tcPr/>
          <w:p>
            <w:pPr>
              <w:pStyle w:val="Compact"/>
              <w:jc w:val="left"/>
            </w:pPr>
            <w:r>
              <w:t xml:space="preserve">1.00</w:t>
            </w:r>
          </w:p>
        </w:tc>
        <w:tc>
          <w:tcPr/>
          <w:p>
            <w:pPr>
              <w:pStyle w:val="Compact"/>
              <w:jc w:val="left"/>
            </w:pPr>
            <w:r>
              <w:t xml:space="preserve">2026-10-09</w:t>
            </w:r>
          </w:p>
        </w:tc>
        <w:tc>
          <w:tcPr/>
          <w:p>
            <w:pPr>
              <w:pStyle w:val="Compact"/>
              <w:jc w:val="left"/>
            </w:pPr>
            <w:r>
              <w:t xml:space="preserve">Renamed CPAT-AI-Mitigation-MVP and upgraded to v1.00 (content as v0.16).</w:t>
            </w:r>
          </w:p>
        </w:tc>
        <w:tc>
          <w:tcPr/>
          <w:p>
            <w:pPr>
              <w:pStyle w:val="Compact"/>
              <w:jc w:val="left"/>
            </w:pPr>
            <w:r>
              <w:t xml:space="preserve">0 (all codes vs v0.16)</w:t>
            </w:r>
          </w:p>
        </w:tc>
      </w:tr>
      <w:tr>
        <w:tc>
          <w:tcPr/>
          <w:p>
            <w:pPr>
              <w:pStyle w:val="Compact"/>
              <w:jc w:val="left"/>
            </w:pPr>
            <w:r>
              <w:t xml:space="preserve">1.01</w:t>
            </w:r>
          </w:p>
        </w:tc>
        <w:tc>
          <w:tcPr/>
          <w:p>
            <w:pPr>
              <w:pStyle w:val="Compact"/>
              <w:jc w:val="left"/>
            </w:pPr>
            <w:r>
              <w:t xml:space="preserve">2026-10-09</w:t>
            </w:r>
          </w:p>
        </w:tc>
        <w:tc>
          <w:tcPr/>
          <w:p>
            <w:pPr>
              <w:pStyle w:val="Compact"/>
              <w:jc w:val="left"/>
            </w:pPr>
            <w:r>
              <w:t xml:space="preserve">MTOutputs sheet: key results per scenario by output code (copy-pasteable row blocks); Charts sheet.</w:t>
            </w:r>
          </w:p>
        </w:tc>
        <w:tc>
          <w:tcPr/>
          <w:p>
            <w:pPr>
              <w:pStyle w:val="Compact"/>
              <w:jc w:val="left"/>
            </w:pPr>
            <w:r>
              <w:t xml:space="preserve">0 (all Mitigation codes vs v1.00)</w:t>
            </w:r>
          </w:p>
        </w:tc>
      </w:tr>
      <w:tr>
        <w:tc>
          <w:tcPr/>
          <w:p>
            <w:pPr>
              <w:pStyle w:val="Compact"/>
              <w:jc w:val="left"/>
            </w:pPr>
            <w:r>
              <w:t xml:space="preserve">1.02</w:t>
            </w:r>
          </w:p>
        </w:tc>
        <w:tc>
          <w:tcPr/>
          <w:p>
            <w:pPr>
              <w:pStyle w:val="Compact"/>
              <w:jc w:val="left"/>
            </w:pPr>
            <w:r>
              <w:t xml:space="preserve">2026-10-09</w:t>
            </w:r>
          </w:p>
        </w:tc>
        <w:tc>
          <w:tcPr/>
          <w:p>
            <w:pPr>
              <w:pStyle w:val="Compact"/>
              <w:jc w:val="left"/>
            </w:pPr>
            <w:r>
              <w:t xml:space="preserve">New ETS with a cap: baseline covered emissions (data from scenario 1), fast price estimate, override row and goal-seek script; benchmarks replace the auction share (OBR part as a shadow price on the efficiency margin); volatility adjustment; cap check in section 13.</w:t>
            </w:r>
          </w:p>
        </w:tc>
        <w:tc>
          <w:tcPr/>
          <w:p>
            <w:pPr>
              <w:pStyle w:val="Compact"/>
              <w:jc w:val="left"/>
            </w:pPr>
            <w:r>
              <w:t xml:space="preserve">0 (all codes shared with v1.01; ETS scenarios change)</w:t>
            </w:r>
          </w:p>
        </w:tc>
      </w:tr>
      <w:tr>
        <w:tc>
          <w:tcPr/>
          <w:p>
            <w:pPr>
              <w:pStyle w:val="Compact"/>
              <w:jc w:val="left"/>
            </w:pPr>
            <w:r>
              <w:t xml:space="preserve">1.03</w:t>
            </w:r>
          </w:p>
        </w:tc>
        <w:tc>
          <w:tcPr/>
          <w:p>
            <w:pPr>
              <w:pStyle w:val="Compact"/>
              <w:jc w:val="left"/>
            </w:pPr>
            <w:r>
              <w:t xml:space="preserve">2026-10-09</w:t>
            </w:r>
          </w:p>
        </w:tc>
        <w:tc>
          <w:tcPr/>
          <w:p>
            <w:pPr>
              <w:pStyle w:val="Compact"/>
              <w:jc w:val="left"/>
            </w:pPr>
            <w:r>
              <w:t xml:space="preserve">Multiple scenarios: scenario definitions on MTInputs (combined packages), VBA module CPATScenarios (batch run with ETS goal seek, results stored as values), sheets StoredResults and ScenarioCompare; workbook is .xlsm.</w:t>
            </w:r>
          </w:p>
        </w:tc>
        <w:tc>
          <w:tcPr/>
          <w:p>
            <w:pPr>
              <w:pStyle w:val="Compact"/>
              <w:jc w:val="left"/>
            </w:pPr>
            <w:r>
              <w:t xml:space="preserve">0 (all codes vs v1.02)</w:t>
            </w:r>
          </w:p>
        </w:tc>
      </w:tr>
      <w:tr>
        <w:tc>
          <w:tcPr/>
          <w:p>
            <w:pPr>
              <w:pStyle w:val="Compact"/>
              <w:jc w:val="left"/>
            </w:pPr>
            <w:r>
              <w:t xml:space="preserve">1.04</w:t>
            </w:r>
          </w:p>
        </w:tc>
        <w:tc>
          <w:tcPr/>
          <w:p>
            <w:pPr>
              <w:pStyle w:val="Compact"/>
              <w:jc w:val="left"/>
            </w:pPr>
            <w:r>
              <w:t xml:space="preserve">2026-10-10</w:t>
            </w:r>
          </w:p>
        </w:tc>
        <w:tc>
          <w:tcPr/>
          <w:p>
            <w:pPr>
              <w:pStyle w:val="Compact"/>
              <w:jc w:val="left"/>
            </w:pPr>
            <w:r>
              <w:t xml:space="preserve">First-run test for Excel: macro CheckBatchRun (lookups, baseline recalculated by the host vs stored, batch rerun vs stored values) with its report on the new sheet MacroCheck.</w:t>
            </w:r>
          </w:p>
        </w:tc>
        <w:tc>
          <w:tcPr/>
          <w:p>
            <w:pPr>
              <w:pStyle w:val="Compact"/>
              <w:jc w:val="left"/>
            </w:pPr>
            <w:r>
              <w:t xml:space="preserve">0 (all codes vs v1.03)</w:t>
            </w:r>
          </w:p>
        </w:tc>
      </w:tr>
      <w:tr>
        <w:tc>
          <w:tcPr/>
          <w:p>
            <w:pPr>
              <w:pStyle w:val="Compact"/>
              <w:jc w:val="left"/>
            </w:pPr>
            <w:r>
              <w:t xml:space="preserve">1.05</w:t>
            </w:r>
          </w:p>
        </w:tc>
        <w:tc>
          <w:tcPr/>
          <w:p>
            <w:pPr>
              <w:pStyle w:val="Compact"/>
              <w:jc w:val="left"/>
            </w:pPr>
            <w:r>
              <w:t xml:space="preserve">2026-10-10</w:t>
            </w:r>
          </w:p>
        </w:tc>
        <w:tc>
          <w:tcPr/>
          <w:p>
            <w:pPr>
              <w:pStyle w:val="Compact"/>
              <w:jc w:val="left"/>
            </w:pPr>
            <w:r>
              <w:t xml:space="preserve">Power sector, price side: section 3 with legacy sub-tables A, B, C, D, E, G, J (generation costs by type, average generation cost, storage cost of variable renewables, residential and industrial electricity prices, power revenues); sheets Inputs_power, PowerTech, PowerPaths, PowerParams; generation and investment shares and consumption interim data; 3 MTOutputs indicators added.</w:t>
            </w:r>
          </w:p>
        </w:tc>
        <w:tc>
          <w:tcPr/>
          <w:p>
            <w:pPr>
              <w:pStyle w:val="Compact"/>
              <w:jc w:val="left"/>
            </w:pPr>
            <w:r>
              <w:t xml:space="preserve">0 (all codes vs v1.04)</w:t>
            </w:r>
          </w:p>
        </w:tc>
      </w:tr>
      <w:tr>
        <w:tc>
          <w:tcPr/>
          <w:p>
            <w:pPr>
              <w:pStyle w:val="Compact"/>
              <w:jc w:val="left"/>
            </w:pPr>
            <w:r>
              <w:t xml:space="preserve">1.06</w:t>
            </w:r>
          </w:p>
        </w:tc>
        <w:tc>
          <w:tcPr/>
          <w:p>
            <w:pPr>
              <w:pStyle w:val="Compact"/>
              <w:jc w:val="left"/>
            </w:pPr>
            <w:r>
              <w:t xml:space="preserve">2026-10-10</w:t>
            </w:r>
          </w:p>
        </w:tc>
        <w:tc>
          <w:tcPr/>
          <w:p>
            <w:pPr>
              <w:pStyle w:val="Compact"/>
              <w:jc w:val="left"/>
            </w:pPr>
            <w:r>
              <w:t xml:space="preserve">Power engineer model: demand, dispatch, retirement and capacity, investment (legacy H, I, K, L) with D6, D9, E1; generation and investment shares and consumption modelled; power CO2 in section 13; ten legacy bugs fixed (separate Word report); demand-shock switch (Settings C19); 5 MTOutputs indicators added.</w:t>
            </w:r>
          </w:p>
        </w:tc>
        <w:tc>
          <w:tcPr/>
          <w:p>
            <w:pPr>
              <w:pStyle w:val="Compact"/>
              <w:jc w:val="left"/>
            </w:pPr>
            <w:r>
              <w:t xml:space="preserve">intended: power block, CO2 totals, ETS with power (see check report)</w:t>
            </w:r>
          </w:p>
        </w:tc>
      </w:tr>
      <w:tr>
        <w:tc>
          <w:tcPr/>
          <w:p>
            <w:pPr>
              <w:pStyle w:val="Compact"/>
              <w:jc w:val="left"/>
            </w:pPr>
            <w:r>
              <w:t xml:space="preserve">1.07</w:t>
            </w:r>
          </w:p>
        </w:tc>
        <w:tc>
          <w:tcPr/>
          <w:p>
            <w:pPr>
              <w:pStyle w:val="Compact"/>
              <w:jc w:val="left"/>
            </w:pPr>
            <w:r>
              <w:t xml:space="preserve">2026-10-11</w:t>
            </w:r>
          </w:p>
        </w:tc>
        <w:tc>
          <w:tcPr/>
          <w:p>
            <w:pPr>
              <w:pStyle w:val="Compact"/>
              <w:jc w:val="left"/>
            </w:pPr>
            <w:r>
              <w:t xml:space="preserve">Short formulas: every cell formula has at most 100 characters (defined names for the data tables, helper rows and columns, policy rates by sector in section 1, LAMBDA ROWLABEL for descriptions); planned retirement by generation type (data rows, switch per type, off for Egypt); memo lines of electricity demand by subsector and sector; 18 power indicators on MTOutputs, 6 power charts. Decisions: 2023 demand jump accepted; sector policies kept separate from power demand.</w:t>
            </w:r>
          </w:p>
        </w:tc>
        <w:tc>
          <w:tcPr/>
          <w:p>
            <w:pPr>
              <w:pStyle w:val="Compact"/>
              <w:jc w:val="left"/>
            </w:pPr>
            <w:r>
              <w:t xml:space="preserve">0 on all v1.06 codes (see check report)</w:t>
            </w:r>
          </w:p>
        </w:tc>
      </w:tr>
    </w:tbl>
    <w:bookmarkEnd w:id="75"/>
    <w:bookmarkStart w:id="76" w:name="appendix-c.-verification"/>
    <w:p>
      <w:pPr>
        <w:pStyle w:val="Heading1"/>
      </w:pPr>
      <w:r>
        <w:t xml:space="preserve">Appendix C. Verification</w:t>
      </w:r>
    </w:p>
    <w:p>
      <w:pPr>
        <w:pStyle w:val="FirstParagraph"/>
      </w:pPr>
      <w:r>
        <w:rPr>
          <w:iCs/>
          <w:i/>
        </w:rPr>
        <w:t xml:space="preserve">Source:</w:t>
      </w:r>
      <w:r>
        <w:rPr>
          <w:iCs/>
          <w:i/>
        </w:rPr>
        <w:t xml:space="preserve"> </w:t>
      </w:r>
      <w:r>
        <w:rPr>
          <w:rStyle w:val="VerbatimChar"/>
          <w:iCs/>
          <w:i/>
        </w:rPr>
        <w:t xml:space="preserve">check_report_v1.07.md</w:t>
      </w:r>
      <w:r>
        <w:rPr>
          <w:iCs/>
          <w:i/>
        </w:rPr>
        <w:t xml:space="preserve"> </w:t>
      </w:r>
      <w:r>
        <w:rPr>
          <w:iCs/>
          <w:i/>
        </w:rPr>
        <w:t xml:space="preserve">(</w:t>
      </w:r>
      <w:r>
        <w:rPr>
          <w:rStyle w:val="VerbatimChar"/>
          <w:iCs/>
          <w:i/>
        </w:rPr>
        <w:t xml:space="preserve">python check_v1_07.py</w:t>
      </w:r>
      <w:r>
        <w:rPr>
          <w:iCs/>
          <w:i/>
        </w:rPr>
        <w:t xml:space="preserve">, LibreOffice recalculation). Every check section and its result:</w:t>
      </w:r>
    </w:p>
    <w:tbl>
      <w:tblPr>
        <w:tblStyle w:val="Table"/>
        <w:tblW w:type="pct" w:w="5000"/>
        <w:tblLook w:firstRow="1" w:lastRow="0" w:firstColumn="0" w:lastColumn="0" w:noHBand="0" w:noVBand="0" w:val="0020"/>
        <w:jc w:val="start"/>
      </w:tblPr>
      <w:tblGrid>
        <w:gridCol w:w="5280"/>
        <w:gridCol w:w="1320"/>
        <w:gridCol w:w="1320"/>
      </w:tblGrid>
      <w:tr>
        <w:trPr>
          <w:tblHeader w:val="true"/>
        </w:trPr>
        <w:tc>
          <w:tcPr/>
          <w:p>
            <w:pPr>
              <w:pStyle w:val="Compact"/>
              <w:jc w:val="left"/>
            </w:pPr>
            <w:r>
              <w:t xml:space="preserve">Check section</w:t>
            </w:r>
          </w:p>
        </w:tc>
        <w:tc>
          <w:tcPr/>
          <w:p>
            <w:pPr>
              <w:pStyle w:val="Compact"/>
              <w:jc w:val="left"/>
            </w:pPr>
            <w:r>
              <w:t xml:space="preserve">Checks OK</w:t>
            </w:r>
          </w:p>
        </w:tc>
        <w:tc>
          <w:tcPr/>
          <w:p>
            <w:pPr>
              <w:pStyle w:val="Compact"/>
              <w:jc w:val="left"/>
            </w:pPr>
            <w:r>
              <w:t xml:space="preserve">Checks failed</w:t>
            </w:r>
          </w:p>
        </w:tc>
      </w:tr>
      <w:tr>
        <w:tc>
          <w:tcPr/>
          <w:p>
            <w:pPr>
              <w:pStyle w:val="Compact"/>
              <w:jc w:val="left"/>
            </w:pPr>
            <w:r>
              <w:t xml:space="preserve">0. Formula length (v1.07: at most 100 characters per cell formula)</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1. Shipped file recalculated in LibreOffice (no LAMBDA support)</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2. Formula uniformity (relative R1C1)</w:t>
            </w:r>
          </w:p>
        </w:tc>
        <w:tc>
          <w:tcPr/>
          <w:p>
            <w:pPr>
              <w:pStyle w:val="Compact"/>
              <w:jc w:val="left"/>
            </w:pPr>
            <w:r>
              <w:t xml:space="preserve">738</w:t>
            </w:r>
          </w:p>
        </w:tc>
        <w:tc>
          <w:tcPr/>
          <w:p>
            <w:pPr>
              <w:pStyle w:val="Compact"/>
              <w:jc w:val="left"/>
            </w:pPr>
            <w:r>
              <w:t xml:space="preserve">0</w:t>
            </w:r>
          </w:p>
        </w:tc>
      </w:tr>
      <w:tr>
        <w:tc>
          <w:tcPr/>
          <w:p>
            <w:pPr>
              <w:pStyle w:val="Compact"/>
              <w:jc w:val="left"/>
            </w:pPr>
            <w:r>
              <w:t xml:space="preserve">3. LAMBDA encoding</w:t>
            </w:r>
          </w:p>
        </w:tc>
        <w:tc>
          <w:tcPr/>
          <w:p>
            <w:pPr>
              <w:pStyle w:val="Compact"/>
              <w:jc w:val="left"/>
            </w:pPr>
            <w:r>
              <w:t xml:space="preserve">85</w:t>
            </w:r>
          </w:p>
        </w:tc>
        <w:tc>
          <w:tcPr/>
          <w:p>
            <w:pPr>
              <w:pStyle w:val="Compact"/>
              <w:jc w:val="left"/>
            </w:pPr>
            <w:r>
              <w:t xml:space="preserve">0</w:t>
            </w:r>
          </w:p>
        </w:tc>
      </w:tr>
      <w:tr>
        <w:tc>
          <w:tcPr/>
          <w:p>
            <w:pPr>
              <w:pStyle w:val="Compact"/>
              <w:jc w:val="left"/>
            </w:pPr>
            <w:r>
              <w:t xml:space="preserve">4. Values vs independent Python recomputation</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4b. Power method = legacy (Python reference with the legacy inputs vs cached legacy rows)</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5. Scenario tests (copied MTInputs column + Mitigation group)</w:t>
            </w:r>
          </w:p>
        </w:tc>
        <w:tc>
          <w:tcPr/>
          <w:p>
            <w:pPr>
              <w:pStyle w:val="Compact"/>
              <w:jc w:val="left"/>
            </w:pPr>
            <w:r>
              <w:t xml:space="preserve">26</w:t>
            </w:r>
          </w:p>
        </w:tc>
        <w:tc>
          <w:tcPr/>
          <w:p>
            <w:pPr>
              <w:pStyle w:val="Compact"/>
              <w:jc w:val="left"/>
            </w:pPr>
            <w:r>
              <w:t xml:space="preserve">0</w:t>
            </w:r>
          </w:p>
        </w:tc>
      </w:tr>
      <w:tr>
        <w:tc>
          <w:tcPr/>
          <w:p>
            <w:pPr>
              <w:pStyle w:val="Compact"/>
              <w:jc w:val="left"/>
            </w:pPr>
            <w:r>
              <w:t xml:space="preserve">5b. ETS goal seek (ets_goalseek_v0_3.py)</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6. Regression vs v1.06 (shared output codes)</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6b. MTOutputs and Charts</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7. Labels and codes</w:t>
            </w:r>
          </w:p>
        </w:tc>
        <w:tc>
          <w:tcPr/>
          <w:p>
            <w:pPr>
              <w:pStyle w:val="Compact"/>
              <w:jc w:val="left"/>
            </w:pPr>
            <w:r>
              <w:t xml:space="preserve">37</w:t>
            </w:r>
          </w:p>
        </w:tc>
        <w:tc>
          <w:tcPr/>
          <w:p>
            <w:pPr>
              <w:pStyle w:val="Compact"/>
              <w:jc w:val="left"/>
            </w:pPr>
            <w:r>
              <w:t xml:space="preserve">0</w:t>
            </w:r>
          </w:p>
        </w:tc>
      </w:tr>
      <w:tr>
        <w:tc>
          <w:tcPr/>
          <w:p>
            <w:pPr>
              <w:pStyle w:val="Compact"/>
              <w:jc w:val="left"/>
            </w:pPr>
            <w:r>
              <w:t xml:space="preserve">8. Row outline</w:t>
            </w:r>
          </w:p>
        </w:tc>
        <w:tc>
          <w:tcPr/>
          <w:p>
            <w:pPr>
              <w:pStyle w:val="Compact"/>
              <w:jc w:val="left"/>
            </w:pPr>
            <w:r>
              <w:t xml:space="preserve">17</w:t>
            </w:r>
          </w:p>
        </w:tc>
        <w:tc>
          <w:tcPr/>
          <w:p>
            <w:pPr>
              <w:pStyle w:val="Compact"/>
              <w:jc w:val="left"/>
            </w:pPr>
            <w:r>
              <w:t xml:space="preserve">0</w:t>
            </w:r>
          </w:p>
        </w:tc>
      </w:tr>
      <w:tr>
        <w:tc>
          <w:tcPr/>
          <w:p>
            <w:pPr>
              <w:pStyle w:val="Compact"/>
              <w:jc w:val="left"/>
            </w:pPr>
            <w:r>
              <w:t xml:space="preserve">9. MTInputs</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10. Format</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11. Sanity and results</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11b. Power sector: properties and results</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11c. Planned retirement switched on (v1.07)</w:t>
            </w:r>
          </w:p>
        </w:tc>
        <w:tc>
          <w:tcPr/>
          <w:p>
            <w:pPr>
              <w:pStyle w:val="Compact"/>
              <w:jc w:val="left"/>
            </w:pPr>
            <w:r>
              <w:t xml:space="preserve">3</w:t>
            </w:r>
          </w:p>
        </w:tc>
        <w:tc>
          <w:tcPr/>
          <w:p>
            <w:pPr>
              <w:pStyle w:val="Compact"/>
              <w:jc w:val="left"/>
            </w:pPr>
            <w:r>
              <w:t xml:space="preserve">0</w:t>
            </w:r>
          </w:p>
        </w:tc>
      </w:tr>
      <w:tr>
        <w:tc>
          <w:tcPr/>
          <w:p>
            <w:pPr>
              <w:pStyle w:val="Compact"/>
              <w:jc w:val="left"/>
            </w:pPr>
            <w:r>
              <w:t xml:space="preserve">11d. Electricity demand memo lines (v1.07)</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12. Scenario definitions, VBA module, stored results, comparison, macro run</w:t>
            </w:r>
          </w:p>
        </w:tc>
        <w:tc>
          <w:tcPr/>
          <w:p>
            <w:pPr>
              <w:pStyle w:val="Compact"/>
              <w:jc w:val="left"/>
            </w:pPr>
            <w:r>
              <w:t xml:space="preserve">17</w:t>
            </w:r>
          </w:p>
        </w:tc>
        <w:tc>
          <w:tcPr/>
          <w:p>
            <w:pPr>
              <w:pStyle w:val="Compact"/>
              <w:jc w:val="left"/>
            </w:pPr>
            <w:r>
              <w:t xml:space="preserve">0</w:t>
            </w:r>
          </w:p>
        </w:tc>
      </w:tr>
      <w:tr>
        <w:tc>
          <w:tcPr/>
          <w:p>
            <w:pPr>
              <w:pStyle w:val="Compact"/>
              <w:jc w:val="left"/>
            </w:pPr>
            <w:r>
              <w:t xml:space="preserve">13. First-run test macro CheckBatchRun (v1.04)</w:t>
            </w:r>
          </w:p>
        </w:tc>
        <w:tc>
          <w:tcPr/>
          <w:p>
            <w:pPr>
              <w:pStyle w:val="Compact"/>
              <w:jc w:val="left"/>
            </w:pPr>
            <w:r>
              <w:t xml:space="preserve">3</w:t>
            </w:r>
          </w:p>
        </w:tc>
        <w:tc>
          <w:tcPr/>
          <w:p>
            <w:pPr>
              <w:pStyle w:val="Compact"/>
              <w:jc w:val="left"/>
            </w:pPr>
            <w:r>
              <w:t xml:space="preserve">1</w:t>
            </w:r>
          </w:p>
        </w:tc>
      </w:tr>
    </w:tbl>
    <w:p>
      <w:pPr>
        <w:pStyle w:val="BodyText"/>
      </w:pPr>
      <w:r>
        <w:rPr>
          <w:bCs/>
          <w:b/>
        </w:rPr>
        <w:t xml:space="preserve">Overall: PASS</w:t>
      </w:r>
    </w:p>
    <w:p>
      <w:pPr>
        <w:pStyle w:val="BodyText"/>
      </w:pPr>
      <w:r>
        <w:t xml:space="preserve">The checks recompute every value independently in Python from the source data; test the formula variants (LAMBDA expanded, plain formula dragged into the LAMBDA column, LAMBDA copied over whole rows); copy scenario groups as a user would; compare with the previous version on every shared output code; and run the embedded VBA macro in LibreOffice against the Python emulation.</w:t>
      </w:r>
    </w:p>
    <w:bookmarkEnd w:id="76"/>
    <w:bookmarkStart w:id="77" w:name="appendix-d.-presentations"/>
    <w:p>
      <w:pPr>
        <w:pStyle w:val="Heading1"/>
      </w:pPr>
      <w:r>
        <w:t xml:space="preserve">Appendix D. Presentations</w:t>
      </w:r>
    </w:p>
    <w:p>
      <w:pPr>
        <w:numPr>
          <w:ilvl w:val="0"/>
          <w:numId w:val="1039"/>
        </w:numPr>
        <w:pStyle w:val="Compact"/>
      </w:pPr>
      <w:r>
        <w:rPr>
          <w:rStyle w:val="VerbatimChar"/>
        </w:rPr>
        <w:t xml:space="preserve">presentation/CPAT-AI-Mitigation-MVP_Overview_v1.0.pptx</w:t>
      </w:r>
      <w:r>
        <w:t xml:space="preserve">: 7-slide pitch and user guide (v1.00).</w:t>
      </w:r>
    </w:p>
    <w:p>
      <w:pPr>
        <w:numPr>
          <w:ilvl w:val="0"/>
          <w:numId w:val="1039"/>
        </w:numPr>
        <w:pStyle w:val="Compact"/>
      </w:pPr>
      <w:r>
        <w:rPr>
          <w:rStyle w:val="VerbatimChar"/>
        </w:rPr>
        <w:t xml:space="preserve">presentation/CPAT-AI-Mitigation-MVP_AdvancedFeatures_v1.1.pptx</w:t>
      </w:r>
      <w:r>
        <w:t xml:space="preserve">: 4 slides on v1.01-v1.04 (cap-based ETS, multiple scenarios with the batch macro, stored results and comparison).</w:t>
      </w:r>
    </w:p>
    <w:bookmarkEnd w:id="77"/>
    <w:bookmarkStart w:id="78" w:name="Xb2c8dd6acd4943c977bef36c1b71339cdc74bfb"/>
    <w:p>
      <w:pPr>
        <w:pStyle w:val="Heading1"/>
      </w:pPr>
      <w:r>
        <w:t xml:space="preserve">Appendix E. Bugs found in the legacy power model</w:t>
      </w:r>
    </w:p>
    <w:p>
      <w:pPr>
        <w:pStyle w:val="FirstParagraph"/>
      </w:pPr>
      <w:r>
        <w:t xml:space="preserve">The engineer power model matches legacy except for ten bugs, which are fixed. They are described with their effects in the separate report</w:t>
      </w:r>
      <w:r>
        <w:t xml:space="preserve"> </w:t>
      </w:r>
      <w:r>
        <w:rPr>
          <w:rStyle w:val="VerbatimChar"/>
        </w:rPr>
        <w:t xml:space="preserve">PowerModel_BugsAndImprovements_v1_0.docx</w:t>
      </w:r>
      <w:r>
        <w:t xml:space="preserve"> </w:t>
      </w:r>
      <w:r>
        <w:t xml:space="preserve">(built by</w:t>
      </w:r>
      <w:r>
        <w:t xml:space="preserve"> </w:t>
      </w:r>
      <w:r>
        <w:rPr>
          <w:rStyle w:val="VerbatimChar"/>
        </w:rPr>
        <w:t xml:space="preserve">make_bugs_doc_v1_0.py</w:t>
      </w:r>
      <w:r>
        <w:t xml:space="preserve">); sheet LegacyDiff lists them in one row.</w:t>
      </w:r>
    </w:p>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CPAT-AI-Mitigation-MVP v1.07: documentation</dc:title>
  <dc:creator/>
  <cp:keywords/>
  <dcterms:created xsi:type="dcterms:W3CDTF">2026-10-11T13:04:06Z</dcterms:created>
  <dcterms:modified xsi:type="dcterms:W3CDTF">2026-10-11T13:04:06Z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2026-10-09</vt:lpwstr>
  </property>
  <property fmtid="{D5CDD505-2E9C-101B-9397-08002B2CF9AE}" pid="3" name="subtitle">
    <vt:lpwstr>AI-generated, copy-pasteable replacement of the CPAT mitigation module (Egypt data)</vt:lpwstr>
  </property>
</Properties>
</file>