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0"/>
          <w:szCs w:val="40"/>
        </w:rPr>
        <w:t xml:space="preserve">CPAT-AI-Mitigation-MVP: bugs, known issues and potential upgrades</w:t>
      </w:r>
    </w:p>
    <w:p>
      <w:pPr>
        <w:spacing w:after="240"/>
      </w:pPr>
      <w:r>
        <w:rPr>
          <w:rFonts w:ascii="Arial" w:cs="Arial" w:eastAsia="Arial" w:hAnsi="Arial"/>
          <w:i w:val="false"/>
          <w:iCs w:val="false"/>
          <w:color w:val="595959"/>
          <w:sz w:val="22"/>
          <w:szCs w:val="22"/>
        </w:rPr>
        <w:t xml:space="preserve">Register for version 2.3 (workbook CPAT-AI-Mitigation-MVP-v2.3.xlsm), Egypt data. 12 October 2026.</w:t>
      </w:r>
    </w:p>
    <w:p>
      <w:pPr>
        <w:pStyle w:val="Heading1"/>
        <w:spacing w:after="120" w:before="360"/>
      </w:pPr>
      <w:r>
        <w:rPr>
          <w:rFonts w:ascii="Arial" w:cs="Arial" w:eastAsia="Arial" w:hAnsi="Arial"/>
          <w:b/>
          <w:bCs/>
          <w:color w:val="1F3864"/>
          <w:sz w:val="30"/>
          <w:szCs w:val="30"/>
        </w:rPr>
        <w:t xml:space="preserve">1. Summary</w:t>
      </w:r>
    </w:p>
    <w:p>
      <w:pPr>
        <w:spacing w:after="120"/>
      </w:pPr>
      <w:r>
        <w:rPr>
          <w:rFonts w:ascii="Arial" w:cs="Arial" w:eastAsia="Arial" w:hAnsi="Arial"/>
          <w:i w:val="false"/>
          <w:iCs w:val="false"/>
          <w:sz w:val="21"/>
          <w:szCs w:val="21"/>
        </w:rPr>
        <w:t xml:space="preserve">One list of everything that is wrong, simplified or missing, so that a reviewer can see the state of the model in one place. Every item has an ID that the other documents use. The register is kept in issues_register_v2_3.py and the workbook sheet LegacyDiff; the check script tests that both 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1104"/>
        <w:gridCol w:w="903"/>
        <w:gridCol w:w="5021"/>
      </w:tblGrid>
      <w:tr>
        <w:trPr>
          <w:tblHeader/>
        </w:trPr>
        <w:tc>
          <w:tcPr>
            <w:tcW w:type="dxa" w:w="261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w:t>
            </w:r>
          </w:p>
        </w:tc>
        <w:tc>
          <w:tcPr>
            <w:tcW w:type="dxa" w:w="110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IDs</w:t>
            </w:r>
          </w:p>
        </w:tc>
        <w:tc>
          <w:tcPr>
            <w:tcW w:type="dxa" w:w="903"/>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Items</w:t>
            </w:r>
          </w:p>
        </w:tc>
        <w:tc>
          <w:tcPr>
            <w:tcW w:type="dxa" w:w="502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lists</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2. Bugs in legacy CPAT</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L</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16</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Defects of the legacy workbook found while rebuilding it; fixed in the MVP unless stated</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3. Bugs found and fixed in the MVP</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M</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11</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Defects of earlier MVP versions, all fixed</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4. Known issues</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I</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14</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What a user of v2.3 should know</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5. Simplifications and not yet modelled</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LD</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16</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LegacyDiff rows of type Not yet, Simplification or To check (row number = ID)</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6. Potential upgrades</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U</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14</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4 high, 6 medium, 4 low priority</w:t>
            </w:r>
          </w:p>
        </w:tc>
      </w:tr>
    </w:tbl>
    <w:p>
      <w:pPr>
        <w:spacing w:after="120"/>
      </w:pPr>
    </w:p>
    <w:p>
      <w:pPr>
        <w:pStyle w:val="ListParagraph"/>
        <w:numPr>
          <w:ilvl w:val="0"/>
          <w:numId w:val="2"/>
        </w:numPr>
        <w:spacing w:after="60"/>
      </w:pPr>
      <w:r>
        <w:rPr>
          <w:rFonts w:ascii="Arial" w:cs="Arial" w:eastAsia="Arial" w:hAnsi="Arial"/>
          <w:b/>
          <w:bCs/>
          <w:sz w:val="21"/>
          <w:szCs w:val="21"/>
        </w:rPr>
        <w:t xml:space="preserve">Legacy power model:</w:t>
      </w:r>
      <w:r>
        <w:rPr>
          <w:rFonts w:ascii="Arial" w:cs="Arial" w:eastAsia="Arial" w:hAnsi="Arial"/>
          <w:i w:val="false"/>
          <w:iCs w:val="false"/>
          <w:sz w:val="21"/>
          <w:szCs w:val="21"/>
        </w:rPr>
        <w:t xml:space="preserve"> 10 bugs (L1-L10). 5 change the Egypt results today; with all fixes Egypt's generation in 2040 is </w:t>
      </w:r>
      <w:r>
        <w:rPr>
          <w:rFonts w:ascii="Arial" w:cs="Arial" w:eastAsia="Arial" w:hAnsi="Arial"/>
          <w:b/>
          <w:bCs/>
          <w:sz w:val="21"/>
          <w:szCs w:val="21"/>
        </w:rPr>
        <w:t xml:space="preserve">+12.6%</w:t>
      </w:r>
      <w:r>
        <w:rPr>
          <w:rFonts w:ascii="Arial" w:cs="Arial" w:eastAsia="Arial" w:hAnsi="Arial"/>
          <w:i w:val="false"/>
          <w:iCs w:val="false"/>
          <w:sz w:val="21"/>
          <w:szCs w:val="21"/>
        </w:rPr>
        <w:t xml:space="preserve"> higher than legacy and power CO2 </w:t>
      </w:r>
      <w:r>
        <w:rPr>
          <w:rFonts w:ascii="Arial" w:cs="Arial" w:eastAsia="Arial" w:hAnsi="Arial"/>
          <w:b/>
          <w:bCs/>
          <w:sz w:val="21"/>
          <w:szCs w:val="21"/>
        </w:rPr>
        <w:t xml:space="preserve">+10.8%</w:t>
      </w:r>
      <w:r>
        <w:rPr>
          <w:rFonts w:ascii="Arial" w:cs="Arial" w:eastAsia="Arial" w:hAnsi="Arial"/>
          <w:i w:val="false"/>
          <w:iCs w:val="false"/>
          <w:sz w:val="21"/>
          <w:szCs w:val="21"/>
        </w:rPr>
        <w:t xml:space="preserve"> higher.</w:t>
      </w:r>
    </w:p>
    <w:p>
      <w:pPr>
        <w:pStyle w:val="ListParagraph"/>
        <w:numPr>
          <w:ilvl w:val="0"/>
          <w:numId w:val="2"/>
        </w:numPr>
        <w:spacing w:after="60"/>
      </w:pPr>
      <w:r>
        <w:rPr>
          <w:rFonts w:ascii="Arial" w:cs="Arial" w:eastAsia="Arial" w:hAnsi="Arial"/>
          <w:b/>
          <w:bCs/>
          <w:sz w:val="21"/>
          <w:szCs w:val="21"/>
        </w:rPr>
        <w:t xml:space="preserve">Nothing open is a known error in v2.3.</w:t>
      </w:r>
      <w:r>
        <w:rPr>
          <w:rFonts w:ascii="Arial" w:cs="Arial" w:eastAsia="Arial" w:hAnsi="Arial"/>
          <w:i w:val="false"/>
          <w:iCs w:val="false"/>
          <w:sz w:val="21"/>
          <w:szCs w:val="21"/>
        </w:rPr>
        <w:t xml:space="preserve"> The known issues are decisions to take (I4), checks still to run (I1, U1, U2) or simplifications that do not matter for Egypt (I7).</w:t>
      </w:r>
    </w:p>
    <w:p>
      <w:pPr>
        <w:pStyle w:val="ListParagraph"/>
        <w:numPr>
          <w:ilvl w:val="0"/>
          <w:numId w:val="2"/>
        </w:numPr>
        <w:spacing w:after="60"/>
      </w:pPr>
      <w:r>
        <w:rPr>
          <w:rFonts w:ascii="Arial" w:cs="Arial" w:eastAsia="Arial" w:hAnsi="Arial"/>
          <w:b/>
          <w:bCs/>
          <w:sz w:val="21"/>
          <w:szCs w:val="21"/>
        </w:rPr>
        <w:t xml:space="preserve">Priorities:</w:t>
      </w:r>
      <w:r>
        <w:rPr>
          <w:rFonts w:ascii="Arial" w:cs="Arial" w:eastAsia="Arial" w:hAnsi="Arial"/>
          <w:i w:val="false"/>
          <w:iCs w:val="false"/>
          <w:sz w:val="21"/>
          <w:szCs w:val="21"/>
        </w:rPr>
        <w:t xml:space="preserve"> review in Excel (U1), compare with legacy for Egypt (U2), decide the price basis of demand (U3), report the legacy bugs (U4).</w:t>
      </w:r>
    </w:p>
    <w:p>
      <w:pPr>
        <w:pStyle w:val="Heading1"/>
        <w:spacing w:after="120" w:before="360"/>
      </w:pPr>
      <w:r>
        <w:rPr>
          <w:rFonts w:ascii="Arial" w:cs="Arial" w:eastAsia="Arial" w:hAnsi="Arial"/>
          <w:b/>
          <w:bCs/>
          <w:color w:val="1F3864"/>
          <w:sz w:val="30"/>
          <w:szCs w:val="30"/>
        </w:rPr>
        <w:t xml:space="preserve">2. Bugs in legacy CPAT</w:t>
      </w:r>
    </w:p>
    <w:p>
      <w:pPr>
        <w:spacing w:after="120"/>
      </w:pPr>
      <w:r>
        <w:rPr>
          <w:rFonts w:ascii="Arial" w:cs="Arial" w:eastAsia="Arial" w:hAnsi="Arial"/>
          <w:i w:val="false"/>
          <w:iCs w:val="false"/>
          <w:sz w:val="21"/>
          <w:szCs w:val="21"/>
        </w:rPr>
        <w:t xml:space="preserve">Found by reading every formula of the legacy workbook (CPAT 1.0pre_456_NoPropData.xlsb) and replicating it in Python. L1-L10 are in the engineer power model: a Python reference (power_model_ref_v2_3.py) reproduces 208 legacy rows of the baseline and the carbon-tax run to 1e-13 with these bugs switched on; each bug is a switch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417"/>
        <w:gridCol w:w="1907"/>
        <w:gridCol w:w="2712"/>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4417"/>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Bug</w:t>
            </w:r>
          </w:p>
        </w:tc>
        <w:tc>
          <w:tcPr>
            <w:tcW w:type="dxa" w:w="1907"/>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Where (legacy)</w:t>
            </w:r>
          </w:p>
        </w:tc>
        <w:tc>
          <w:tcPr>
            <w:tcW w:type="dxa" w:w="271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Egypt effect / status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Services electricity demand grows with the industrial multiple after 2023</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H3, row 3731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L2</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Autonomous efficiency gains use the efficiency elasticity instead of the usage elasticity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H1, rows 3691, 3697, 3703, 3709</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L3</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Income factor on the GDP elasticity applied twice and anchored to 2023</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H1, rows 3692-3710</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L4</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Long-term storage cost allocation (33%) applied twice</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J1, rows 3911 and 3912</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L5</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spending uses the capital cost at time factor 1</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L20, rows 4276-4284</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spending (reporting)</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L6</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logit normalised by the cheapest type, including types that may not be built</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L1/L4, rows 4046, 4073-4081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carbon-tax run</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L7</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Early coal retirement mixes nameplate and effective capacity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K4, row 3973</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L8</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Effective coal retirement is not capped like the nameplate retirement</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K5/K6, rows 3994, 4009-4011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L9</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Feebate rebate per kWh consumed is added to the cost per kWh generated</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D6, rows 3407-3409</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L10</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needed is computed from last year's plan, not from actual capacity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K7, row 4024</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L11</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Stray reference in dispatch</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rows 3773, 3779 (I1)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Harmless while the cell is empty; not built in the MVP.</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L12</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Total nameplate investment row is zero</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row 4273 (L19)</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Reporting only; the MVP sums.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L13</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oil products: hardcoded pass-through 1 and margin 0</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price block (other oil products)</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Changed in the MVP (v0.10, user decision): pass-through and margin from the IMF dataset like the other oil products (LegacyDiff).</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L14</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Pass-through applied twice in the first projected year</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txo rows (cs)</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Kept as legacy (PriceProjection_Method_v2_3.md A10); no effect for Egypt (pass-through 0 or 1).</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L15</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ETS: hardcoded relative price 1.1</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row 1843</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Replaced in the MVP by the volatility adjustment (v1.02); suggested to the legacy team (TODO).</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L16</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ETS quick estimate linear in the semi-elasticity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row 1868</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MVP uses the log form LN(cap / baseline) / (semi-elasticity x effectiveness x volatility adjustment) (v1.02).</w:t>
            </w:r>
          </w:p>
        </w:tc>
      </w:tr>
    </w:tbl>
    <w:p>
      <w:pPr>
        <w:spacing w:after="120"/>
      </w:pPr>
    </w:p>
    <w:p>
      <w:pPr>
        <w:pStyle w:val="Heading2"/>
        <w:spacing w:after="80" w:before="240"/>
      </w:pPr>
      <w:r>
        <w:rPr>
          <w:rFonts w:ascii="Arial" w:cs="Arial" w:eastAsia="Arial" w:hAnsi="Arial"/>
          <w:b/>
          <w:bCs/>
          <w:color w:val="2F5496"/>
          <w:sz w:val="24"/>
          <w:szCs w:val="24"/>
        </w:rPr>
        <w:t xml:space="preserve">L1. Services electricity demand grows with the industrial multiple after 2023</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H3, row 3731.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2023 formula multiplies services demand by the services multiple (row 3713); from 2024 the copied formula points six rows up, to the industrial multiple (row 3707). Services have a higher GDP elasticity (1.1 against 0.8) and a different price elasticity.</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services multiple in every year, as in 2023 and as the label of row 3713 says.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Services are about a quarter of Egypt's electricity demand, so this is the largest single effect.</w:t>
      </w:r>
    </w:p>
    <w:p>
      <w:pPr>
        <w:pStyle w:val="Heading2"/>
        <w:spacing w:after="80" w:before="240"/>
      </w:pPr>
      <w:r>
        <w:rPr>
          <w:rFonts w:ascii="Arial" w:cs="Arial" w:eastAsia="Arial" w:hAnsi="Arial"/>
          <w:b/>
          <w:bCs/>
          <w:color w:val="2F5496"/>
          <w:sz w:val="24"/>
          <w:szCs w:val="24"/>
        </w:rPr>
        <w:t xml:space="preserve">L2. Autonomous efficiency gains use the efficiency elasticity instead of the usage elasticity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H1, rows 3691, 3697, 3703, 3709.</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Efficiency multiple = 1 / (1 + alpha)^(1 + eps_F), with eps_F the "Price Elasticity" row 3677.</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Documentation equation (3.4.2.3) and the fuel equation use (1 + eps_U): 1 / (1 + alpha)^(1 + eps_U), with eps_U the usage ("Demand Elasticity") row 3676.</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Efficiency gains reduce demand slightly too much every year.</w:t>
      </w:r>
    </w:p>
    <w:p>
      <w:pPr>
        <w:pStyle w:val="Heading2"/>
        <w:spacing w:after="80" w:before="240"/>
      </w:pPr>
      <w:r>
        <w:rPr>
          <w:rFonts w:ascii="Arial" w:cs="Arial" w:eastAsia="Arial" w:hAnsi="Arial"/>
          <w:b/>
          <w:bCs/>
          <w:color w:val="2F5496"/>
          <w:sz w:val="24"/>
          <w:szCs w:val="24"/>
        </w:rPr>
        <w:t xml:space="preserve">L3. Income factor on the GDP elasticity applied twice and anchored to 2023</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H1, rows 3692-3710.</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GDP term = (1 + g)^((eps_Y / $M3686) x M3686 x M2433). Row 3686 already holds the average elasticity x the income factor (row 2433), and $M fixes the denominator to 2023, so the effective elasticity is eps_Y x inc(t)^2 / inc(2023).</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eps_Y x inc(t): the income factor once, in the year of the calculation.</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The income factor falls from 1.03 to 0.95 by 2040, so the error grows over time.</w:t>
      </w:r>
    </w:p>
    <w:p>
      <w:pPr>
        <w:pStyle w:val="Heading2"/>
        <w:spacing w:after="80" w:before="240"/>
      </w:pPr>
      <w:r>
        <w:rPr>
          <w:rFonts w:ascii="Arial" w:cs="Arial" w:eastAsia="Arial" w:hAnsi="Arial"/>
          <w:b/>
          <w:bCs/>
          <w:color w:val="2F5496"/>
          <w:sz w:val="24"/>
          <w:szCs w:val="24"/>
        </w:rPr>
        <w:t xml:space="preserve">L4. Long-term storage cost allocation (33%) applied twice</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J1, rows 3911 and 3912.</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Row 3911 multiplies the long-term storage cost by the allocation share; row 3912 multiplies it again.</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Apply the 33% allocation once.</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No effect for Egypt (variable renewables stay below the 75% threshold); it matters for high-renewable scenarios.</w:t>
      </w:r>
    </w:p>
    <w:p>
      <w:pPr>
        <w:pStyle w:val="Heading2"/>
        <w:spacing w:after="80" w:before="240"/>
      </w:pPr>
      <w:r>
        <w:rPr>
          <w:rFonts w:ascii="Arial" w:cs="Arial" w:eastAsia="Arial" w:hAnsi="Arial"/>
          <w:b/>
          <w:bCs/>
          <w:color w:val="2F5496"/>
          <w:sz w:val="24"/>
          <w:szCs w:val="24"/>
        </w:rPr>
        <w:t xml:space="preserve">L5. Investment spending uses the capital cost at time factor 1</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L20, rows 4276-4284.</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New investment (USD m) = nameplate MW x the capital cost column O of table A2, which is the cost before the capital-cost time factor.</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capital cost of the year (table A13), as the levelised and amortised costs do.</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Investment spending on solar is overstated by up to 80% (2040, time factor 0.55), wind by up to 9%; it is reporting only (the investment decision uses the right cost).</w:t>
      </w:r>
    </w:p>
    <w:p>
      <w:pPr>
        <w:pStyle w:val="Heading2"/>
        <w:spacing w:after="80" w:before="240"/>
      </w:pPr>
      <w:r>
        <w:rPr>
          <w:rFonts w:ascii="Arial" w:cs="Arial" w:eastAsia="Arial" w:hAnsi="Arial"/>
          <w:b/>
          <w:bCs/>
          <w:color w:val="2F5496"/>
          <w:sz w:val="24"/>
          <w:szCs w:val="24"/>
        </w:rPr>
        <w:t xml:space="preserve">L6. Investment logit normalised by the cheapest type, including types that may not be built</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L1/L4, rows 4046, 4073-4081.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logit weight is EXP(-K x cost / cheapest cost), and the cheapest cost is taken over all nine types, including types whose new investment is not permitted (coal, nuclear, other renewables, biomass for Egypt).</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Normalise by the cheapest permitted type, so that a type that cannot be built does not change the shares of those that can.</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No effect in the Egypt baseline; in the carbon-tax run nuclear (not permitted) is the cheapest type from 2024, which makes the investment logit steeper.</w:t>
      </w:r>
    </w:p>
    <w:p>
      <w:pPr>
        <w:pStyle w:val="Heading2"/>
        <w:spacing w:after="80" w:before="240"/>
      </w:pPr>
      <w:r>
        <w:rPr>
          <w:rFonts w:ascii="Arial" w:cs="Arial" w:eastAsia="Arial" w:hAnsi="Arial"/>
          <w:b/>
          <w:bCs/>
          <w:color w:val="2F5496"/>
          <w:sz w:val="24"/>
          <w:szCs w:val="24"/>
        </w:rPr>
        <w:t xml:space="preserve">L7. Early coal retirement mixes nameplate and effective capacity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K4, row 3973.</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room for early coal retirement subtracts last year's non-coal retirements in nameplate MW from additions and demand growth in effective MW.</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Subtract effective retirements.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(no coal). Too little early coal retirement where solar (low capacity factor) retires.</w:t>
      </w:r>
    </w:p>
    <w:p>
      <w:pPr>
        <w:pStyle w:val="Heading2"/>
        <w:spacing w:after="80" w:before="240"/>
      </w:pPr>
      <w:r>
        <w:rPr>
          <w:rFonts w:ascii="Arial" w:cs="Arial" w:eastAsia="Arial" w:hAnsi="Arial"/>
          <w:b/>
          <w:bCs/>
          <w:color w:val="2F5496"/>
          <w:sz w:val="24"/>
          <w:szCs w:val="24"/>
        </w:rPr>
        <w:t xml:space="preserve">L8. Effective coal retirement is not capped like the nameplate retirement</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K5/K6, rows 3994, 4009-4011.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Nameplate coal retirement is MIN(planned + early, capacity); the effective retirement uses planned + early without the cap.</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Effective retirement = nameplate retirement x capacity factor.</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Where early retirement is large, capacity needed is overstated.</w:t>
      </w:r>
    </w:p>
    <w:p>
      <w:pPr>
        <w:pStyle w:val="Heading2"/>
        <w:spacing w:after="80" w:before="240"/>
      </w:pPr>
      <w:r>
        <w:rPr>
          <w:rFonts w:ascii="Arial" w:cs="Arial" w:eastAsia="Arial" w:hAnsi="Arial"/>
          <w:b/>
          <w:bCs/>
          <w:color w:val="2F5496"/>
          <w:sz w:val="24"/>
          <w:szCs w:val="24"/>
        </w:rPr>
        <w:t xml:space="preserve">L9. Feebate rebate per kWh consumed is added to the cost per kWh generated</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D6, rows 3407-3409.</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rebate is the average feebate per kWh generated divided by consumption/generation (x 1.22), and is then added to the cost per kWh generated of every type.</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Rebate per kWh generated, so the feebate is revenue-neutral at base-year shares.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(no power feebate in the runs). Over-rebates by 22% when a power feebate is set.</w:t>
      </w:r>
    </w:p>
    <w:p>
      <w:pPr>
        <w:pStyle w:val="Heading2"/>
        <w:spacing w:after="80" w:before="240"/>
      </w:pPr>
      <w:r>
        <w:rPr>
          <w:rFonts w:ascii="Arial" w:cs="Arial" w:eastAsia="Arial" w:hAnsi="Arial"/>
          <w:b/>
          <w:bCs/>
          <w:color w:val="2F5496"/>
          <w:sz w:val="24"/>
          <w:szCs w:val="24"/>
        </w:rPr>
        <w:t xml:space="preserve">L10. Capacity needed is computed from last year's plan, not from actual capacity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K7, row 4024.</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Effective capacity before retirements = last year's planned capacity (capacity after retirements + investment needed), whether or not the investment could be placed.</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actual effective capacity of the year (capacity x capacity factor).</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it only matters when scale-up limits leave a deficit; then the model under-invests next year too.</w:t>
      </w:r>
    </w:p>
    <w:p>
      <w:pPr>
        <w:pStyle w:val="Heading2"/>
        <w:spacing w:after="80" w:before="240"/>
      </w:pPr>
      <w:r>
        <w:rPr>
          <w:rFonts w:ascii="Arial" w:cs="Arial" w:eastAsia="Arial" w:hAnsi="Arial"/>
          <w:b/>
          <w:bCs/>
          <w:color w:val="2F5496"/>
          <w:sz w:val="24"/>
          <w:szCs w:val="24"/>
        </w:rPr>
        <w:t xml:space="preserve">Effect of each power fix (legacy Egypt inputs)</w:t>
      </w:r>
    </w:p>
    <w:p>
      <w:pPr>
        <w:spacing w:after="120"/>
      </w:pPr>
      <w:r>
        <w:rPr>
          <w:rFonts w:ascii="Arial" w:cs="Arial" w:eastAsia="Arial" w:hAnsi="Arial"/>
          <w:i w:val="false"/>
          <w:iCs w:val="false"/>
          <w:sz w:val="21"/>
          <w:szCs w:val="21"/>
        </w:rPr>
        <w:t xml:space="preserve">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0"/>
        <w:gridCol w:w="1291"/>
        <w:gridCol w:w="1291"/>
        <w:gridCol w:w="1291"/>
        <w:gridCol w:w="1490"/>
        <w:gridCol w:w="1490"/>
        <w:gridCol w:w="1295"/>
      </w:tblGrid>
      <w:tr>
        <w:trPr>
          <w:tblHeader/>
        </w:trPr>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Fix</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Generation 2030</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Generation 2040</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Power CO2 2040</w:t>
            </w:r>
          </w:p>
        </w:tc>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Gas share 2040 (carbon tax)</w:t>
            </w:r>
          </w:p>
        </w:tc>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VRE share 2040 (carbon tax)</w:t>
            </w:r>
          </w:p>
        </w:tc>
        <w:tc>
          <w:tcPr>
            <w:tcW w:type="dxa" w:w="129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Investment USD</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L1 Services demand</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+3.5%</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+7.7%</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+6.6%</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-0.6%</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+1.2%</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L2 Efficiency exponent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+0.4%</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+0.9%</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+0.8%</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-0.3%</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+0.5%</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L3 Income factor</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+0.8%</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+3.2%</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+2.7%</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+1.8%</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+4.6%</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L4 LT storage allocation</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L5 Investment spending</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L6 Investment logit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+0.1%</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-1.4%</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L7 Early-retirement units</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L8 Coal effective retirement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L9 Feebate rebate</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L10 Capacity check</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b/>
                <w:bCs/>
                <w:sz w:val="18"/>
                <w:szCs w:val="18"/>
              </w:rPr>
              <w:t xml:space="preserve">All fixes together</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+4.8%</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+12.6%</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+10.8%</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-1.7%</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+1.7%</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+4.7%</w:t>
            </w:r>
          </w:p>
        </w:tc>
      </w:tr>
    </w:tbl>
    <w:p>
      <w:pPr>
        <w:spacing w:after="120"/>
      </w:pPr>
    </w:p>
    <w:p>
      <w:pPr>
        <w:spacing w:after="120"/>
      </w:pPr>
      <w:r>
        <w:rPr>
          <w:rFonts w:ascii="Arial" w:cs="Arial" w:eastAsia="Arial" w:hAnsi="Arial"/>
          <w:i/>
          <w:iCs/>
          <w:color w:val="595959"/>
          <w:sz w:val="18"/>
          <w:szCs w:val="18"/>
        </w:rPr>
        <w:t xml:space="preserve">Effects do not add up exactly, because the fixes interact (more demand also means more investment).</w:t>
      </w:r>
    </w:p>
    <w:p>
      <w:pPr>
        <w:pStyle w:val="Heading2"/>
        <w:spacing w:after="80" w:before="240"/>
      </w:pPr>
      <w:r>
        <w:rPr>
          <w:rFonts w:ascii="Arial" w:cs="Arial" w:eastAsia="Arial" w:hAnsi="Arial"/>
          <w:b/>
          <w:bCs/>
          <w:color w:val="2F5496"/>
          <w:sz w:val="24"/>
          <w:szCs w:val="24"/>
        </w:rPr>
        <w:t xml:space="preserve">Other legacy defects (L11-L16)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309"/>
        <w:gridCol w:w="3714"/>
        <w:gridCol w:w="3013"/>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30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Defect</w:t>
            </w:r>
          </w:p>
        </w:tc>
        <w:tc>
          <w:tcPr>
            <w:tcW w:type="dxa" w:w="371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legacy does</w:t>
            </w:r>
          </w:p>
        </w:tc>
        <w:tc>
          <w:tcPr>
            <w:tcW w:type="dxa" w:w="3013"/>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Status in the MVP</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L11</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Stray reference in dispatch</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Required generation from coal and gas is MAX(required - other generation, $G4291 x total); G4291 is an unrelated, empty cell of table L21.</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Harmless while the cell is empty; not built in the MVP.</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L12</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Total nameplate investment row is zero</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total multiplies by $X3008, an empty cell, instead of summing the types.</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Reporting only; the MVP sums.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L13</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oil products: hardcoded pass-through 1 and margin 0</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With the hardcodes the retail price of other oil products falls with the oil price to the 0.01 floor and their fuel use rises tenfold by 2030 (Egypt).</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Changed in the MVP (v0.10, user decision): pass-through and margin from the IMF dataset like the other oil products (LegacyDiff).</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L14</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Pass-through applied twice in the first projected year</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With pass-through 0.5 or 0.8 the floating tax multiplies its last value by (1 - pass-through) a second time, so taxes jump in the first projected year.</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Kept as legacy (PriceProjection_Method_v2_3.md A10); no effect for Egypt (pass-through 0 or 1).</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L15</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ETS: hardcoded relative price 1.1</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ETS price effectiveness uses a fixed 1.1 instead of the volatility inputs of the ETS+LTS table.</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Replaced in the MVP by the volatility adjustment (v1.02); suggested to the legacy team (TODO).</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L16</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ETS quick estimate linear in the semi-elasticity</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fast estimate divides the reduction by the semi-elasticity (linear); the legacy note says "arguably exp/ln".</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MVP uses the log form LN(cap / baseline) / (semi-elasticity x effectiveness x volatility adjustment) (v1.02).</w:t>
            </w:r>
          </w:p>
        </w:tc>
      </w:tr>
    </w:tbl>
    <w:p>
      <w:pPr>
        <w:spacing w:after="120"/>
      </w:pPr>
    </w:p>
    <w:p>
      <w:pPr>
        <w:pStyle w:val="Heading1"/>
        <w:spacing w:after="120" w:before="360"/>
      </w:pPr>
      <w:r>
        <w:rPr>
          <w:rFonts w:ascii="Arial" w:cs="Arial" w:eastAsia="Arial" w:hAnsi="Arial"/>
          <w:b/>
          <w:bCs/>
          <w:color w:val="1F3864"/>
          <w:sz w:val="30"/>
          <w:szCs w:val="30"/>
        </w:rPr>
        <w:t xml:space="preserve">3. Bugs found and fixed in the MVP</w:t>
      </w:r>
    </w:p>
    <w:p>
      <w:pPr>
        <w:spacing w:after="120"/>
      </w:pPr>
      <w:r>
        <w:rPr>
          <w:rFonts w:ascii="Arial" w:cs="Arial" w:eastAsia="Arial" w:hAnsi="Arial"/>
          <w:i w:val="false"/>
          <w:iCs w:val="false"/>
          <w:sz w:val="21"/>
          <w:szCs w:val="21"/>
        </w:rPr>
        <w:t xml:space="preserve">Defects of the MVP itself, found by the checks or by review, with the version that introduced and fixed them. None is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2007"/>
        <w:gridCol w:w="1204"/>
        <w:gridCol w:w="3212"/>
        <w:gridCol w:w="2714"/>
      </w:tblGrid>
      <w:tr>
        <w:trPr>
          <w:tblHeader/>
        </w:trPr>
        <w:tc>
          <w:tcPr>
            <w:tcW w:type="dxa" w:w="50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007"/>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Bug</w:t>
            </w:r>
          </w:p>
        </w:tc>
        <w:tc>
          <w:tcPr>
            <w:tcW w:type="dxa" w:w="120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Found / fixed</w:t>
            </w:r>
          </w:p>
        </w:tc>
        <w:tc>
          <w:tcPr>
            <w:tcW w:type="dxa" w:w="321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happened</w:t>
            </w:r>
          </w:p>
        </w:tc>
        <w:tc>
          <w:tcPr>
            <w:tcW w:type="dxa" w:w="271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Fix</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M1</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Version-log rows rewritten with the current version</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v0.3-v0.4 / v0.5</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builders wrote earlier version-log rows with the current version number.</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Each row has its own version; old workbooks left as shipped.</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M2</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VAT left out on the policy term</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v1.05 / v1.06</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end-user price added the policy cost without VAT; legacy row 3614 charges VAT.</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VAT on the policy term as legacy (no effect for Egypt, VAT 0).</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M3</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long-term storage allocation left out</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v1.05 / v1.06</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legacy note "incomplete" was read as "not applied".</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33% allocation is applied once.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M4</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VRE share without other renewables</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v1.05 / v1.06</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row 3851 also counts other renewables.</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Follows legacy (other renewables 0 for Egypt).</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M5</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Defined name clashed with a LAMBDA name</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v1.07 build / v1.07</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defined name ETSSemi equals the LAMBDA ETSSEMI ignoring case and gave #NAME?; the ETS goal seek stopped converging.</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Renamed SemiEl; the builder asserts that no defined name equals a LAMBDA name.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M6</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ETS revenue valued at the tax-equivalent price</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v1.05 / v1.09</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new-policy revenue (ccpav x consumption) valued the ETS at the tax-equivalent price, about 10% high at Medium volatility.</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Revenue by generation type (prnew) with the ETS at the permit price; rcarb kept as a memo.</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M7</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Stale texts in the workbook and notes</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v1.08 / v1.09</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Section 12 and 13 notes said power was not included; PowerPaths said interim data; data sheets named old extractors; method notes described earlier versions.</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Texts updated; the check now scans the workbook texts for stale statements and missing file references.</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M8</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LegacyDiff rows out of date</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v1.09 / v2.2</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carbon pricing was still listed as "Not modelled"; the formula-structure row described the LAMBDA right column of v1.07.</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Rows updated; the check scans for these phrases.</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M9</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comparison note from v1.01</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v1.02-v1.09 / v2.2</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legacy_comparison described the v1.01 baseline and its script wrote a different file name.</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Re-run on v2.2 (legacy_comparison_v2_3.md).</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M10</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Total rows labelled "All subsectors"</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v1.09 / v2.3</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Since v1.09 the totals (fuel use, CO2, revenues) include power, but the label of the sector code all still said "All subsectors".</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Label "All sectors".</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M11</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Macros read 19 year columns</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v2.3 build / v2.3</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VBA module had the number of years (NYEARS = 19, 2022-2040) as a constant; with the horizon to 2041 the batch run and CheckBatchRun would have stored and compared one year too few (found by the check).</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NYEARS = 20; the builder now asserts that it equals the number of model years.</w:t>
            </w:r>
          </w:p>
        </w:tc>
      </w:tr>
    </w:tbl>
    <w:p>
      <w:pPr>
        <w:spacing w:after="120"/>
      </w:pPr>
    </w:p>
    <w:p>
      <w:pPr>
        <w:pStyle w:val="Heading1"/>
        <w:spacing w:after="120" w:before="360"/>
      </w:pPr>
      <w:r>
        <w:rPr>
          <w:rFonts w:ascii="Arial" w:cs="Arial" w:eastAsia="Arial" w:hAnsi="Arial"/>
          <w:b/>
          <w:bCs/>
          <w:color w:val="1F3864"/>
          <w:sz w:val="30"/>
          <w:szCs w:val="30"/>
        </w:rPr>
        <w:t xml:space="preserve">4. Known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2208"/>
        <w:gridCol w:w="5019"/>
        <w:gridCol w:w="1910"/>
      </w:tblGrid>
      <w:tr>
        <w:trPr>
          <w:tblHeader/>
        </w:trPr>
        <w:tc>
          <w:tcPr>
            <w:tcW w:type="dxa" w:w="50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208"/>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Issue</w:t>
            </w:r>
          </w:p>
        </w:tc>
        <w:tc>
          <w:tcPr>
            <w:tcW w:type="dxa" w:w="501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means</w:t>
            </w:r>
          </w:p>
        </w:tc>
        <w:tc>
          <w:tcPr>
            <w:tcW w:type="dxa" w:w="191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Documented in</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 run in Excel</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The workbook and its VBA project were generated and tested without Excel (LibreOffice). Open it, enable macros and run CheckBatchRun once; if Excel rejects the VBA project, import CPATScenarios_v2_3.bas.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TODO; Scenarios_Method_v2_3.md</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I2</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Excel versions</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2022-2040 need Excel 2019 or later (MINIFS, AGGREGATE); the last year 2041 is the LAMBDA year and needs Excel 365.</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README; NORMS (LAMBDA year)</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I3</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New sector | fuel pairs need a label</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A new pair on Mitigation needs a row in the member-label table on Mapping, or its description shows #N/A (20 spare rows in the defined name).</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CAVEATS v1.08</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I4</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Fuel and power demand respond to real USD prices</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The corrected Egypt prices fall sharply in USD after the devaluation, so fuel use and electricity demand jump in 2023 (power +22%). Open decision: price vintage and last historical year, or demand on real local-currency prices.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TODO; legacy_comparison_v2_3.md; LegacyDiff</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I5</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Totals include power since v1.09</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Fuel use and revenue totals of v1.09 and later include power and are not comparable with v1.08 and earlier outputs.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CAVEATS v1.09</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I6</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Electricity subsidy gap is signed</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Negative when the tariff is above the modelled supply cost; fuel subsidies count positive parts only.</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PowerPrices_Method_v2_3.md 3.9</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I7</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carbon pricing simplified</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One ETS per country, single carbon tax rate, coverage of the last data year, existing ETS revenue at the full permit price, existing and new ETS add up. None of it matters for Egypt (no existing pricing).</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PriceProjection_Method_v2_3.md 5b; LegacyDiff</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I8</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is built for this year's demand</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design kept: capacity built in a year serves this year's demand and is available next year, so gas runs harder. Recommended: next year's demand (U9).</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PowerModel_Method_v2_3.md</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I9</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The LAMBDA year 2041 needs LAMBDA support</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Every calculated cell of 2041 calls its named LAMBDA. Without LAMBDA support (Excel before 365, LibreOffice) 2041 shows errors, and so does its column in MTOutputs.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ReadMe (LAMBDAs, year 2041); NORMS</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I10</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Without LAMBDA support the power model looks ahead without 2041</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The levelised variable cost (D9) uses last year's cost for 2041 (tvcx), and the moving average of fuel prices for power leaves 2041 out of 2039-2040. Power results 2022-2040 then differ slightly from Excel 365 (the check reports the size); stored results are the Excel 365 values.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check report section 1; PowerModel_Method_v2_3.md</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I11</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Changing the last historical price year</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Prices have separate history and projection blocks; changing Settings C10 needs the blocks re-dragged (or the LAMBDA of the row, sheet Lambdas, copied left over the row).</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README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I12</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Values after 2030</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a legacy target; the legacy CPI is held flat after 2031.</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LegacyDiff</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I13</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Egypt data only for energy use, GDP and EFs</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Elasticities, prices and existing carbon pricing cover all CPAT countries; energy use, GDP growth and emission factors are Egypt only.</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README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I14</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Distance to the legacy cached baseline</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The MVP baseline differs from the cached legacy run, mainly through the price vintage (I4) and the fixed legacy bugs.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legacy_comparison_v2_3.md</w:t>
            </w:r>
          </w:p>
        </w:tc>
      </w:tr>
    </w:tbl>
    <w:p>
      <w:pPr>
        <w:spacing w:after="120"/>
      </w:pPr>
    </w:p>
    <w:p>
      <w:pPr>
        <w:pStyle w:val="Heading1"/>
        <w:spacing w:after="120" w:before="360"/>
      </w:pPr>
      <w:r>
        <w:rPr>
          <w:rFonts w:ascii="Arial" w:cs="Arial" w:eastAsia="Arial" w:hAnsi="Arial"/>
          <w:b/>
          <w:bCs/>
          <w:color w:val="1F3864"/>
          <w:sz w:val="30"/>
          <w:szCs w:val="30"/>
        </w:rPr>
        <w:t xml:space="preserve">5. Simplifications and not yet modelled (from LegacyDiff)</w:t>
      </w:r>
    </w:p>
    <w:p>
      <w:pPr>
        <w:spacing w:after="120"/>
      </w:pPr>
      <w:r>
        <w:rPr>
          <w:rFonts w:ascii="Arial" w:cs="Arial" w:eastAsia="Arial" w:hAnsi="Arial"/>
          <w:i w:val="false"/>
          <w:iCs w:val="false"/>
          <w:sz w:val="21"/>
          <w:szCs w:val="21"/>
        </w:rPr>
        <w:t xml:space="preserve">The workbook sheet LegacyDiff lists every difference with legacy CPAT. These are the rows of type Not yet, Simplification and To check; the ID is the LegacyDiff row number. The other rows are decisions, data choices or equal to legacy.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1505"/>
        <w:gridCol w:w="2108"/>
        <w:gridCol w:w="2509"/>
        <w:gridCol w:w="1505"/>
        <w:gridCol w:w="1259"/>
      </w:tblGrid>
      <w:tr>
        <w:trPr>
          <w:tblHeader/>
        </w:trPr>
        <w:tc>
          <w:tcPr>
            <w:tcW w:type="dxa" w:w="75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150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Area</w:t>
            </w:r>
          </w:p>
        </w:tc>
        <w:tc>
          <w:tcPr>
            <w:tcW w:type="dxa" w:w="2108"/>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Legacy CPAT</w:t>
            </w:r>
          </w:p>
        </w:tc>
        <w:tc>
          <w:tcPr>
            <w:tcW w:type="dxa" w:w="250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This model</w:t>
            </w:r>
          </w:p>
        </w:tc>
        <w:tc>
          <w:tcPr>
            <w:tcW w:type="dxa" w:w="150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c>
          <w:tcPr>
            <w:tcW w:type="dxa" w:w="125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LD5</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Oil-product share in the VAT of transport fuels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VAT rate x oil-product share</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Share = 1</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for Egypt today</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LD9</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Sectoral shadow prices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Feebates + non-auctioned ETS + regulations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Feebates + regulations (placeholder 0) + OBR part of the ETS</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Regulation scenarios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LD14</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Margins and production costs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cpat_coded applies no inflation conversion</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x CPI index of the base year</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Coal and gas supply cost level</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To check (bucket 5)</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LD15</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taxes and subsidies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txo = fixed tax (fadtx) + fixed subsidy (fixs) + floating part (cs)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Split by the sign of txo: etx = max(txo, 0), esub = max(-txo, 0)</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Presentation only</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LD16</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Subsidy and price-control phase-outs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MTInputs 123-138, 191-195</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 (phase-out factors 1)</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Reform scenarios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LD17</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Producer subsidies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In the supply cost</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Left out</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countries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LD18</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Ad-valorem baseline taxes; Europe LNG shift</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Per Prices_int assumptions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Fixed taxes only; no shift</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countries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LD19</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Fuel-use equation</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Includes Covid factor and additional policy efficiency gains (MTInputs 242-245)</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CPAT eq. 3.3.3 without them</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Small</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LD25</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demand: road electricity</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From the road module (EV electricity)</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Grows with the transport multiple (legacy fallback)</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for Egypt (0)</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LD26</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features not built</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PPAs, manual capacity and investment, power demand from the elasticity model, carbon price on power use (feebates), apply final deficit to gas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built (all off or 0 in the Egypt runs)</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for Egypt</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LD28</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generation costs (v1.05)</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Tables B3-B8 (amortised), C1-C7 (levelised), A5-A6 discount factors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One row per type for amortised and for levelised fixed cost; discounted lifetime in closed form; constants derived in Inputs_power</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(method test: legacy rows reproduced to 1e-15)</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LD30</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end-user prices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Supply cost + producer subsidy + other tax + over/under-estimate residual (held at the last historical year), then VAT</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Telescoped: price(t) = price(t-1) + pass-through x change in supply cost x (1 + VAT) after the last historical year</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(same numbers)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LD32</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coal implicit cost</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D3 (calibrated on the coal share)</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built (D6 shadow price and rebate built in v1.06)</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countries with coal</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LD34</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Emissions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All GHGs and local pollutants; inventory-adjusted EFs; power and process emissions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CO2 from fuel combustion only, IIASA EFs without inventory adjustment; power from v1.06; no process emissions</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Emission levels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LD35</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Revenue structure</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Revenue by instrument incl. electricity, producer subsidies, ETS allowances, GDP feedback</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Three separate calculations per subsector and fuel: existing taxes (txo positive part + VAT), existing consumer subsidies, new policies (carbon tax, excise, auctioned ETS, VAT on them); power (v1.09): fuel taxes and subsidies on generation, electricity VAT, electricity subsidy gap (signed: negative when the price is above cost), new policies; no producer subsidies, no GDP feedback</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Revenue levels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LD36</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carbon pricing</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ECP data by country (national and regional ETS blocks, carbon tax with fuel-specific rates), coverage by year; ctx and ets inside txo; free allocation and revenue data</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One ETS per country (national, else regional EU ETS); carbon tax single rate; coverage of the last data year; only the change against the level in the price data enters prices and revenue (the IMF data contain the level); existing ETS revenue at full price; existing and new ETS add up where both cover a sector</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for Egypt (no existing pricing)</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bl>
    <w:p>
      <w:pPr>
        <w:spacing w:after="120"/>
      </w:pPr>
    </w:p>
    <w:p>
      <w:pPr>
        <w:pStyle w:val="Heading1"/>
        <w:spacing w:after="120" w:before="360"/>
      </w:pPr>
      <w:r>
        <w:rPr>
          <w:rFonts w:ascii="Arial" w:cs="Arial" w:eastAsia="Arial" w:hAnsi="Arial"/>
          <w:b/>
          <w:bCs/>
          <w:color w:val="1F3864"/>
          <w:sz w:val="30"/>
          <w:szCs w:val="30"/>
        </w:rPr>
        <w:t xml:space="preserve">6. Potential upgrades</w:t>
      </w:r>
    </w:p>
    <w:p>
      <w:pPr>
        <w:pStyle w:val="Heading2"/>
        <w:spacing w:after="80" w:before="240"/>
      </w:pPr>
      <w:r>
        <w:rPr>
          <w:rFonts w:ascii="Arial" w:cs="Arial" w:eastAsia="Arial" w:hAnsi="Arial"/>
          <w:b/>
          <w:bCs/>
          <w:color w:val="2F5496"/>
          <w:sz w:val="24"/>
          <w:szCs w:val="24"/>
        </w:rPr>
        <w:t xml:space="preserve">High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811"/>
        <w:gridCol w:w="6225"/>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81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Upgrade</w:t>
            </w:r>
          </w:p>
        </w:tc>
        <w:tc>
          <w:tcPr>
            <w:tcW w:type="dxa" w:w="622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and why</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Review in Excel</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Run CheckBatchRun, the batch run and ScenarioCompare in Excel; confirm the ten power bug fixes (L1-L10).</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U2</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Numerical check against legacy CPAT for Egypt</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Bucket 5: explain the distance to the legacy run (I14) sector by sector.</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U3</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Decide the price vintage and the demand price basis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Last historical price year, or demand on real local-currency prices (I4).</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U4</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Report the legacy bugs to the CPAT team</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L1-L16 with their effects; L15 suggested by the user.</w:t>
            </w:r>
          </w:p>
        </w:tc>
      </w:tr>
    </w:tbl>
    <w:p>
      <w:pPr>
        <w:spacing w:after="120"/>
      </w:pPr>
    </w:p>
    <w:p>
      <w:pPr>
        <w:pStyle w:val="Heading2"/>
        <w:spacing w:after="80" w:before="240"/>
      </w:pPr>
      <w:r>
        <w:rPr>
          <w:rFonts w:ascii="Arial" w:cs="Arial" w:eastAsia="Arial" w:hAnsi="Arial"/>
          <w:b/>
          <w:bCs/>
          <w:color w:val="2F5496"/>
          <w:sz w:val="24"/>
          <w:szCs w:val="24"/>
        </w:rPr>
        <w:t xml:space="preserve">Medium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811"/>
        <w:gridCol w:w="6225"/>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81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Upgrade</w:t>
            </w:r>
          </w:p>
        </w:tc>
        <w:tc>
          <w:tcPr>
            <w:tcW w:type="dxa" w:w="622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and why</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U5</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Copy-paste stress test</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Add a fuel, a subsector and a scenario by dragging; fix what breaks.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U6</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gases, local pollutants and process emissions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CH4, N2O, local pollutants, inventory-adjusted EFs.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U7</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Regulations as shadow prices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Fill the regulation rows (placeholder 0) and their efficiency-margin adjustments (MTInputs 247-250).</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U8</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Subsidy and price-control phase-outs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Use esubpu (existing subsidy per price unit) as a per-fuel policy input (MTInputs 123-138, 191-195).</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U9</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for next year's demand</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Use next year's demand in the capacity plan (I8); computable without a circular reference.</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U10</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Data for more countries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Energy balances, GDP and EFs beyond Egypt (I13).</w:t>
            </w:r>
          </w:p>
        </w:tc>
      </w:tr>
    </w:tbl>
    <w:p>
      <w:pPr>
        <w:spacing w:after="120"/>
      </w:pPr>
    </w:p>
    <w:p>
      <w:pPr>
        <w:pStyle w:val="Heading2"/>
        <w:spacing w:after="80" w:before="240"/>
      </w:pPr>
      <w:r>
        <w:rPr>
          <w:rFonts w:ascii="Arial" w:cs="Arial" w:eastAsia="Arial" w:hAnsi="Arial"/>
          <w:b/>
          <w:bCs/>
          <w:color w:val="2F5496"/>
          <w:sz w:val="24"/>
          <w:szCs w:val="24"/>
        </w:rPr>
        <w:t xml:space="preserve">Low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811"/>
        <w:gridCol w:w="6225"/>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81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Upgrade</w:t>
            </w:r>
          </w:p>
        </w:tc>
        <w:tc>
          <w:tcPr>
            <w:tcW w:type="dxa" w:w="622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and why</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U11</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carbon pricing in full</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Two ETS blocks (national and regional), fuel-specific carbon tax rates, free allocation, coverage by year (I7).</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U12</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Partial-adjustment fuel-use model</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Parked by the user (2026-10-09).</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U13</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Planned retirement data for Egypt</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Enter PowerPaths pret|&lt;type&gt; where plans exist.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U14</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Python port</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The check script already recomputes every value in Python.</w:t>
            </w:r>
          </w:p>
        </w:tc>
      </w:tr>
    </w:tbl>
    <w:p>
      <w:pPr>
        <w:spacing w:after="120"/>
      </w:pPr>
    </w:p>
    <w:p>
      <w:pPr>
        <w:pStyle w:val="Heading1"/>
        <w:spacing w:after="120" w:before="360"/>
      </w:pPr>
      <w:r>
        <w:rPr>
          <w:rFonts w:ascii="Arial" w:cs="Arial" w:eastAsia="Arial" w:hAnsi="Arial"/>
          <w:b/>
          <w:bCs/>
          <w:color w:val="1F3864"/>
          <w:sz w:val="30"/>
          <w:szCs w:val="30"/>
        </w:rPr>
        <w:t xml:space="preserve">7. Improvements already made in the MVP</w:t>
      </w:r>
    </w:p>
    <w:p>
      <w:pPr>
        <w:pStyle w:val="ListParagraph"/>
        <w:numPr>
          <w:ilvl w:val="0"/>
          <w:numId w:val="2"/>
        </w:numPr>
        <w:spacing w:after="60"/>
      </w:pPr>
      <w:r>
        <w:rPr>
          <w:rFonts w:ascii="Arial" w:cs="Arial" w:eastAsia="Arial" w:hAnsi="Arial"/>
          <w:i w:val="false"/>
          <w:iCs w:val="false"/>
          <w:sz w:val="21"/>
          <w:szCs w:val="21"/>
        </w:rPr>
        <w:t xml:space="preserve">One plain formula per block for 2022-2040, at most 100 characters, no LAMBDA support needed; the last year 2041 calls the named LAMBDA of every calculated row (sheet Lambdas lists them).</w:t>
      </w:r>
    </w:p>
    <w:p>
      <w:pPr>
        <w:pStyle w:val="ListParagraph"/>
        <w:numPr>
          <w:ilvl w:val="0"/>
          <w:numId w:val="2"/>
        </w:numPr>
        <w:spacing w:after="60"/>
      </w:pPr>
      <w:r>
        <w:rPr>
          <w:rFonts w:ascii="Arial" w:cs="Arial" w:eastAsia="Arial" w:hAnsi="Arial"/>
          <w:i w:val="false"/>
          <w:iCs w:val="false"/>
          <w:sz w:val="21"/>
          <w:szCs w:val="21"/>
        </w:rPr>
        <w:t xml:space="preserve">Fuel prices for power and the levelised-cost window as legacy (moving average, horizon 2041).</w:t>
      </w:r>
    </w:p>
    <w:p>
      <w:pPr>
        <w:pStyle w:val="ListParagraph"/>
        <w:numPr>
          <w:ilvl w:val="0"/>
          <w:numId w:val="2"/>
        </w:numPr>
        <w:spacing w:after="60"/>
      </w:pPr>
      <w:r>
        <w:rPr>
          <w:rFonts w:ascii="Arial" w:cs="Arial" w:eastAsia="Arial" w:hAnsi="Arial"/>
          <w:i w:val="false"/>
          <w:iCs w:val="false"/>
          <w:sz w:val="21"/>
          <w:szCs w:val="21"/>
        </w:rPr>
        <w:t xml:space="preserve">The second investment round (legacy tables L11-L17, about 60 rows) is one row: permit x MAX(0, MIN(space, deficit - space of cheaper types)); coal and gas dispatch (legacy I2, 19 rows) is five rows.</w:t>
      </w:r>
    </w:p>
    <w:p>
      <w:pPr>
        <w:pStyle w:val="ListParagraph"/>
        <w:numPr>
          <w:ilvl w:val="0"/>
          <w:numId w:val="2"/>
        </w:numPr>
        <w:spacing w:after="60"/>
      </w:pPr>
      <w:r>
        <w:rPr>
          <w:rFonts w:ascii="Arial" w:cs="Arial" w:eastAsia="Arial" w:hAnsi="Arial"/>
          <w:i w:val="false"/>
          <w:iCs w:val="false"/>
          <w:sz w:val="21"/>
          <w:szCs w:val="21"/>
        </w:rPr>
        <w:t xml:space="preserve">Amortised and levelised fixed costs are one row per type each, with constants derived once in Inputs_power.</w:t>
      </w:r>
    </w:p>
    <w:p>
      <w:pPr>
        <w:pStyle w:val="ListParagraph"/>
        <w:numPr>
          <w:ilvl w:val="0"/>
          <w:numId w:val="2"/>
        </w:numPr>
        <w:spacing w:after="60"/>
      </w:pPr>
      <w:r>
        <w:rPr>
          <w:rFonts w:ascii="Arial" w:cs="Arial" w:eastAsia="Arial" w:hAnsi="Arial"/>
          <w:i w:val="false"/>
          <w:iCs w:val="false"/>
          <w:sz w:val="21"/>
          <w:szCs w:val="21"/>
        </w:rPr>
        <w:t xml:space="preserve">Electricity prices are telescoped, so components held at their last historical value drop out.</w:t>
      </w:r>
    </w:p>
    <w:p>
      <w:pPr>
        <w:pStyle w:val="ListParagraph"/>
        <w:numPr>
          <w:ilvl w:val="0"/>
          <w:numId w:val="2"/>
        </w:numPr>
        <w:spacing w:after="60"/>
      </w:pPr>
      <w:r>
        <w:rPr>
          <w:rFonts w:ascii="Arial" w:cs="Arial" w:eastAsia="Arial" w:hAnsi="Arial"/>
          <w:i w:val="false"/>
          <w:iCs w:val="false"/>
          <w:sz w:val="21"/>
          <w:szCs w:val="21"/>
        </w:rPr>
        <w:t xml:space="preserve">Power is part of the main thread: fuel use, revenues and CO2 enter the totals, and a new ETS that covers power sees power emissions.</w:t>
      </w:r>
    </w:p>
    <w:p>
      <w:pPr>
        <w:pStyle w:val="ListParagraph"/>
        <w:numPr>
          <w:ilvl w:val="0"/>
          <w:numId w:val="2"/>
        </w:numPr>
        <w:spacing w:after="60"/>
      </w:pPr>
      <w:r>
        <w:rPr>
          <w:rFonts w:ascii="Arial" w:cs="Arial" w:eastAsia="Arial" w:hAnsi="Arial"/>
          <w:i w:val="false"/>
          <w:iCs w:val="false"/>
          <w:sz w:val="21"/>
          <w:szCs w:val="21"/>
        </w:rPr>
        <w:t xml:space="preserve">Every number is checked: a Python reference reproduces 208 legacy rows of the baseline and the carbon-tax run to 1e-13 with the bugs switched on, and the workbook equals the reference with the bugs fixed.</w:t>
      </w:r>
    </w:p>
    <w:p>
      <w:pPr>
        <w:pStyle w:val="Heading1"/>
        <w:spacing w:after="120" w:before="360"/>
      </w:pPr>
      <w:r>
        <w:rPr>
          <w:rFonts w:ascii="Arial" w:cs="Arial" w:eastAsia="Arial" w:hAnsi="Arial"/>
          <w:b/>
          <w:bCs/>
          <w:color w:val="1F3864"/>
          <w:sz w:val="30"/>
          <w:szCs w:val="30"/>
        </w:rPr>
        <w:t xml:space="preserve">8. Sources and how this register is kept consistent</w:t>
      </w:r>
    </w:p>
    <w:p>
      <w:pPr>
        <w:pStyle w:val="ListParagraph"/>
        <w:numPr>
          <w:ilvl w:val="0"/>
          <w:numId w:val="2"/>
        </w:numPr>
        <w:spacing w:after="60"/>
      </w:pPr>
      <w:r>
        <w:rPr>
          <w:rFonts w:ascii="Arial" w:cs="Arial" w:eastAsia="Arial" w:hAnsi="Arial"/>
          <w:i w:val="false"/>
          <w:iCs w:val="false"/>
          <w:sz w:val="21"/>
          <w:szCs w:val="21"/>
        </w:rPr>
        <w:t xml:space="preserve">issues_register_v2_3.py: the register (L, M, I, U items); LegacyDiff rows are read from build_v2_3.py.</w:t>
      </w:r>
    </w:p>
    <w:p>
      <w:pPr>
        <w:pStyle w:val="ListParagraph"/>
        <w:numPr>
          <w:ilvl w:val="0"/>
          <w:numId w:val="2"/>
        </w:numPr>
        <w:spacing w:after="60"/>
      </w:pPr>
      <w:r>
        <w:rPr>
          <w:rFonts w:ascii="Arial" w:cs="Arial" w:eastAsia="Arial" w:hAnsi="Arial"/>
          <w:i w:val="false"/>
          <w:iCs w:val="false"/>
          <w:sz w:val="21"/>
          <w:szCs w:val="21"/>
        </w:rPr>
        <w:t xml:space="preserve">check_v2_3.py (report check_report_v2.3.md): IDs unique, every LegacyDiff row of these types included, workbook texts free of stale statements, file references valid.</w:t>
      </w:r>
    </w:p>
    <w:p>
      <w:pPr>
        <w:pStyle w:val="ListParagraph"/>
        <w:numPr>
          <w:ilvl w:val="0"/>
          <w:numId w:val="2"/>
        </w:numPr>
        <w:spacing w:after="60"/>
      </w:pPr>
      <w:r>
        <w:rPr>
          <w:rFonts w:ascii="Arial" w:cs="Arial" w:eastAsia="Arial" w:hAnsi="Arial"/>
          <w:i w:val="false"/>
          <w:iCs w:val="false"/>
          <w:sz w:val="21"/>
          <w:szCs w:val="21"/>
        </w:rPr>
        <w:t xml:space="preserve">CAVEATS.md (repository root): the caveats of each task; TODO.md: open decisions.</w:t>
      </w:r>
    </w:p>
    <w:p>
      <w:pPr>
        <w:pStyle w:val="ListParagraph"/>
        <w:numPr>
          <w:ilvl w:val="0"/>
          <w:numId w:val="2"/>
        </w:numPr>
        <w:spacing w:after="60"/>
      </w:pPr>
      <w:r>
        <w:rPr>
          <w:rFonts w:ascii="Arial" w:cs="Arial" w:eastAsia="Arial" w:hAnsi="Arial"/>
          <w:i w:val="false"/>
          <w:iCs w:val="false"/>
          <w:sz w:val="21"/>
          <w:szCs w:val="21"/>
        </w:rPr>
        <w:t xml:space="preserve">CPAT-AI-Mitigation-MVP_Documentation_v2.3.docx: method and quick start; its appendix summarises this register by ID.</w:t>
      </w:r>
    </w:p>
    <w:p>
      <w:pPr>
        <w:pStyle w:val="ListParagraph"/>
        <w:numPr>
          <w:ilvl w:val="0"/>
          <w:numId w:val="2"/>
        </w:numPr>
        <w:spacing w:after="60"/>
      </w:pPr>
      <w:r>
        <w:rPr>
          <w:rFonts w:ascii="Arial" w:cs="Arial" w:eastAsia="Arial" w:hAnsi="Arial"/>
          <w:i w:val="false"/>
          <w:iCs w:val="false"/>
          <w:sz w:val="21"/>
          <w:szCs w:val="21"/>
        </w:rPr>
        <w:t xml:space="preserve">make_issues_doc_v2_3.py builds this document (power-fix effects computed when it runs).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CPAT-AI-Mitigation-MVP v2.3 - bugs, issues and upgrades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bugs, known issues and potential upgrades</dc:title>
  <dc:creator>CPAT-AI</dc:creator>
  <cp:lastModifiedBy>Un-named</cp:lastModifiedBy>
  <cp:revision>1</cp:revision>
  <dcterms:created xsi:type="dcterms:W3CDTF">2026-10-12T13:23:46.173Z</dcterms:created>
  <dcterms:modified xsi:type="dcterms:W3CDTF">2026-10-12T13:23:46.180Z</dcterms:modified>
</cp:coreProperties>
</file>

<file path=docProps/custom.xml><?xml version="1.0" encoding="utf-8"?>
<Properties xmlns="http://schemas.openxmlformats.org/officeDocument/2006/custom-properties" xmlns:vt="http://schemas.openxmlformats.org/officeDocument/2006/docPropsVTypes"/>
</file>