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GIMF-lite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User</w:t>
      </w:r>
      <w:r>
        <w:t xml:space="preserve"> </w:t>
      </w:r>
      <w:r>
        <w:t xml:space="preserve">guide</w:t>
      </w:r>
      <w:r>
        <w:t xml:space="preserve"> </w:t>
      </w:r>
      <w:r>
        <w:t xml:space="preserve">1</w:t>
      </w:r>
      <w:r>
        <w:t xml:space="preserve"> </w:t>
      </w:r>
      <w:r>
        <w:t xml:space="preserve">of</w:t>
      </w:r>
      <w:r>
        <w:t xml:space="preserve"> </w:t>
      </w:r>
      <w:r>
        <w:t xml:space="preserve">3</w:t>
      </w:r>
      <w:r>
        <w:t xml:space="preserve"> </w:t>
      </w:r>
      <w:r>
        <w:t xml:space="preserve">·</w:t>
      </w:r>
      <w:r>
        <w:t xml:space="preserve"> </w:t>
      </w:r>
      <w:r>
        <w:t xml:space="preserve">MacroFiscalModels</w:t>
      </w:r>
      <w:r>
        <w:t xml:space="preserve"> </w:t>
      </w:r>
      <w:r>
        <w:t xml:space="preserve">v0.1</w:t>
      </w:r>
    </w:p>
    <w:bookmarkStart w:id="20" w:name="what-it-is"/>
    <w:p>
      <w:pPr>
        <w:pStyle w:val="Heading1"/>
      </w:pPr>
      <w:r>
        <w:t xml:space="preserve">What it is</w:t>
      </w:r>
    </w:p>
    <w:p>
      <w:pPr>
        <w:pStyle w:val="FirstParagraph"/>
      </w:pPr>
      <w:r>
        <w:t xml:space="preserve">GIMF-lite is a one-country, annual simplification of the IMF’s Global Integrated Monetary and Fiscal Model (Kumhof, Laxton, Muir and Mursula 2010). It is built to show what a large investment programme does to the economy and the budget, and why the financing choice matters.</w:t>
      </w:r>
    </w:p>
    <w:p>
      <w:pPr>
        <w:pStyle w:val="BodyText"/>
      </w:pPr>
      <w:r>
        <w:t xml:space="preserve">Its key feature is that</w:t>
      </w:r>
      <w:r>
        <w:t xml:space="preserve"> </w:t>
      </w:r>
      <w:r>
        <w:rPr>
          <w:bCs/>
          <w:b/>
        </w:rPr>
        <w:t xml:space="preserve">households are not Ricardian</w:t>
      </w:r>
      <w:r>
        <w:t xml:space="preserve">: most plan over a finite horizon (about 20 years) and expect their labour income to decline, so they treat government debt partly as wealth; a quarter are liquidity-constrained and spend their current income. Prices and wages are sticky, the central bank follows a Taylor rule, and the real exchange rate and current account adjust.</w:t>
      </w:r>
    </w:p>
    <w:p>
      <w:pPr>
        <w:pStyle w:val="BodyText"/>
      </w:pPr>
      <w:r>
        <w:rPr>
          <w:bCs/>
          <w:b/>
        </w:rPr>
        <w:t xml:space="preserve">Use it for:</w:t>
      </w:r>
      <w:r>
        <w:t xml:space="preserve"> </w:t>
      </w:r>
      <w:r>
        <w:t xml:space="preserve">the growth, consumption, inflation, exchange-rate and debt effects of a public and private investment push; comparing debt and tax financing; testing how much depends on energy savings or on investment efficiency.</w:t>
      </w:r>
    </w:p>
    <w:p>
      <w:pPr>
        <w:pStyle w:val="BodyText"/>
      </w:pPr>
      <w:r>
        <w:rPr>
          <w:bCs/>
          <w:b/>
        </w:rPr>
        <w:t xml:space="preserve">Do not use it for:</w:t>
      </w:r>
      <w:r>
        <w:t xml:space="preserve"> </w:t>
      </w:r>
      <w:r>
        <w:t xml:space="preserve">short-term forecasting, commodity-price shocks, spillovers between countries, or carbon pricing (use CPAT).</w:t>
      </w:r>
    </w:p>
    <w:bookmarkEnd w:id="20"/>
    <w:bookmarkStart w:id="21" w:name="running-it"/>
    <w:p>
      <w:pPr>
        <w:pStyle w:val="Heading1"/>
      </w:pPr>
      <w:r>
        <w:t xml:space="preserve">Running it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nmim_bridge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programme, run_gimf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gimf_lite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Params, solve</w:t>
      </w:r>
      <w:r>
        <w:br/>
      </w:r>
      <w:r>
        <w:br/>
      </w:r>
      <w:r>
        <w:rPr>
          <w:rStyle w:val="CommentTok"/>
        </w:rPr>
        <w:t xml:space="preserve"># with the NMIM programme</w:t>
      </w:r>
      <w:r>
        <w:br/>
      </w:r>
      <w:r>
        <w:rPr>
          <w:rStyle w:val="NormalTok"/>
        </w:rPr>
        <w:t xml:space="preserve">out, ss0, ssT,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run_gimf(programme(</w:t>
      </w:r>
      <w:r>
        <w:rPr>
          <w:rStyle w:val="StringTok"/>
        </w:rPr>
        <w:t xml:space="preserve">"KEN"</w:t>
      </w:r>
      <w:r>
        <w:rPr>
          <w:rStyle w:val="NormalTok"/>
        </w:rPr>
        <w:t xml:space="preserve">), Params())</w:t>
      </w:r>
      <w:r>
        <w:br/>
      </w:r>
      <w:r>
        <w:br/>
      </w:r>
      <w:r>
        <w:rPr>
          <w:rStyle w:val="CommentTok"/>
        </w:rPr>
        <w:t xml:space="preserve"># with your own paths (% of GDP, one value per year from 2025; the last value is held)</w:t>
      </w:r>
      <w:r>
        <w:br/>
      </w:r>
      <w:r>
        <w:rPr>
          <w:rStyle w:val="NormalTok"/>
        </w:rPr>
        <w:t xml:space="preserve">out, ss0, ssT,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solve(Params(), ig_extra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sav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run_gimf</w:t>
      </w:r>
      <w:r>
        <w:t xml:space="preserve"> </w:t>
      </w:r>
      <w:r>
        <w:t xml:space="preserve">takes switches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savings</w:t>
      </w:r>
      <w:r>
        <w:t xml:space="preserve"> </w:t>
      </w:r>
      <w:r>
        <w:t xml:space="preserve">(all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by default) to switch each part of the programme off. By default (</w:t>
      </w:r>
      <w:r>
        <w:rPr>
          <w:rStyle w:val="VerbatimChar"/>
        </w:rPr>
        <w:t xml:space="preserve">split=True</w:t>
      </w:r>
      <w:r>
        <w:t xml:space="preserve">) the budget need’s non-capital part (non-CO2, land use, other energy CO2) goes in as spending (</w:t>
      </w:r>
      <w:r>
        <w:rPr>
          <w:rStyle w:val="VerbatimChar"/>
        </w:rPr>
        <w:t xml:space="preserve">g_extra</w:t>
      </w:r>
      <w:r>
        <w:t xml:space="preserve">), not public capital;</w:t>
      </w:r>
      <w:r>
        <w:t xml:space="preserve"> </w:t>
      </w:r>
      <w:r>
        <w:rPr>
          <w:rStyle w:val="VerbatimChar"/>
        </w:rPr>
        <w:t xml:space="preserve">rev=</w:t>
      </w:r>
      <w:r>
        <w:t xml:space="preserve"> </w:t>
      </w:r>
      <w:r>
        <w:t xml:space="preserve">takes an earmarked revenue path such as</w:t>
      </w:r>
      <w:r>
        <w:t xml:space="preserve"> </w:t>
      </w:r>
      <w:r>
        <w:rPr>
          <w:rStyle w:val="VerbatimChar"/>
        </w:rPr>
        <w:t xml:space="preserve">pricing_bridge.pricing_revenue(prog)[0]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solve</w:t>
      </w:r>
      <w:r>
        <w:t xml:space="preserve"> </w:t>
      </w:r>
      <w:r>
        <w:t xml:space="preserve">also takes</w:t>
      </w:r>
      <w:r>
        <w:t xml:space="preserve"> </w:t>
      </w:r>
      <w:r>
        <w:rPr>
          <w:rStyle w:val="VerbatimChar"/>
        </w:rPr>
        <w:t xml:space="preserve">g_extra</w:t>
      </w:r>
      <w:r>
        <w:t xml:space="preserve"> </w:t>
      </w:r>
      <w:r>
        <w:t xml:space="preserve">(public spending that builds no capital) and</w:t>
      </w:r>
      <w:r>
        <w:t xml:space="preserve"> </w:t>
      </w:r>
      <w:r>
        <w:rPr>
          <w:rStyle w:val="VerbatimChar"/>
        </w:rPr>
        <w:t xml:space="preserve">rev_extra</w:t>
      </w:r>
      <w:r>
        <w:t xml:space="preserve"> </w:t>
      </w:r>
      <w:r>
        <w:t xml:space="preserve">(revenue earmarked for the programme), both % of GDP by year.</w:t>
      </w:r>
    </w:p>
    <w:bookmarkEnd w:id="21"/>
    <w:bookmarkStart w:id="27" w:name="parameters"/>
    <w:p>
      <w:pPr>
        <w:pStyle w:val="Heading1"/>
      </w:pPr>
      <w:r>
        <w:t xml:space="preserve">Parameters</w:t>
      </w:r>
    </w:p>
    <w:p>
      <w:pPr>
        <w:pStyle w:val="FirstParagraph"/>
      </w:pPr>
      <w:r>
        <w:t xml:space="preserve">Change them with</w:t>
      </w:r>
      <w:r>
        <w:t xml:space="preserve"> </w:t>
      </w:r>
      <w:r>
        <w:rPr>
          <w:rStyle w:val="VerbatimChar"/>
        </w:rPr>
        <w:t xml:space="preserve">dataclasses.replace(Params(), name=value)</w:t>
      </w:r>
      <w:r>
        <w:t xml:space="preserve">. All shares are of GDP; rates are annual.</w:t>
      </w:r>
    </w:p>
    <w:bookmarkStart w:id="22" w:name="households-and-preferences"/>
    <w:p>
      <w:pPr>
        <w:pStyle w:val="Heading2"/>
      </w:pPr>
      <w:r>
        <w:t xml:space="preserve">Households and preferences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probability; planning horizon 1/(1 − θ) = 20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GIMF papers (Kumhof et al. 2010; Anderson et al. 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decline of lifetime labour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GIMF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liquidity-constrained 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Findex (no account, no borrowing), household surveys; often 0.4-0.5 in LICs</w:t>
            </w:r>
          </w:p>
        </w:tc>
      </w:tr>
    </w:tbl>
    <w:bookmarkEnd w:id="22"/>
    <w:bookmarkStart w:id="23" w:name="production-and-investment"/>
    <w:p>
      <w:pPr>
        <w:pStyle w:val="Heading2"/>
      </w:pPr>
      <w:r>
        <w:t xml:space="preserve">Production and investment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capital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accounts (1 − labour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return on public capital (sets its output elasticity)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public investment literature: 10-25%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0.08, 0.04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Depreciation, private and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 World Table; IMF Investment and Capital Stock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investment efficiency: share of spending that becomes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PIMA, PIE-X efficiency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adjustment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Literature; 2-10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from each unit of green private capital (0 = replacement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Judgement; 0 is conservative</w:t>
            </w:r>
          </w:p>
        </w:tc>
      </w:tr>
    </w:tbl>
    <w:bookmarkEnd w:id="23"/>
    <w:bookmarkStart w:id="24" w:name="prices-wages-and-monetary-policy"/>
    <w:p>
      <w:pPr>
        <w:pStyle w:val="Heading2"/>
      </w:pPr>
      <w:r>
        <w:t xml:space="preserve">Prices, wages and monetary policy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kappa_p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of the Phillips curve (annual)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stickiness (0 = flexible)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wage_el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of the target real wage to 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phi_pi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rho_i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Taylor rule: response to inflation, smoothing</w:t>
            </w:r>
          </w:p>
        </w:tc>
      </w:tr>
    </w:tbl>
    <w:bookmarkEnd w:id="24"/>
    <w:bookmarkStart w:id="25" w:name="external-sector"/>
    <w:p>
      <w:pPr>
        <w:pStyle w:val="Heading2"/>
      </w:pPr>
      <w:r>
        <w:t xml:space="preserve">External sector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real interest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foreign debt, %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IIP data (net international investment 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premium per unit of net foreign debt /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regressions; 0.01-0.05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/ 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1.0, 0.5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and import elasticities to the real exchange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</w:t>
            </w:r>
          </w:p>
        </w:tc>
      </w:tr>
    </w:tbl>
    <w:bookmarkEnd w:id="25"/>
    <w:bookmarkStart w:id="26" w:name="fiscal"/>
    <w:p>
      <w:pPr>
        <w:pStyle w:val="Heading2"/>
      </w:pPr>
      <w:r>
        <w:t xml:space="preserve">Fiscal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0.12, 0.04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consumption and public investment, % GDP (before the programme)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tau_l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0.15, 0.10, 0.20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labour, consumption and capital tax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debt target, % GDP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at which the fiscal rule returns debt to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closes the fiscal rule:</w:t>
            </w:r>
            <w:r>
              <w:t xml:space="preserve"> </w:t>
            </w:r>
            <w:r>
              <w:rPr>
                <w:rStyle w:val="VerbatimChar"/>
              </w:rPr>
              <w:t xml:space="preserve">"tr"</w:t>
            </w:r>
            <w:r>
              <w:t xml:space="preserve"> </w:t>
            </w:r>
            <w:r>
              <w:t xml:space="preserve">transfers,</w:t>
            </w:r>
            <w:r>
              <w:t xml:space="preserve"> </w:t>
            </w:r>
            <w:r>
              <w:rPr>
                <w:rStyle w:val="VerbatimChar"/>
              </w:rPr>
              <w:t xml:space="preserve">"tau_l"</w:t>
            </w:r>
            <w:r>
              <w:t xml:space="preserve"> </w:t>
            </w:r>
            <w:r>
              <w:t xml:space="preserve">labour 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the programme (</w:t>
            </w:r>
            <w:r>
              <w:rPr>
                <w:rStyle w:val="VerbatimChar"/>
              </w:rPr>
              <w:t xml:space="preserve">ig_extra + g_extra − rev_extra</w:t>
            </w:r>
            <w:r>
              <w:t xml:space="preserve">) the rule lets be debt financed (0 = fully tax financed)</w:t>
            </w:r>
          </w:p>
        </w:tc>
      </w:tr>
    </w:tbl>
    <w:bookmarkEnd w:id="26"/>
    <w:bookmarkEnd w:id="27"/>
    <w:bookmarkStart w:id="28" w:name="outputs"/>
    <w:p>
      <w:pPr>
        <w:pStyle w:val="Heading1"/>
      </w:pPr>
      <w:r>
        <w:t xml:space="preserve">Outputs</w:t>
      </w:r>
    </w:p>
    <w:p>
      <w:pPr>
        <w:pStyle w:val="FirstParagraph"/>
      </w:pPr>
      <w:r>
        <w:rPr>
          <w:rStyle w:val="VerbatimChar"/>
        </w:rPr>
        <w:t xml:space="preserve">out</w:t>
      </w:r>
      <w:r>
        <w:t xml:space="preserve"> </w:t>
      </w:r>
      <w:r>
        <w:t xml:space="preserve">is a dictionary of annual paths, index 0 = 2025: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GDP, consumption, private investment (excluding green), levels with initial GDP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 of OLG and liquidity-constrained households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Employment, real wage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Inflation, nominal policy rate, real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exchange rate (up = depreciation)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debt_gdp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nfd_gdp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debt and net foreign debt, % of GDP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prim_def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and primary deficit, % of initial GDP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and labour tax rate (one of them moves with the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capital and green private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hh_budget_gap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Check: should be about 0 (1e-15)</w:t>
            </w:r>
          </w:p>
        </w:tc>
      </w:tr>
    </w:tbl>
    <w:p>
      <w:pPr>
        <w:pStyle w:val="BodyText"/>
      </w:pPr>
      <w:r>
        <w:t xml:space="preserve">Deviations:</w:t>
      </w:r>
      <w:r>
        <w:t xml:space="preserve"> </w:t>
      </w:r>
      <w:r>
        <w:rPr>
          <w:rStyle w:val="VerbatimChar"/>
        </w:rPr>
        <w:t xml:space="preserve">100 * (out["y"] / ss0["y"] - 1)</w:t>
      </w:r>
      <w:r>
        <w:t xml:space="preserve"> </w:t>
      </w:r>
      <w:r>
        <w:t xml:space="preserve">gives GDP in % deviation from the no-programme path.</w:t>
      </w:r>
    </w:p>
    <w:bookmarkEnd w:id="28"/>
    <w:bookmarkStart w:id="29" w:name="recipes"/>
    <w:p>
      <w:pPr>
        <w:pStyle w:val="Heading1"/>
      </w:pPr>
      <w:r>
        <w:t xml:space="preserve">Recipes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versus tax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Params(dfs=1.0)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Params(dfs=0.0, instrument="tau_l")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much depends on energy savings?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run_gimf(prog, p, savings=False)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public investment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Params(s=0.4)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s=0.7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credit-constrained households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Params(psi=0.45)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Ricardian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Params(theta=0.9999, chi=1.0, psi=0.0)</w:t>
            </w:r>
            <w:r>
              <w:t xml:space="preserve">: debt and tax financing then give the same consumption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Fixed-rate-like monetary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phi_pi</w:t>
            </w:r>
            <w:r>
              <w:t xml:space="preserve"> </w:t>
            </w:r>
            <w:r>
              <w:t xml:space="preserve">(e.g. 3.0) and</w:t>
            </w:r>
            <w:r>
              <w:t xml:space="preserve"> </w:t>
            </w:r>
            <w:r>
              <w:rPr>
                <w:rStyle w:val="VerbatimChar"/>
              </w:rPr>
              <w:t xml:space="preserve">rho_i</w:t>
            </w:r>
            <w:r>
              <w:t xml:space="preserve"> </w:t>
            </w:r>
            <w:r>
              <w:t xml:space="preserve">(0.8)</w:t>
            </w:r>
          </w:p>
        </w:tc>
      </w:tr>
    </w:tbl>
    <w:bookmarkEnd w:id="29"/>
    <w:bookmarkStart w:id="30" w:name="reading-the-results"/>
    <w:p>
      <w:pPr>
        <w:pStyle w:val="Heading1"/>
      </w:pPr>
      <w:r>
        <w:t xml:space="preserve">Reading the results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Short run:</w:t>
      </w:r>
      <w:r>
        <w:t xml:space="preserve"> </w:t>
      </w:r>
      <w:r>
        <w:t xml:space="preserve">the programme raises demand; with sticky prices output rises, inflation rises a little and the policy rate responds. Consumption can fall on impact because the rule and higher real rates reduce wealth.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Long run:</w:t>
      </w:r>
      <w:r>
        <w:t xml:space="preserve"> </w:t>
      </w:r>
      <w:r>
        <w:t xml:space="preserve">public capital (through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Rg</w:t>
      </w:r>
      <w:r>
        <w:t xml:space="preserve">) and energy savings raise output; debt-financed programmes leave higher debt and net foreign debt and so a higher country premium.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Financing:</w:t>
      </w:r>
      <w:r>
        <w:t xml:space="preserve"> </w:t>
      </w:r>
      <w:r>
        <w:t xml:space="preserve">with non-Ricardian households, debt financing crowds out more in the long run; tax financing keeps debt lower for almost the same growth.</w:t>
      </w:r>
    </w:p>
    <w:bookmarkEnd w:id="30"/>
    <w:bookmarkStart w:id="31" w:name="limits"/>
    <w:p>
      <w:pPr>
        <w:pStyle w:val="Heading1"/>
      </w:pPr>
      <w:r>
        <w:t xml:space="preserve">Limits</w:t>
      </w:r>
    </w:p>
    <w:p>
      <w:pPr>
        <w:pStyle w:val="FirstParagraph"/>
      </w:pPr>
      <w:r>
        <w:t xml:space="preserve">One country and one good; no oil or commodity block, financial accelerator or zero lower bound; linear Phillips curve; energy savings enter as a value-added gain (generous for imported fuel); the programme is held at its 2050 level forever. See the method note, section 6.</w:t>
      </w:r>
    </w:p>
    <w:bookmarkEnd w:id="31"/>
    <w:sectPr>
      <w:pgSz w:h="15840" w:w="12240"/>
      <w:pgMar w:bottom="1296" w:footer="720" w:gutter="0" w:header="720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</w:pPr>
    <w:rPr>
      <w:rFonts w:ascii="Calibri" w:cs="Calibri" w:hAnsi="Calibri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Compact" w:type="paragraph">
    <w:name w:val="Compact"/>
    <w:basedOn w:val="BodyText"/>
    <w:qFormat/>
    <w:pPr>
      <w:widowControl/>
      <w:spacing w:after="60" w:before="0"/>
    </w:pPr>
    <w:rPr>
      <w:rFonts w:ascii="Calibri" w:cs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center"/>
    </w:pPr>
    <w:rPr>
      <w:rFonts w:ascii="Calibri" w:cs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Calibri" w:cs="Calibri" w:hAnsi="Calibri"/>
      <w:b w:val="0"/>
      <w:i w:val="0"/>
      <w:color w:val="404040"/>
      <w:sz w:val="25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hAnsi="Calibri"/>
      <w:sz w:val="21"/>
    </w:rPr>
  </w:style>
  <w:style w:styleId="Date" w:type="paragraph">
    <w:name w:val="Date"/>
    <w:next w:val="BodyText"/>
    <w:qFormat/>
    <w:pPr>
      <w:keepNext/>
      <w:keepLines/>
      <w:spacing w:after="280"/>
      <w:jc w:val="center"/>
    </w:pPr>
    <w:rPr>
      <w:rFonts w:ascii="Calibri" w:cs="Calibri" w:hAnsi="Calibri"/>
      <w:b w:val="0"/>
      <w:color w:val="59595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/>
      <w:outlineLvl w:val="0"/>
    </w:pPr>
    <w:rPr>
      <w:rFonts w:ascii="Calibri" w:cs="Calibri" w:hAnsi="Calibr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cs="Calibri" w:hAnsi="Calibri"/>
      <w:b/>
      <w:bCs/>
      <w:color w:val="1F3864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cs="Calibri" w:hAnsi="Calibri"/>
      <w:b/>
      <w:bCs/>
      <w:color w:val="1F3864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line="240" w:lineRule="auto"/>
    </w:pPr>
    <w:rPr>
      <w:rFonts w:ascii="Calibri" w:cs="Calibri" w:hAnsi="Calibri"/>
      <w:sz w:val="17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262626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9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TableText" w:type="paragraph">
    <w:name w:val="Table Text"/>
    <w:basedOn w:val="Compact"/>
    <w:pPr>
      <w:widowControl/>
      <w:spacing w:after="20" w:before="20"/>
    </w:pPr>
    <w:rPr>
      <w:rFonts w:ascii="Calibri" w:cs="Calibri" w:hAnsi="Calibri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GIMF-lite user guide</dc:title>
  <dc:creator/>
  <cp:keywords/>
  <dcterms:created xsi:type="dcterms:W3CDTF">2026-10-20T13:49:39Z</dcterms:created>
  <dcterms:modified xsi:type="dcterms:W3CDTF">2026-10-20T13:49:39Z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User guide 1 of 3 · MacroFiscalModels v0.1</vt:lpwstr>
  </property>
</Properties>
</file>