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Integrated</w:t>
      </w:r>
      <w:r>
        <w:t xml:space="preserve"> </w:t>
      </w:r>
      <w:r>
        <w:t xml:space="preserve">country</w:t>
      </w:r>
      <w:r>
        <w:t xml:space="preserve"> </w:t>
      </w:r>
      <w:r>
        <w:t xml:space="preserve">run:</w:t>
      </w:r>
      <w:r>
        <w:t xml:space="preserve"> </w:t>
      </w:r>
      <w:r>
        <w:t xml:space="preserve">user</w:t>
      </w:r>
      <w:r>
        <w:t xml:space="preserve"> </w:t>
      </w:r>
      <w:r>
        <w:t xml:space="preserve">guide</w:t>
      </w:r>
    </w:p>
    <w:p>
      <w:pPr>
        <w:pStyle w:val="Subtitle"/>
      </w:pPr>
      <w:r>
        <w:t xml:space="preserve">User</w:t>
      </w:r>
      <w:r>
        <w:t xml:space="preserve"> </w:t>
      </w:r>
      <w:r>
        <w:t xml:space="preserve">guide</w:t>
      </w:r>
      <w:r>
        <w:t xml:space="preserve"> </w:t>
      </w:r>
      <w:r>
        <w:t xml:space="preserve">4</w:t>
      </w:r>
      <w:r>
        <w:t xml:space="preserve"> </w:t>
      </w:r>
      <w:r>
        <w:t xml:space="preserve">·</w:t>
      </w:r>
      <w:r>
        <w:t xml:space="preserve"> </w:t>
      </w:r>
      <w:r>
        <w:t xml:space="preserve">MacroFiscalModels</w:t>
      </w:r>
      <w:r>
        <w:t xml:space="preserve"> </w:t>
      </w:r>
      <w:r>
        <w:t xml:space="preserve">v0.1</w:t>
      </w:r>
    </w:p>
    <w:bookmarkStart w:id="20" w:name="what-it-does"/>
    <w:p>
      <w:pPr>
        <w:pStyle w:val="Heading1"/>
      </w:pPr>
      <w:r>
        <w:t xml:space="preserve">What it does</w:t>
      </w:r>
    </w:p>
    <w:p>
      <w:pPr>
        <w:pStyle w:val="FirstParagraph"/>
      </w:pPr>
      <w:r>
        <w:rPr>
          <w:rStyle w:val="VerbatimChar"/>
        </w:rPr>
        <w:t xml:space="preserve">integrated.py</w:t>
      </w:r>
      <w:r>
        <w:t xml:space="preserve"> </w:t>
      </w:r>
      <w:r>
        <w:t xml:space="preserve">runs one country, or all of them, through five tools in a fixed order, and writes results that the Tax and Macro-Fiscal Dashboard shows as Appendix 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Tool</w:t>
            </w:r>
          </w:p>
        </w:tc>
        <w:tc>
          <w:tcPr/>
          <w:p>
            <w:pPr>
              <w:pStyle w:val="Compact"/>
              <w:jc w:val="left"/>
            </w:pPr>
            <w:r>
              <w:t xml:space="preserve">What it adds</w:t>
            </w:r>
          </w:p>
        </w:tc>
      </w:tr>
      <w:tr>
        <w:tc>
          <w:tcPr/>
          <w:p>
            <w:pPr>
              <w:pStyle w:val="Compact"/>
              <w:jc w:val="left"/>
            </w:pPr>
            <w:r>
              <w:t xml:space="preserve">1</w:t>
            </w:r>
          </w:p>
        </w:tc>
        <w:tc>
          <w:tcPr/>
          <w:p>
            <w:pPr>
              <w:pStyle w:val="Compact"/>
              <w:jc w:val="left"/>
            </w:pPr>
            <w:r>
              <w:t xml:space="preserve">Tax and Macro-Fiscal Dashboard (panel)</w:t>
            </w:r>
          </w:p>
        </w:tc>
        <w:tc>
          <w:tcPr/>
          <w:p>
            <w:pPr>
              <w:pStyle w:val="Compact"/>
              <w:jc w:val="left"/>
            </w:pPr>
            <w:r>
              <w:t xml:space="preserve">Data for the calibration: debt, taxes, revenue, primary balance, PEFA PI-11, IDS creditor terms, fossil rents, income group</w:t>
            </w:r>
          </w:p>
        </w:tc>
      </w:tr>
      <w:tr>
        <w:tc>
          <w:tcPr/>
          <w:p>
            <w:pPr>
              <w:pStyle w:val="Compact"/>
              <w:jc w:val="left"/>
            </w:pPr>
            <w:r>
              <w:t xml:space="preserve">2</w:t>
            </w:r>
          </w:p>
        </w:tc>
        <w:tc>
          <w:tcPr/>
          <w:p>
            <w:pPr>
              <w:pStyle w:val="Compact"/>
              <w:jc w:val="left"/>
            </w:pPr>
            <w:r>
              <w:t xml:space="preserve">National Mitigation Investment Model (NMIM)</w:t>
            </w:r>
          </w:p>
        </w:tc>
        <w:tc>
          <w:tcPr/>
          <w:p>
            <w:pPr>
              <w:pStyle w:val="Compact"/>
              <w:jc w:val="left"/>
            </w:pPr>
            <w:r>
              <w:t xml:space="preserve">Incremental budget need 2025-2050, split into</w:t>
            </w:r>
            <w:r>
              <w:t xml:space="preserve"> </w:t>
            </w:r>
            <w:r>
              <w:rPr>
                <w:bCs/>
                <w:b/>
              </w:rPr>
              <w:t xml:space="preserve">capital</w:t>
            </w:r>
            <w:r>
              <w:t xml:space="preserve"> </w:t>
            </w:r>
            <w:r>
              <w:t xml:space="preserve">and</w:t>
            </w:r>
            <w:r>
              <w:t xml:space="preserve"> </w:t>
            </w:r>
            <w:r>
              <w:rPr>
                <w:bCs/>
                <w:b/>
              </w:rPr>
              <w:t xml:space="preserve">spending</w:t>
            </w:r>
            <w:r>
              <w:t xml:space="preserve"> </w:t>
            </w:r>
            <w:r>
              <w:t xml:space="preserve">(non-CO2, land use, other energy CO2); private investment; energy savings; fossil power CO2 on the net zero path</w:t>
            </w:r>
          </w:p>
        </w:tc>
      </w:tr>
      <w:tr>
        <w:tc>
          <w:tcPr/>
          <w:p>
            <w:pPr>
              <w:pStyle w:val="Compact"/>
              <w:jc w:val="left"/>
            </w:pPr>
            <w:r>
              <w:t xml:space="preserve">3</w:t>
            </w:r>
          </w:p>
        </w:tc>
        <w:tc>
          <w:tcPr/>
          <w:p>
            <w:pPr>
              <w:pStyle w:val="Compact"/>
              <w:jc w:val="left"/>
            </w:pPr>
            <w:r>
              <w:t xml:space="preserve">PriceFeasibility</w:t>
            </w:r>
          </w:p>
        </w:tc>
        <w:tc>
          <w:tcPr/>
          <w:p>
            <w:pPr>
              <w:pStyle w:val="Compact"/>
              <w:jc w:val="left"/>
            </w:pPr>
            <w:r>
              <w:t xml:space="preserve">The most power-sector carbon pricing the feasibility limits F1-F3 allow (tax, feebate or hybrid), and which limit binds. The tax part times NMIM’s power CO2 is revenue</w:t>
            </w:r>
            <w:r>
              <w:t xml:space="preserve"> </w:t>
            </w:r>
            <w:r>
              <w:rPr>
                <w:bCs/>
                <w:b/>
              </w:rPr>
              <w:t xml:space="preserve">earmarked for the budget need</w:t>
            </w:r>
          </w:p>
        </w:tc>
      </w:tr>
      <w:tr>
        <w:tc>
          <w:tcPr/>
          <w:p>
            <w:pPr>
              <w:pStyle w:val="Compact"/>
              <w:jc w:val="left"/>
            </w:pPr>
            <w:r>
              <w:t xml:space="preserve">4</w:t>
            </w:r>
          </w:p>
        </w:tc>
        <w:tc>
          <w:tcPr/>
          <w:p>
            <w:pPr>
              <w:pStyle w:val="Compact"/>
              <w:jc w:val="left"/>
            </w:pPr>
            <w:r>
              <w:t xml:space="preserve">GIMF-lite, DIGNAD-lite or DIGNAR-lite</w:t>
            </w:r>
          </w:p>
        </w:tc>
        <w:tc>
          <w:tcPr/>
          <w:p>
            <w:pPr>
              <w:pStyle w:val="Compact"/>
              <w:jc w:val="left"/>
            </w:pPr>
            <w:r>
              <w:t xml:space="preserve">What the programme, financed this way, does to GDP and public debt</w:t>
            </w:r>
          </w:p>
        </w:tc>
      </w:tr>
      <w:tr>
        <w:tc>
          <w:tcPr/>
          <w:p>
            <w:pPr>
              <w:pStyle w:val="Compact"/>
              <w:jc w:val="left"/>
            </w:pPr>
            <w:r>
              <w:t xml:space="preserve">5</w:t>
            </w:r>
          </w:p>
        </w:tc>
        <w:tc>
          <w:tcPr/>
          <w:p>
            <w:pPr>
              <w:pStyle w:val="Compact"/>
              <w:jc w:val="left"/>
            </w:pPr>
            <w:r>
              <w:t xml:space="preserve">LIC-DSF-lite (low and lower-middle income only)</w:t>
            </w:r>
          </w:p>
        </w:tc>
        <w:tc>
          <w:tcPr/>
          <w:p>
            <w:pPr>
              <w:pStyle w:val="Compact"/>
              <w:jc w:val="left"/>
            </w:pPr>
            <w:r>
              <w:t xml:space="preserve">The mechanical risk of debt distress, before and with the programme</w:t>
            </w:r>
          </w:p>
        </w:tc>
      </w:tr>
    </w:tbl>
    <w:p>
      <w:pPr>
        <w:pStyle w:val="BodyText"/>
      </w:pPr>
      <w:r>
        <w:t xml:space="preserve">CPAT is not part of the chain.</w:t>
      </w:r>
    </w:p>
    <w:bookmarkEnd w:id="20"/>
    <w:bookmarkStart w:id="21" w:name="run-it"/>
    <w:p>
      <w:pPr>
        <w:pStyle w:val="Heading1"/>
      </w:pPr>
      <w:r>
        <w:t xml:space="preserve">Run it</w:t>
      </w:r>
    </w:p>
    <w:p>
      <w:pPr>
        <w:pStyle w:val="SourceCode"/>
      </w:pPr>
      <w:r>
        <w:rPr>
          <w:rStyle w:val="VerbatimChar"/>
        </w:rPr>
        <w:t xml:space="preserve">cd MacroFiscalModels</w:t>
      </w:r>
      <w:r>
        <w:br/>
      </w:r>
      <w:r>
        <w:rPr>
          <w:rStyle w:val="VerbatimChar"/>
        </w:rPr>
        <w:t xml:space="preserve">python3 integrated.py KEN SLE UGA LBR      # print the chain for these countries</w:t>
      </w:r>
      <w:r>
        <w:br/>
      </w:r>
      <w:r>
        <w:rPr>
          <w:rStyle w:val="VerbatimChar"/>
        </w:rPr>
        <w:t xml:space="preserve">python3 integrated.py --all                # every NMIM country -&gt; results/integrated_results.csv (~10 minutes)</w:t>
      </w:r>
    </w:p>
    <w:p>
      <w:pPr>
        <w:pStyle w:val="FirstParagraph"/>
      </w:pPr>
      <w:r>
        <w:t xml:space="preserve">Then rebuild the dashboard so Appendix D picks up the results:</w:t>
      </w:r>
    </w:p>
    <w:p>
      <w:pPr>
        <w:pStyle w:val="SourceCode"/>
      </w:pPr>
      <w:r>
        <w:rPr>
          <w:rStyle w:val="VerbatimChar"/>
        </w:rPr>
        <w:t xml:space="preserve">python3 TaxMacroFiscalDashboard/build/scripts/build_global_indicators.py</w:t>
      </w:r>
      <w:r>
        <w:br/>
      </w:r>
      <w:r>
        <w:rPr>
          <w:rStyle w:val="VerbatimChar"/>
        </w:rPr>
        <w:t xml:space="preserve">python3 TaxMacroFiscalDashboard/build/scripts/build_dashboard.py</w:t>
      </w:r>
    </w:p>
    <w:p>
      <w:pPr>
        <w:pStyle w:val="FirstParagraph"/>
      </w:pPr>
      <w:r>
        <w:t xml:space="preserve">The order is stable:</w:t>
      </w:r>
      <w:r>
        <w:t xml:space="preserve"> </w:t>
      </w:r>
      <w:r>
        <w:rPr>
          <w:rStyle w:val="VerbatimChar"/>
        </w:rPr>
        <w:t xml:space="preserve">integrated.py</w:t>
      </w:r>
      <w:r>
        <w:t xml:space="preserve"> </w:t>
      </w:r>
      <w:r>
        <w:t xml:space="preserve">reads only the panel’s source indicators, never Appendix D. After a change to the raw data, run: build panel,</w:t>
      </w:r>
      <w:r>
        <w:t xml:space="preserve"> </w:t>
      </w:r>
      <w:r>
        <w:rPr>
          <w:rStyle w:val="VerbatimChar"/>
        </w:rPr>
        <w:t xml:space="preserve">integrated.py --all</w:t>
      </w:r>
      <w:r>
        <w:t xml:space="preserve">, build panel again, build workbook.</w:t>
      </w:r>
    </w:p>
    <w:bookmarkEnd w:id="21"/>
    <w:bookmarkStart w:id="22" w:name="which-model-a-country-gets"/>
    <w:p>
      <w:pPr>
        <w:pStyle w:val="Heading1"/>
      </w:pPr>
      <w:r>
        <w:t xml:space="preserve">Which model a country gets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Rule (first that applies)</w:t>
            </w:r>
          </w:p>
        </w:tc>
        <w:tc>
          <w:tcPr/>
          <w:p>
            <w:pPr>
              <w:pStyle w:val="Compact"/>
              <w:jc w:val="left"/>
            </w:pPr>
            <w:r>
              <w:t xml:space="preserve">Model</w:t>
            </w:r>
          </w:p>
        </w:tc>
      </w:tr>
      <w:tr>
        <w:tc>
          <w:tcPr/>
          <w:p>
            <w:pPr>
              <w:pStyle w:val="Compact"/>
              <w:jc w:val="left"/>
            </w:pPr>
            <w:r>
              <w:t xml:space="preserve">Fossil rents at least 10% of GDP and not high income</w:t>
            </w:r>
          </w:p>
        </w:tc>
        <w:tc>
          <w:tcPr/>
          <w:p>
            <w:pPr>
              <w:pStyle w:val="Compact"/>
              <w:jc w:val="left"/>
            </w:pPr>
            <w:r>
              <w:t xml:space="preserve">DIGNAR-lite: DIGNAD-lite plus rents that fall 80% by 2050 on a global net zero path; government take 50%</w:t>
            </w:r>
          </w:p>
        </w:tc>
      </w:tr>
      <w:tr>
        <w:tc>
          <w:tcPr/>
          <w:p>
            <w:pPr>
              <w:pStyle w:val="Compact"/>
              <w:jc w:val="left"/>
            </w:pPr>
            <w:r>
              <w:t xml:space="preserve">Low income</w:t>
            </w:r>
          </w:p>
        </w:tc>
        <w:tc>
          <w:tcPr/>
          <w:p>
            <w:pPr>
              <w:pStyle w:val="Compact"/>
              <w:jc w:val="left"/>
            </w:pPr>
            <w:r>
              <w:t xml:space="preserve">DIGNAD-lite</w:t>
            </w:r>
          </w:p>
        </w:tc>
      </w:tr>
      <w:tr>
        <w:tc>
          <w:tcPr/>
          <w:p>
            <w:pPr>
              <w:pStyle w:val="Compact"/>
              <w:jc w:val="left"/>
            </w:pPr>
            <w:r>
              <w:t xml:space="preserve">Lower-middle income with a multilateral share of at least 50%</w:t>
            </w:r>
          </w:p>
        </w:tc>
        <w:tc>
          <w:tcPr/>
          <w:p>
            <w:pPr>
              <w:pStyle w:val="Compact"/>
              <w:jc w:val="left"/>
            </w:pPr>
            <w:r>
              <w:t xml:space="preserve">DIGNAD-lite</w:t>
            </w:r>
          </w:p>
        </w:tc>
      </w:tr>
      <w:tr>
        <w:tc>
          <w:tcPr/>
          <w:p>
            <w:pPr>
              <w:pStyle w:val="Compact"/>
              <w:jc w:val="left"/>
            </w:pPr>
            <w:r>
              <w:t xml:space="preserve">Otherwise</w:t>
            </w:r>
          </w:p>
        </w:tc>
        <w:tc>
          <w:tcPr/>
          <w:p>
            <w:pPr>
              <w:pStyle w:val="Compact"/>
              <w:jc w:val="left"/>
            </w:pPr>
            <w:r>
              <w:t xml:space="preserve">GIMF-lite</w:t>
            </w:r>
          </w:p>
        </w:tc>
      </w:tr>
    </w:tbl>
    <w:p>
      <w:pPr>
        <w:pStyle w:val="BodyText"/>
      </w:pPr>
      <w:r>
        <w:t xml:space="preserve">GIMF-lite takes the whole programme (public capital, public spending, private investment, energy savings). DIGNAD-lite and DIGNAR-lite take the public part only. This is a known inconsistency: see</w:t>
      </w:r>
      <w:r>
        <w:t xml:space="preserve"> </w:t>
      </w:r>
      <w:r>
        <w:t xml:space="preserve">“</w:t>
      </w:r>
      <w:r>
        <w:t xml:space="preserve">Caveats</w:t>
      </w:r>
      <w:r>
        <w:t xml:space="preserve">”</w:t>
      </w:r>
      <w:r>
        <w:t xml:space="preserve">.</w:t>
      </w:r>
    </w:p>
    <w:bookmarkEnd w:id="22"/>
    <w:bookmarkStart w:id="23" w:name="reading-the-output"/>
    <w:p>
      <w:pPr>
        <w:pStyle w:val="Heading1"/>
      </w:pPr>
      <w:r>
        <w:t xml:space="preserve">Reading the output</w:t>
      </w:r>
    </w:p>
    <w:p>
      <w:pPr>
        <w:pStyle w:val="FirstParagraph"/>
      </w:pPr>
      <w:r>
        <w:rPr>
          <w:rStyle w:val="VerbatimChar"/>
        </w:rPr>
        <w:t xml:space="preserve">results/integrated_results.csv</w:t>
      </w:r>
      <w:r>
        <w:t xml:space="preserve"> </w:t>
      </w:r>
      <w:r>
        <w:t xml:space="preserve">has one row per country: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Column</w:t>
            </w:r>
          </w:p>
        </w:tc>
        <w:tc>
          <w:tcPr/>
          <w:p>
            <w:pPr>
              <w:pStyle w:val="Compact"/>
              <w:jc w:val="left"/>
            </w:pPr>
            <w:r>
              <w:t xml:space="preserve">Meaning</w:t>
            </w:r>
          </w:p>
        </w:tc>
      </w:tr>
      <w:tr>
        <w:tc>
          <w:tcPr/>
          <w:p>
            <w:pPr>
              <w:pStyle w:val="Compact"/>
              <w:jc w:val="left"/>
            </w:pPr>
            <w:r>
              <w:rPr>
                <w:rStyle w:val="VerbatimChar"/>
              </w:rPr>
              <w:t xml:space="preserve">model</w:t>
            </w:r>
            <w:r>
              <w:t xml:space="preserve">,</w:t>
            </w:r>
            <w:r>
              <w:t xml:space="preserve"> </w:t>
            </w:r>
            <w:r>
              <w:rPr>
                <w:rStyle w:val="VerbatimChar"/>
              </w:rPr>
              <w:t xml:space="preserve">model_reason</w:t>
            </w:r>
          </w:p>
        </w:tc>
        <w:tc>
          <w:tcPr/>
          <w:p>
            <w:pPr>
              <w:pStyle w:val="Compact"/>
              <w:jc w:val="left"/>
            </w:pPr>
            <w:r>
              <w:t xml:space="preserve">The model used and why</w:t>
            </w:r>
          </w:p>
        </w:tc>
      </w:tr>
      <w:tr>
        <w:tc>
          <w:tcPr/>
          <w:p>
            <w:pPr>
              <w:pStyle w:val="Compact"/>
              <w:jc w:val="left"/>
            </w:pPr>
            <w:r>
              <w:rPr>
                <w:rStyle w:val="VerbatimChar"/>
              </w:rPr>
              <w:t xml:space="preserve">assumptions</w:t>
            </w:r>
          </w:p>
        </w:tc>
        <w:tc>
          <w:tcPr/>
          <w:p>
            <w:pPr>
              <w:pStyle w:val="Compact"/>
              <w:jc w:val="left"/>
            </w:pPr>
            <w:r>
              <w:t xml:space="preserve">How many shared settings are income-group defaults rather than dashboard data</w:t>
            </w:r>
          </w:p>
        </w:tc>
      </w:tr>
      <w:tr>
        <w:tc>
          <w:tcPr/>
          <w:p>
            <w:pPr>
              <w:pStyle w:val="Compact"/>
              <w:jc w:val="left"/>
            </w:pPr>
            <w:r>
              <w:rPr>
                <w:rStyle w:val="VerbatimChar"/>
              </w:rPr>
              <w:t xml:space="preserve">budget_need_2030_pct_gdp</w:t>
            </w:r>
          </w:p>
        </w:tc>
        <w:tc>
          <w:tcPr/>
          <w:p>
            <w:pPr>
              <w:pStyle w:val="Compact"/>
              <w:jc w:val="left"/>
            </w:pPr>
            <w:r>
              <w:t xml:space="preserve">Incremental direct budget need (P1 + public gap of P4), % GDP;</w:t>
            </w:r>
            <w:r>
              <w:t xml:space="preserve"> </w:t>
            </w:r>
            <w:r>
              <w:rPr>
                <w:rStyle w:val="VerbatimChar"/>
              </w:rPr>
              <w:t xml:space="preserve">budget_capital_...</w:t>
            </w:r>
            <w:r>
              <w:t xml:space="preserve"> </w:t>
            </w:r>
            <w:r>
              <w:t xml:space="preserve">and</w:t>
            </w:r>
            <w:r>
              <w:t xml:space="preserve"> </w:t>
            </w:r>
            <w:r>
              <w:rPr>
                <w:rStyle w:val="VerbatimChar"/>
              </w:rPr>
              <w:t xml:space="preserve">budget_spending_...</w:t>
            </w:r>
            <w:r>
              <w:t xml:space="preserve"> </w:t>
            </w:r>
            <w:r>
              <w:t xml:space="preserve">split it</w:t>
            </w:r>
          </w:p>
        </w:tc>
      </w:tr>
      <w:tr>
        <w:tc>
          <w:tcPr/>
          <w:p>
            <w:pPr>
              <w:pStyle w:val="Compact"/>
              <w:jc w:val="left"/>
            </w:pPr>
            <w:r>
              <w:rPr>
                <w:rStyle w:val="VerbatimChar"/>
              </w:rPr>
              <w:t xml:space="preserve">private_2030_pct_gdp</w:t>
            </w:r>
          </w:p>
        </w:tc>
        <w:tc>
          <w:tcPr/>
          <w:p>
            <w:pPr>
              <w:pStyle w:val="Compact"/>
              <w:jc w:val="left"/>
            </w:pPr>
            <w:r>
              <w:t xml:space="preserve">Incremental private investment</w:t>
            </w:r>
          </w:p>
        </w:tc>
      </w:tr>
      <w:tr>
        <w:tc>
          <w:tcPr/>
          <w:p>
            <w:pPr>
              <w:pStyle w:val="Compact"/>
              <w:jc w:val="left"/>
            </w:pPr>
            <w:r>
              <w:rPr>
                <w:rStyle w:val="VerbatimChar"/>
              </w:rPr>
              <w:t xml:space="preserve">pricing_tau_t</w:t>
            </w:r>
            <w:r>
              <w:t xml:space="preserve">,</w:t>
            </w:r>
            <w:r>
              <w:t xml:space="preserve"> </w:t>
            </w:r>
            <w:r>
              <w:rPr>
                <w:rStyle w:val="VerbatimChar"/>
              </w:rPr>
              <w:t xml:space="preserve">pricing_tau_f</w:t>
            </w:r>
            <w:r>
              <w:t xml:space="preserve">,</w:t>
            </w:r>
            <w:r>
              <w:t xml:space="preserve"> </w:t>
            </w:r>
            <w:r>
              <w:rPr>
                <w:rStyle w:val="VerbatimChar"/>
              </w:rPr>
              <w:t xml:space="preserve">pricing_binding</w:t>
            </w:r>
          </w:p>
        </w:tc>
        <w:tc>
          <w:tcPr/>
          <w:p>
            <w:pPr>
              <w:pStyle w:val="Compact"/>
              <w:jc w:val="left"/>
            </w:pPr>
            <w:r>
              <w:t xml:space="preserve">Feasible tax and feebate rates (USD/t) and the binding limit (F1 tariff rise, F2 bottom-40% burden, F3 generators’ payments)</w:t>
            </w:r>
          </w:p>
        </w:tc>
      </w:tr>
      <w:tr>
        <w:tc>
          <w:tcPr/>
          <w:p>
            <w:pPr>
              <w:pStyle w:val="Compact"/>
              <w:jc w:val="left"/>
            </w:pPr>
            <w:r>
              <w:rPr>
                <w:rStyle w:val="VerbatimChar"/>
              </w:rPr>
              <w:t xml:space="preserve">pricing_revenue_2030_pct_gdp</w:t>
            </w:r>
            <w:r>
              <w:t xml:space="preserve">,</w:t>
            </w:r>
            <w:r>
              <w:t xml:space="preserve"> </w:t>
            </w:r>
            <w:r>
              <w:rPr>
                <w:rStyle w:val="VerbatimChar"/>
              </w:rPr>
              <w:t xml:space="preserve">pricing_share_of_need_pct</w:t>
            </w:r>
          </w:p>
        </w:tc>
        <w:tc>
          <w:tcPr/>
          <w:p>
            <w:pPr>
              <w:pStyle w:val="Compact"/>
              <w:jc w:val="left"/>
            </w:pPr>
            <w:r>
              <w:t xml:space="preserve">Revenue in 2030, and its share of the budget need over 2025-2050</w:t>
            </w:r>
          </w:p>
        </w:tc>
      </w:tr>
      <w:tr>
        <w:tc>
          <w:tcPr/>
          <w:p>
            <w:pPr>
              <w:pStyle w:val="Compact"/>
              <w:jc w:val="left"/>
            </w:pPr>
            <w:r>
              <w:rPr>
                <w:rStyle w:val="VerbatimChar"/>
              </w:rPr>
              <w:t xml:space="preserve">financing_gap_2030_pct_gdp</w:t>
            </w:r>
          </w:p>
        </w:tc>
        <w:tc>
          <w:tcPr/>
          <w:p>
            <w:pPr>
              <w:pStyle w:val="Compact"/>
              <w:jc w:val="left"/>
            </w:pPr>
            <w:r>
              <w:t xml:space="preserve">Budget need less pricing revenue</w:t>
            </w:r>
          </w:p>
        </w:tc>
      </w:tr>
      <w:tr>
        <w:tc>
          <w:tcPr/>
          <w:p>
            <w:pPr>
              <w:pStyle w:val="Compact"/>
              <w:jc w:val="left"/>
            </w:pPr>
            <w:r>
              <w:rPr>
                <w:rStyle w:val="VerbatimChar"/>
              </w:rPr>
              <w:t xml:space="preserve">status</w:t>
            </w:r>
          </w:p>
        </w:tc>
        <w:tc>
          <w:tcPr/>
          <w:p>
            <w:pPr>
              <w:pStyle w:val="Compact"/>
              <w:jc w:val="left"/>
            </w:pPr>
            <w:r>
              <w:rPr>
                <w:rStyle w:val="VerbatimChar"/>
              </w:rPr>
              <w:t xml:space="preserve">ok</w:t>
            </w:r>
            <w:r>
              <w:t xml:space="preserve">;</w:t>
            </w:r>
            <w:r>
              <w:t xml:space="preserve"> </w:t>
            </w:r>
            <w:r>
              <w:rPr>
                <w:rStyle w:val="VerbatimChar"/>
              </w:rPr>
              <w:t xml:space="preserve">ok, fiscal rule tightened to ...</w:t>
            </w:r>
            <w:r>
              <w:t xml:space="preserve"> </w:t>
            </w:r>
            <w:r>
              <w:t xml:space="preserve">when the default rule could not stabilise debt;</w:t>
            </w:r>
            <w:r>
              <w:t xml:space="preserve"> </w:t>
            </w:r>
            <w:r>
              <w:rPr>
                <w:rStyle w:val="VerbatimChar"/>
              </w:rPr>
              <w:t xml:space="preserve">not financeable under the fiscal rule</w:t>
            </w:r>
            <w:r>
              <w:t xml:space="preserve"> </w:t>
            </w:r>
            <w:r>
              <w:t xml:space="preserve">when even a tight rule could not</w:t>
            </w:r>
          </w:p>
        </w:tc>
      </w:tr>
      <w:tr>
        <w:tc>
          <w:tcPr/>
          <w:p>
            <w:pPr>
              <w:pStyle w:val="Compact"/>
              <w:jc w:val="left"/>
            </w:pPr>
            <w:r>
              <w:rPr>
                <w:rStyle w:val="VerbatimChar"/>
              </w:rPr>
              <w:t xml:space="preserve">gdp_dev_2030_pct</w:t>
            </w:r>
            <w:r>
              <w:t xml:space="preserve">,</w:t>
            </w:r>
            <w:r>
              <w:t xml:space="preserve"> </w:t>
            </w:r>
            <w:r>
              <w:rPr>
                <w:rStyle w:val="VerbatimChar"/>
              </w:rPr>
              <w:t xml:space="preserve">gdp_dev_2050_pct</w:t>
            </w:r>
          </w:p>
        </w:tc>
        <w:tc>
          <w:tcPr/>
          <w:p>
            <w:pPr>
              <w:pStyle w:val="Compact"/>
              <w:jc w:val="left"/>
            </w:pPr>
            <w:r>
              <w:t xml:space="preserve">GDP against today’s path (total GDP, including rents, for DIGNAR-lite)</w:t>
            </w:r>
          </w:p>
        </w:tc>
      </w:tr>
      <w:tr>
        <w:tc>
          <w:tcPr/>
          <w:p>
            <w:pPr>
              <w:pStyle w:val="Compact"/>
              <w:jc w:val="left"/>
            </w:pPr>
            <w:r>
              <w:rPr>
                <w:rStyle w:val="VerbatimChar"/>
              </w:rPr>
              <w:t xml:space="preserve">debt_2024_pct_gdp</w:t>
            </w:r>
            <w:r>
              <w:t xml:space="preserve">,</w:t>
            </w:r>
            <w:r>
              <w:t xml:space="preserve"> </w:t>
            </w:r>
            <w:r>
              <w:rPr>
                <w:rStyle w:val="VerbatimChar"/>
              </w:rPr>
              <w:t xml:space="preserve">debt_2030_pct_gdp</w:t>
            </w:r>
            <w:r>
              <w:t xml:space="preserve">,</w:t>
            </w:r>
            <w:r>
              <w:t xml:space="preserve"> </w:t>
            </w:r>
            <w:r>
              <w:rPr>
                <w:rStyle w:val="VerbatimChar"/>
              </w:rPr>
              <w:t xml:space="preserve">debt_2050_pct_gdp</w:t>
            </w:r>
            <w:r>
              <w:t xml:space="preserve">,</w:t>
            </w:r>
            <w:r>
              <w:t xml:space="preserve"> </w:t>
            </w:r>
            <w:r>
              <w:rPr>
                <w:rStyle w:val="VerbatimChar"/>
              </w:rPr>
              <w:t xml:space="preserve">debt_change_2050_pp</w:t>
            </w:r>
          </w:p>
        </w:tc>
        <w:tc>
          <w:tcPr/>
          <w:p>
            <w:pPr>
              <w:pStyle w:val="Compact"/>
              <w:jc w:val="left"/>
            </w:pPr>
            <w:r>
              <w:t xml:space="preserve">Public debt</w:t>
            </w:r>
          </w:p>
        </w:tc>
      </w:tr>
      <w:tr>
        <w:tc>
          <w:tcPr/>
          <w:p>
            <w:pPr>
              <w:pStyle w:val="Compact"/>
              <w:jc w:val="left"/>
            </w:pPr>
            <w:r>
              <w:rPr>
                <w:rStyle w:val="VerbatimChar"/>
              </w:rPr>
              <w:t xml:space="preserve">dsf_rating_base</w:t>
            </w:r>
            <w:r>
              <w:t xml:space="preserve">,</w:t>
            </w:r>
            <w:r>
              <w:t xml:space="preserve"> </w:t>
            </w:r>
            <w:r>
              <w:rPr>
                <w:rStyle w:val="VerbatimChar"/>
              </w:rPr>
              <w:t xml:space="preserve">dsf_rating_programme</w:t>
            </w:r>
            <w:r>
              <w:t xml:space="preserve">,</w:t>
            </w:r>
            <w:r>
              <w:t xml:space="preserve"> </w:t>
            </w:r>
            <w:r>
              <w:rPr>
                <w:rStyle w:val="VerbatimChar"/>
              </w:rPr>
              <w:t xml:space="preserve">dsf_risk_code</w:t>
            </w:r>
          </w:p>
        </w:tc>
        <w:tc>
          <w:tcPr/>
          <w:p>
            <w:pPr>
              <w:pStyle w:val="Compact"/>
              <w:jc w:val="left"/>
            </w:pPr>
            <w:r>
              <w:t xml:space="preserve">LIC-DSF-lite rating without and with the programme (code 1 low, 2 moderate, 3 high)</w:t>
            </w:r>
          </w:p>
        </w:tc>
      </w:tr>
      <w:tr>
        <w:tc>
          <w:tcPr/>
          <w:p>
            <w:pPr>
              <w:pStyle w:val="Compact"/>
              <w:jc w:val="left"/>
            </w:pPr>
            <w:r>
              <w:rPr>
                <w:rStyle w:val="VerbatimChar"/>
              </w:rPr>
              <w:t xml:space="preserve">dsf_assumptions</w:t>
            </w:r>
          </w:p>
        </w:tc>
        <w:tc>
          <w:tcPr/>
          <w:p>
            <w:pPr>
              <w:pStyle w:val="Compact"/>
              <w:jc w:val="left"/>
            </w:pPr>
            <w:r>
              <w:t xml:space="preserve">Which DSF inputs are defaults</w:t>
            </w:r>
          </w:p>
        </w:tc>
      </w:tr>
    </w:tbl>
    <w:p>
      <w:pPr>
        <w:pStyle w:val="BodyText"/>
      </w:pPr>
      <w:r>
        <w:t xml:space="preserve">In the dashboard, Appendix D shows six of these: budget need, pricing revenue, financing gap, GDP and debt in 2050, and the DSF risk code. The block is labelled as model output.</w:t>
      </w:r>
    </w:p>
    <w:bookmarkEnd w:id="23"/>
    <w:bookmarkStart w:id="24" w:name="caveats"/>
    <w:p>
      <w:pPr>
        <w:pStyle w:val="Heading1"/>
      </w:pPr>
      <w:r>
        <w:t xml:space="preserve">Caveats</w:t>
      </w:r>
    </w:p>
    <w:p>
      <w:pPr>
        <w:numPr>
          <w:ilvl w:val="0"/>
          <w:numId w:val="1001"/>
        </w:numPr>
        <w:pStyle w:val="Compact"/>
      </w:pPr>
      <w:r>
        <w:rPr>
          <w:bCs/>
          <w:b/>
        </w:rPr>
        <w:t xml:space="preserve">Illustrative calibration.</w:t>
      </w:r>
      <w:r>
        <w:t xml:space="preserve"> </w:t>
      </w:r>
      <w:r>
        <w:t xml:space="preserve">The macro settings mix dashboard data and income-group defaults;</w:t>
      </w:r>
      <w:r>
        <w:t xml:space="preserve"> </w:t>
      </w:r>
      <w:r>
        <w:rPr>
          <w:rStyle w:val="VerbatimChar"/>
        </w:rPr>
        <w:t xml:space="preserve">assumptions</w:t>
      </w:r>
      <w:r>
        <w:t xml:space="preserve"> </w:t>
      </w:r>
      <w:r>
        <w:t xml:space="preserve">counts the defaults.</w:t>
      </w:r>
    </w:p>
    <w:p>
      <w:pPr>
        <w:numPr>
          <w:ilvl w:val="0"/>
          <w:numId w:val="1001"/>
        </w:numPr>
        <w:pStyle w:val="Compact"/>
      </w:pPr>
      <w:r>
        <w:rPr>
          <w:bCs/>
          <w:b/>
        </w:rPr>
        <w:t xml:space="preserve">Energy savings only in GIMF-lite.</w:t>
      </w:r>
      <w:r>
        <w:t xml:space="preserve"> </w:t>
      </w:r>
      <w:r>
        <w:t xml:space="preserve">Countries routed to GIMF-lite get the savings channel, which can add several points of GDP by 2050; DIGNAD-lite and DIGNAR-lite countries do not. Compare GDP results across models with care (TODO item 1).</w:t>
      </w:r>
    </w:p>
    <w:p>
      <w:pPr>
        <w:numPr>
          <w:ilvl w:val="0"/>
          <w:numId w:val="1001"/>
        </w:numPr>
        <w:pStyle w:val="Compact"/>
      </w:pPr>
      <w:r>
        <w:rPr>
          <w:bCs/>
          <w:b/>
        </w:rPr>
        <w:t xml:space="preserve">Pricing revenue covers power only</w:t>
      </w:r>
      <w:r>
        <w:t xml:space="preserve"> </w:t>
      </w:r>
      <w:r>
        <w:t xml:space="preserve">and assumes the feasible rate is applied to NMIM’s net zero emissions; the economic cost of the tariff rise is not in the macro models.</w:t>
      </w:r>
    </w:p>
    <w:p>
      <w:pPr>
        <w:numPr>
          <w:ilvl w:val="0"/>
          <w:numId w:val="1001"/>
        </w:numPr>
        <w:pStyle w:val="Compact"/>
      </w:pPr>
      <w:r>
        <w:rPr>
          <w:bCs/>
          <w:b/>
        </w:rPr>
        <w:t xml:space="preserve">DSF baseline</w:t>
      </w:r>
      <w:r>
        <w:t xml:space="preserve"> </w:t>
      </w:r>
      <w:r>
        <w:t xml:space="preserve">uses dashboard revenue and primary balance, NMIM growth and defaults for the external share of debt, exports (the WEO extract has no country trade data) and capacity (no CPIA). Ratings are mechanical.</w:t>
      </w:r>
    </w:p>
    <w:p>
      <w:pPr>
        <w:numPr>
          <w:ilvl w:val="0"/>
          <w:numId w:val="1001"/>
        </w:numPr>
        <w:pStyle w:val="Compact"/>
      </w:pPr>
      <w:r>
        <w:rPr>
          <w:bCs/>
          <w:b/>
        </w:rPr>
        <w:t xml:space="preserve">Fossil rents</w:t>
      </w:r>
      <w:r>
        <w:t xml:space="preserve"> </w:t>
      </w:r>
      <w:r>
        <w:t xml:space="preserve">fall 80% by 2050 in DIGNAR-lite whether or not the country runs the programme: it is the global transition, not a domestic choice.</w:t>
      </w:r>
    </w:p>
    <w:bookmarkEnd w:id="24"/>
    <w:sectPr>
      <w:pgSz w:h="15840" w:w="12240"/>
      <w:pgMar w:bottom="1296" w:footer="720" w:gutter="0" w:header="720" w:left="1296" w:right="1296" w:top="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m:mathPr>
    <m:mathFont m:val="Cambria Math"/>
    <m:brkBin m:val="before"/>
    <m:brkBinSub m:val="--"/>
    <m:smallFrac m:val="0"/>
    <m:dispDef/>
    <m:lMargin m:val="0"/>
    <m:rMargin m:val="0"/>
    <m:wrapRight/>
    <m:intLim m:val="subSup"/>
    <m:naryLim m:val="undOvr"/>
  </m:mathPr>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hAnsi="Calibr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pPr>
    <w:rPr>
      <w:rFonts w:ascii="Calibri" w:cs="Calibri" w:hAnsi="Calibri"/>
      <w:sz w:val="21"/>
    </w:rPr>
  </w:style>
  <w:style w:styleId="BodyText" w:type="paragraph">
    <w:name w:val="Body Text"/>
    <w:basedOn w:val="Normal"/>
    <w:link w:val="BodyTextChar"/>
    <w:qFormat/>
    <w:pPr>
      <w:widowControl/>
      <w:spacing w:after="120" w:before="0" w:line="269" w:lineRule="auto"/>
    </w:pPr>
    <w:rPr>
      <w:rFonts w:ascii="Calibri" w:cs="Calibri" w:hAnsi="Calibri"/>
      <w:sz w:val="21"/>
    </w:rPr>
  </w:style>
  <w:style w:customStyle="1" w:styleId="FirstParagraph" w:type="paragraph">
    <w:name w:val="First Paragraph"/>
    <w:basedOn w:val="BodyText"/>
    <w:next w:val="BodyText"/>
    <w:qFormat/>
    <w:pPr>
      <w:widowControl/>
      <w:spacing w:after="120" w:before="0" w:line="269" w:lineRule="auto"/>
    </w:pPr>
    <w:rPr>
      <w:rFonts w:ascii="Calibri" w:cs="Calibri" w:hAnsi="Calibri"/>
      <w:sz w:val="21"/>
    </w:rPr>
  </w:style>
  <w:style w:customStyle="1" w:styleId="Compact" w:type="paragraph">
    <w:name w:val="Compact"/>
    <w:basedOn w:val="BodyText"/>
    <w:qFormat/>
    <w:pPr>
      <w:widowControl/>
      <w:spacing w:after="60" w:before="0"/>
    </w:pPr>
    <w:rPr>
      <w:rFonts w:ascii="Calibri" w:cs="Calibri" w:hAnsi="Calibri"/>
      <w:sz w:val="21"/>
    </w:rPr>
  </w:style>
  <w:style w:styleId="Title" w:type="paragraph">
    <w:name w:val="Title"/>
    <w:basedOn w:val="Normal"/>
    <w:next w:val="BodyText"/>
    <w:qFormat/>
    <w:pPr>
      <w:keepNext/>
      <w:keepLines/>
      <w:spacing w:after="80" w:before="480"/>
      <w:jc w:val="center"/>
    </w:pPr>
    <w:rPr>
      <w:rFonts w:ascii="Calibri" w:cs="Calibri" w:hAnsi="Calibri"/>
      <w:b/>
      <w:bCs/>
      <w:color w:val="1F3864"/>
      <w:sz w:val="44"/>
      <w:szCs w:val="36"/>
    </w:rPr>
  </w:style>
  <w:style w:styleId="Subtitle" w:type="paragraph">
    <w:name w:val="Subtitle"/>
    <w:basedOn w:val="Title"/>
    <w:next w:val="BodyText"/>
    <w:qFormat/>
    <w:pPr>
      <w:keepNext/>
      <w:keepLines/>
      <w:spacing w:after="120" w:before="240"/>
      <w:jc w:val="center"/>
    </w:pPr>
    <w:rPr>
      <w:rFonts w:ascii="Calibri" w:cs="Calibri" w:hAnsi="Calibri"/>
      <w:b w:val="0"/>
      <w:i w:val="0"/>
      <w:color w:val="404040"/>
      <w:sz w:val="25"/>
      <w:szCs w:val="30"/>
    </w:rPr>
  </w:style>
  <w:style w:customStyle="1" w:styleId="Author" w:type="paragraph">
    <w:name w:val="Author"/>
    <w:next w:val="BodyText"/>
    <w:qFormat/>
    <w:pPr>
      <w:keepNext/>
      <w:keepLines/>
      <w:jc w:val="center"/>
    </w:pPr>
    <w:rPr>
      <w:rFonts w:ascii="Calibri" w:cs="Calibri" w:hAnsi="Calibri"/>
      <w:sz w:val="21"/>
    </w:rPr>
  </w:style>
  <w:style w:styleId="Date" w:type="paragraph">
    <w:name w:val="Date"/>
    <w:next w:val="BodyText"/>
    <w:qFormat/>
    <w:pPr>
      <w:keepNext/>
      <w:keepLines/>
      <w:spacing w:after="280"/>
      <w:jc w:val="center"/>
    </w:pPr>
    <w:rPr>
      <w:rFonts w:ascii="Calibri" w:cs="Calibri" w:hAnsi="Calibri"/>
      <w:b w:val="0"/>
      <w:color w:val="595959"/>
      <w:sz w:val="21"/>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320"/>
      <w:outlineLvl w:val="0"/>
    </w:pPr>
    <w:rPr>
      <w:rFonts w:ascii="Calibri" w:cs="Calibri" w:hAnsi="Calibri"/>
      <w:b/>
      <w:bCs/>
      <w:color w:val="1F3864"/>
      <w:sz w:val="30"/>
      <w:szCs w:val="32"/>
    </w:rPr>
  </w:style>
  <w:style w:styleId="Heading2" w:type="paragraph">
    <w:name w:val="Heading 2"/>
    <w:basedOn w:val="Normal"/>
    <w:next w:val="BodyText"/>
    <w:uiPriority w:val="9"/>
    <w:unhideWhenUsed/>
    <w:qFormat/>
    <w:pPr>
      <w:keepNext/>
      <w:keepLines/>
      <w:spacing w:after="100" w:before="200"/>
      <w:outlineLvl w:val="1"/>
    </w:pPr>
    <w:rPr>
      <w:rFonts w:ascii="Calibri" w:cs="Calibri" w:hAnsi="Calibri"/>
      <w:b/>
      <w:bCs/>
      <w:color w:val="1F3864"/>
      <w:sz w:val="25"/>
      <w:szCs w:val="28"/>
    </w:rPr>
  </w:style>
  <w:style w:styleId="Heading3" w:type="paragraph">
    <w:name w:val="Heading 3"/>
    <w:basedOn w:val="Normal"/>
    <w:next w:val="BodyText"/>
    <w:uiPriority w:val="9"/>
    <w:unhideWhenUsed/>
    <w:qFormat/>
    <w:pPr>
      <w:keepNext/>
      <w:keepLines/>
      <w:spacing w:after="100" w:before="200"/>
      <w:outlineLvl w:val="2"/>
    </w:pPr>
    <w:rPr>
      <w:rFonts w:ascii="Calibri" w:cs="Calibri" w:hAnsi="Calibri"/>
      <w:b/>
      <w:bCs/>
      <w:color w:val="1F3864"/>
      <w:sz w:val="22"/>
      <w:szCs w:val="24"/>
    </w:rPr>
  </w:style>
  <w:style w:styleId="Heading4" w:type="paragraph">
    <w:name w:val="Heading 4"/>
    <w:basedOn w:val="Normal"/>
    <w:next w:val="BodyText"/>
    <w:uiPriority w:val="9"/>
    <w:unhideWhenUsed/>
    <w:qFormat/>
    <w:pPr>
      <w:keepNext/>
      <w:keepLines/>
      <w:spacing w:after="0" w:before="200"/>
      <w:outlineLvl w:val="3"/>
    </w:pPr>
    <w:rPr>
      <w:rFonts w:ascii="Calibri" w:hAnsi="Calibr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hAnsi="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hAnsi="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hAnsi="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hAnsi="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hAnsi="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after="40" w:line="240" w:lineRule="auto"/>
    </w:pPr>
    <w:rPr>
      <w:rFonts w:ascii="Calibri" w:cs="Calibri" w:hAnsi="Calibri"/>
      <w:sz w:val="17"/>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color w:val="262626"/>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4E99"/>
    </w:rPr>
  </w:style>
  <w:style w:styleId="TOCHeading" w:type="paragraph">
    <w:name w:val="TOC Heading"/>
    <w:basedOn w:val="Heading1"/>
    <w:next w:val="BodyText"/>
    <w:uiPriority w:val="39"/>
    <w:unhideWhenUsed/>
    <w:qFormat/>
    <w:pPr>
      <w:spacing w:before="240" w:line="259" w:lineRule="auto"/>
      <w:outlineLvl w:val="9"/>
    </w:pPr>
    <w:rPr>
      <w:rFonts w:ascii="Calibri" w:hAnsi="Calibr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TableText" w:type="paragraph">
    <w:name w:val="Table Text"/>
    <w:basedOn w:val="Compact"/>
    <w:pPr>
      <w:widowControl/>
      <w:spacing w:after="20" w:before="20"/>
    </w:pPr>
    <w:rPr>
      <w:rFonts w:ascii="Calibri" w:cs="Calibri" w:hAnsi="Calibri"/>
      <w:sz w:val="1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country run: user guide</dc:title>
  <dc:creator/>
  <cp:keywords/>
  <dcterms:created xsi:type="dcterms:W3CDTF">2026-10-20T13:49:39Z</dcterms:created>
  <dcterms:modified xsi:type="dcterms:W3CDTF">2026-10-20T13:49:39Z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User guide 4 · MacroFiscalModels v0.1</vt:lpwstr>
  </property>
</Properties>
</file>