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LIC-DSF-lite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guide</w:t>
      </w:r>
      <w:r>
        <w:t xml:space="preserve"> </w:t>
      </w:r>
      <w:r>
        <w:t xml:space="preserve">3</w:t>
      </w:r>
      <w:r>
        <w:t xml:space="preserve"> </w:t>
      </w:r>
      <w:r>
        <w:t xml:space="preserve">of</w:t>
      </w:r>
      <w:r>
        <w:t xml:space="preserve"> </w:t>
      </w:r>
      <w: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t xml:space="preserve">MacroFiscalModels</w:t>
      </w:r>
      <w:r>
        <w:t xml:space="preserve"> </w:t>
      </w:r>
      <w:r>
        <w:t xml:space="preserve">v0.1</w:t>
      </w:r>
    </w:p>
    <w:bookmarkStart w:id="20" w:name="what-it-is"/>
    <w:p>
      <w:pPr>
        <w:pStyle w:val="Heading1"/>
      </w:pPr>
      <w:r>
        <w:t xml:space="preserve">What it is</w:t>
      </w:r>
    </w:p>
    <w:p>
      <w:pPr>
        <w:pStyle w:val="FirstParagraph"/>
      </w:pPr>
      <w:r>
        <w:t xml:space="preserve">LIC-DSF-lite reproduces the mechanics of the joint World Bank-IMF Debt Sustainability Framework for Low-Income Countries (2018): the country’s debt-carrying capacity, the debt-burden indicators and their thresholds, the standard stress tests and the mechanical risk signal.</w:t>
      </w:r>
    </w:p>
    <w:p>
      <w:pPr>
        <w:pStyle w:val="BodyText"/>
      </w:pPr>
      <w:r>
        <w:rPr>
          <w:bCs/>
          <w:b/>
        </w:rPr>
        <w:t xml:space="preserve">It is not a DSA.</w:t>
      </w:r>
      <w:r>
        <w:t xml:space="preserve"> </w:t>
      </w:r>
      <w:r>
        <w:t xml:space="preserve">It has no realism tools, no judgement, no small-breach rule and no market-financing module; its coefficients, thresholds and shock sizes are as recalled from the 2018 Guidance Note and</w:t>
      </w:r>
      <w:r>
        <w:t xml:space="preserve"> </w:t>
      </w:r>
      <w:r>
        <w:rPr>
          <w:bCs/>
          <w:b/>
        </w:rPr>
        <w:t xml:space="preserve">must be checked against the current Guidance Note and template before any use outside exploration.</w:t>
      </w:r>
    </w:p>
    <w:p>
      <w:pPr>
        <w:pStyle w:val="BodyText"/>
      </w:pPr>
      <w:r>
        <w:rPr>
          <w:bCs/>
          <w:b/>
        </w:rPr>
        <w:t xml:space="preserve">Use it for:</w:t>
      </w:r>
      <w:r>
        <w:t xml:space="preserve"> </w:t>
      </w:r>
      <w:r>
        <w:t xml:space="preserve">seeing how an investment programme or a macro shock moves the debt indicators against the thresholds; teaching the framework; quick sensitivity work around a country’s published DSA.</w:t>
      </w:r>
    </w:p>
    <w:bookmarkEnd w:id="20"/>
    <w:bookmarkStart w:id="21" w:name="running-it"/>
    <w:p>
      <w:pPr>
        <w:pStyle w:val="Heading1"/>
      </w:pPr>
      <w:r>
        <w:t xml:space="preserve">Running it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lic_dsf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Inputs, Terms, composite_indicator, assess, print_assessment</w:t>
      </w:r>
      <w:r>
        <w:br/>
      </w:r>
      <w:r>
        <w:br/>
      </w:r>
      <w:r>
        <w:rPr>
          <w:rStyle w:val="NormalTok"/>
        </w:rPr>
        <w:t xml:space="preserve">ci,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composite_indicator(cpia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growth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reserves_cov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remittances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world_growth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Inputs(gdp0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exports0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ext_stock0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, dom_stock0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USD bn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assess(inp, cls, disaster_prone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print_assessment(a)</w:t>
      </w:r>
    </w:p>
    <w:p>
      <w:pPr>
        <w:pStyle w:val="FirstParagraph"/>
      </w:pPr>
      <w:r>
        <w:t xml:space="preserve">With a macro model:</w:t>
      </w:r>
      <w:r>
        <w:t xml:space="preserve"> </w:t>
      </w:r>
      <w:r>
        <w:rPr>
          <w:rStyle w:val="VerbatimChar"/>
        </w:rPr>
        <w:t xml:space="preserve">dsf_overlay(inp, out["y"], out["prim_def"], prim_def_ss)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nmim_bridge</w:t>
      </w:r>
      <w:r>
        <w:t xml:space="preserve"> </w:t>
      </w:r>
      <w:r>
        <w:t xml:space="preserve">returns new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 </w:t>
      </w:r>
      <w:r>
        <w:t xml:space="preserve">shifted by the model’s change in growth and primary deficit (see</w:t>
      </w:r>
      <w:r>
        <w:t xml:space="preserve"> </w:t>
      </w:r>
      <w:r>
        <w:rPr>
          <w:rStyle w:val="VerbatimChar"/>
        </w:rPr>
        <w:t xml:space="preserve">run_demo.py</w:t>
      </w:r>
      <w:r>
        <w:t xml:space="preserve">, section C).</w:t>
      </w:r>
    </w:p>
    <w:bookmarkEnd w:id="21"/>
    <w:bookmarkStart w:id="22" w:name="step-1-debt-carrying-capacity"/>
    <w:p>
      <w:pPr>
        <w:pStyle w:val="Heading1"/>
      </w:pPr>
      <w:r>
        <w:t xml:space="preserve">Step 1: debt-carrying capacity</w:t>
      </w:r>
    </w:p>
    <w:p>
      <w:pPr>
        <w:pStyle w:val="FirstParagraph"/>
      </w:pPr>
      <w:r>
        <w:rPr>
          <w:rStyle w:val="VerbatimChar"/>
        </w:rPr>
        <w:t xml:space="preserve">composite_indicator</w:t>
      </w:r>
      <w:r>
        <w:t xml:space="preserve"> </w:t>
      </w:r>
      <w:r>
        <w:t xml:space="preserve">returns the Composite Indicator (CI) and the capacity class:</w:t>
      </w:r>
    </w:p>
    <w:p>
      <w:pPr>
        <w:pStyle w:val="BodyText"/>
      </w:pPr>
      <w:r>
        <w:t xml:space="preserve">CI = 0.385·CPIA + 2.719·growth + 4.052·(reserves/imports) − 3.990·(reserves/imports)² + 2.022·(remittances/GDP) + 13.520·(world growth)</w:t>
      </w:r>
    </w:p>
    <w:p>
      <w:pPr>
        <w:pStyle w:val="BodyText"/>
      </w:pPr>
      <w:r>
        <w:t xml:space="preserve">Weak if CI &lt; 2.69, medium from 2.69 to 3.05, strong above 3.05. Each input is a 10-year average (5 years of history and 5 of projection), in decimals (5% = 0.05); CPIA is on its 1-6 scale; reserves are in proportion of imports.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CPIA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WEO, country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reserves_cov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IFS reserves / WEO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remittances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KNOMAD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WEO</w:t>
            </w:r>
          </w:p>
        </w:tc>
      </w:tr>
    </w:tbl>
    <w:bookmarkEnd w:id="22"/>
    <w:bookmarkStart w:id="23" w:name="step-2-inputs"/>
    <w:p>
      <w:pPr>
        <w:pStyle w:val="Heading1"/>
      </w:pPr>
      <w:r>
        <w:t xml:space="preserve">Step 2: inputs</w:t>
      </w:r>
    </w:p>
    <w:p>
      <w:pPr>
        <w:pStyle w:val="FirstParagraph"/>
      </w:pPr>
      <w:r>
        <w:rPr>
          <w:rStyle w:val="VerbatimChar"/>
        </w:rPr>
        <w:t xml:space="preserve">Inputs</w:t>
      </w:r>
      <w:r>
        <w:t xml:space="preserve"> </w:t>
      </w:r>
      <w:r>
        <w:t xml:space="preserve">(all USD bn or decimals; arrays have one value per projection year,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10 years):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GDP and exports, base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5%, 2%, 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growth, USD GDP deflator growth, nominal USD export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rev_gdp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pd_gdp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16%,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excluding grants and primary deficit, % 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financing needs met by external borrowing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ext_stock0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ext_rate0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ext_mat0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1.5%,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PPG external debt, its interest rate and residual maturity (straight-line repayment)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dom_stock0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debt and its interest rate (rolled 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at 1%, 40 years, 10 grace; 40% at 6%, 10 years, 3 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of new external borrowing (</w:t>
            </w:r>
            <w:r>
              <w:rPr>
                <w:rStyle w:val="VerbatimChar"/>
              </w:rPr>
              <w:t xml:space="preserve">Terms(share, rate, maturity, grace)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sd_gx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2%, 2%, 10%,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Ten-year historical standard deviations used in the stress tests</w:t>
            </w:r>
          </w:p>
        </w:tc>
      </w:tr>
    </w:tbl>
    <w:p>
      <w:pPr>
        <w:pStyle w:val="BodyText"/>
      </w:pPr>
      <w:r>
        <w:t xml:space="preserve">Replace the defaults with the country’s DSA baseline: the macro framework, the loan-by-loan debt service of existing debt (approximated here by</w:t>
      </w:r>
      <w:r>
        <w:t xml:space="preserve"> </w:t>
      </w:r>
      <w:r>
        <w:rPr>
          <w:rStyle w:val="VerbatimChar"/>
        </w:rPr>
        <w:t xml:space="preserve">ext_rate0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ext_mat0</w:t>
      </w:r>
      <w:r>
        <w:t xml:space="preserve">) and the financing assumptions.</w:t>
      </w:r>
    </w:p>
    <w:bookmarkEnd w:id="23"/>
    <w:bookmarkStart w:id="24" w:name="step-3-indicators-and-thresholds"/>
    <w:p>
      <w:pPr>
        <w:pStyle w:val="Heading1"/>
      </w:pPr>
      <w:r>
        <w:t xml:space="preserve">Step 3: indicators and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of external debt /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of external debt /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debt service /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debt service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of total public debt / GDP (benchmark)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p>
      <w:pPr>
        <w:pStyle w:val="BodyText"/>
      </w:pPr>
      <w:r>
        <w:t xml:space="preserve">Present values discount future debt service at 5%. New loans are tracked by cohort with their own repayment schedules.</w:t>
      </w:r>
    </w:p>
    <w:bookmarkEnd w:id="24"/>
    <w:bookmarkStart w:id="25" w:name="step-4-stress-tests"/>
    <w:p>
      <w:pPr>
        <w:pStyle w:val="Heading1"/>
      </w:pPr>
      <w:r>
        <w:t xml:space="preserve">Step 4: stress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(years 2-3 unless stated)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GDP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− 1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deficit + 1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growth − 1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external borrowing of 1 SD of other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one-off in 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of each of the four above + 15% depreciation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 debt of 7% of GDP in 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disaster (</w:t>
            </w:r>
            <w:r>
              <w:rPr>
                <w:rStyle w:val="VerbatimChar"/>
              </w:rPr>
              <w:t xml:space="preserve">disaster_prone=True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GDP debt, growth − 1.5 pp, export growth − 3.5 pp in year 2</w:t>
            </w:r>
          </w:p>
        </w:tc>
      </w:tr>
    </w:tbl>
    <w:bookmarkEnd w:id="25"/>
    <w:bookmarkStart w:id="26" w:name="step-5-the-rating"/>
    <w:p>
      <w:pPr>
        <w:pStyle w:val="Heading1"/>
      </w:pPr>
      <w:r>
        <w:t xml:space="preserve">Step 5: the rating</w:t>
      </w:r>
    </w:p>
    <w:p>
      <w:pPr>
        <w:pStyle w:val="FirstParagraph"/>
      </w:pPr>
      <w:r>
        <w:rPr>
          <w:rStyle w:val="VerbatimChar"/>
        </w:rPr>
        <w:t xml:space="preserve">assess</w:t>
      </w:r>
      <w:r>
        <w:t xml:space="preserve"> </w:t>
      </w:r>
      <w:r>
        <w:t xml:space="preserve">returns, for each indicator, the maximum over the 10 years in the baseline and under the most extreme test. Then:</w:t>
      </w:r>
    </w:p>
    <w:p>
      <w:pPr>
        <w:numPr>
          <w:ilvl w:val="0"/>
          <w:numId w:val="1001"/>
        </w:numPr>
        <w:pStyle w:val="Compact"/>
      </w:pPr>
      <w:r>
        <w:t xml:space="preserve">a baseline breach of any external threshold →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risk of external debt distress;</w:t>
      </w:r>
    </w:p>
    <w:p>
      <w:pPr>
        <w:numPr>
          <w:ilvl w:val="0"/>
          <w:numId w:val="1001"/>
        </w:numPr>
        <w:pStyle w:val="Compact"/>
      </w:pPr>
      <w:r>
        <w:t xml:space="preserve">a breach only under stress →</w:t>
      </w:r>
      <w:r>
        <w:t xml:space="preserve"> </w:t>
      </w:r>
      <w:r>
        <w:rPr>
          <w:bCs/>
          <w:b/>
        </w:rPr>
        <w:t xml:space="preserve">Moderate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no breach →</w:t>
      </w:r>
      <w:r>
        <w:t xml:space="preserve"> </w:t>
      </w:r>
      <w:r>
        <w:rPr>
          <w:bCs/>
          <w:b/>
        </w:rPr>
        <w:t xml:space="preserve">Low</w:t>
      </w:r>
      <w:r>
        <w:t xml:space="preserve">.</w:t>
      </w:r>
    </w:p>
    <w:p>
      <w:pPr>
        <w:pStyle w:val="FirstParagraph"/>
      </w:pPr>
      <w:r>
        <w:t xml:space="preserve">The same rule on the public debt benchmark gives the public signal; the overall rating is the worse of the two.</w:t>
      </w:r>
      <w:r>
        <w:t xml:space="preserve"> </w:t>
      </w:r>
      <w:r>
        <w:rPr>
          <w:rStyle w:val="VerbatimChar"/>
        </w:rPr>
        <w:t xml:space="preserve">a["base"]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a["tests"]</w:t>
      </w:r>
      <w:r>
        <w:t xml:space="preserve"> </w:t>
      </w:r>
      <w:r>
        <w:t xml:space="preserve">hold the full paths for charts.</w:t>
      </w:r>
    </w:p>
    <w:bookmarkEnd w:id="26"/>
    <w:bookmarkStart w:id="27" w:name="recipes"/>
    <w:p>
      <w:pPr>
        <w:pStyle w:val="Heading1"/>
      </w:pPr>
      <w:r>
        <w:t xml:space="preserve">Recipes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an investment 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dsf_overlay</w:t>
            </w:r>
            <w:r>
              <w:t xml:space="preserve"> </w:t>
            </w:r>
            <w:r>
              <w:t xml:space="preserve">with GIMF-lite or DIGNAD-lite paths, then</w:t>
            </w:r>
            <w:r>
              <w:t xml:space="preserve"> </w:t>
            </w:r>
            <w:r>
              <w:rPr>
                <w:rStyle w:val="VerbatimChar"/>
              </w:rPr>
              <w:t xml:space="preserve">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concessional borrowing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the concessional share in</w:t>
            </w:r>
            <w:r>
              <w:t xml:space="preserve"> </w:t>
            </w:r>
            <w:r>
              <w:rPr>
                <w:rStyle w:val="VerbatimChar"/>
              </w:rPr>
              <w:t xml:space="preserve">new_terms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Weaker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assess(inp, "weak")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Bigger historical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sd_g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sd_gx</w:t>
            </w:r>
          </w:p>
        </w:tc>
      </w:tr>
    </w:tbl>
    <w:bookmarkEnd w:id="27"/>
    <w:bookmarkStart w:id="28" w:name="limits"/>
    <w:p>
      <w:pPr>
        <w:pStyle w:val="Heading1"/>
      </w:pPr>
      <w:r>
        <w:t xml:space="preserve">Limits</w:t>
      </w:r>
    </w:p>
    <w:p>
      <w:pPr>
        <w:pStyle w:val="FirstParagraph"/>
      </w:pPr>
      <w:r>
        <w:t xml:space="preserve">USD only; PPG external debt only; domestic debt at face value; existing debt service approximated; no realism tools, judgement or small-breach rule; coefficients and thresholds to be checked against the current Guidance Note.</w:t>
      </w:r>
    </w:p>
    <w:bookmarkEnd w:id="28"/>
    <w:sectPr>
      <w:pgSz w:h="15840" w:w="12240"/>
      <w:pgMar w:bottom="1296" w:footer="720" w:gutter="0" w:header="720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>
      <w:rFonts w:ascii="Calibri" w:cs="Calibri" w:hAnsi="Calibri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Compact" w:type="paragraph">
    <w:name w:val="Compact"/>
    <w:basedOn w:val="BodyText"/>
    <w:qFormat/>
    <w:pPr>
      <w:widowControl/>
      <w:spacing w:after="60" w:before="0"/>
    </w:pPr>
    <w:rPr>
      <w:rFonts w:ascii="Calibri" w:cs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cs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Calibri" w:cs="Calibri" w:hAnsi="Calibri"/>
      <w:b w:val="0"/>
      <w:i w:val="0"/>
      <w:color w:val="404040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 w:val="21"/>
    </w:rPr>
  </w:style>
  <w:style w:styleId="Date" w:type="paragraph">
    <w:name w:val="Date"/>
    <w:next w:val="BodyText"/>
    <w:qFormat/>
    <w:pPr>
      <w:keepNext/>
      <w:keepLines/>
      <w:spacing w:after="280"/>
      <w:jc w:val="center"/>
    </w:pPr>
    <w:rPr>
      <w:rFonts w:ascii="Calibri" w:cs="Calibri" w:hAnsi="Calibri"/>
      <w:b w:val="0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libri" w:cs="Calibri" w:hAnsi="Calibr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cs="Calibri" w:hAnsi="Calibri"/>
      <w:b/>
      <w:bCs/>
      <w:color w:val="1F38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cs="Calibri" w:hAnsi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Calibri" w:cs="Calibri" w:hAnsi="Calibri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262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TableText" w:type="paragraph">
    <w:name w:val="Table Text"/>
    <w:basedOn w:val="Compact"/>
    <w:pPr>
      <w:widowControl/>
      <w:spacing w:after="20" w:before="20"/>
    </w:pPr>
    <w:rPr>
      <w:rFonts w:ascii="Calibri" w:cs="Calibri" w:hAnsi="Calibr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LIC-DSF-lite user guide</dc:title>
  <dc:creator/>
  <cp:keywords/>
  <dcterms:created xsi:type="dcterms:W3CDTF">2026-10-20T12:57:22Z</dcterms:created>
  <dcterms:modified xsi:type="dcterms:W3CDTF">2026-10-20T12:57:22Z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guide 3 of 3 · MacroFiscalModels v0.1</vt:lpwstr>
  </property>
</Properties>
</file>