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DIGNAD-lite</w:t>
      </w:r>
      <w:r>
        <w:t xml:space="preserve"> </w:t>
      </w:r>
      <w:r>
        <w:t xml:space="preserve">user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User</w:t>
      </w:r>
      <w:r>
        <w:t xml:space="preserve"> </w:t>
      </w:r>
      <w:r>
        <w:t xml:space="preserve">guide</w:t>
      </w:r>
      <w:r>
        <w:t xml:space="preserve"> </w:t>
      </w:r>
      <w:r>
        <w:t xml:space="preserve">2</w:t>
      </w:r>
      <w:r>
        <w:t xml:space="preserve"> </w:t>
      </w:r>
      <w:r>
        <w:t xml:space="preserve">of</w:t>
      </w:r>
      <w:r>
        <w:t xml:space="preserve"> </w:t>
      </w:r>
      <w:r>
        <w:t xml:space="preserve">3</w:t>
      </w:r>
      <w:r>
        <w:t xml:space="preserve"> </w:t>
      </w:r>
      <w:r>
        <w:t xml:space="preserve">·</w:t>
      </w:r>
      <w:r>
        <w:t xml:space="preserve"> </w:t>
      </w:r>
      <w:r>
        <w:t xml:space="preserve">MacroFiscalModels</w:t>
      </w:r>
      <w:r>
        <w:t xml:space="preserve"> </w:t>
      </w:r>
      <w:r>
        <w:t xml:space="preserve">v0.1</w:t>
      </w:r>
    </w:p>
    <w:bookmarkStart w:id="20" w:name="what-it-is"/>
    <w:p>
      <w:pPr>
        <w:pStyle w:val="Heading1"/>
      </w:pPr>
      <w:r>
        <w:t xml:space="preserve">What it is</w:t>
      </w:r>
    </w:p>
    <w:p>
      <w:pPr>
        <w:pStyle w:val="FirstParagraph"/>
      </w:pPr>
      <w:r>
        <w:t xml:space="preserve">The same module is also</w:t>
      </w:r>
      <w:r>
        <w:t xml:space="preserve"> </w:t>
      </w:r>
      <w:r>
        <w:rPr>
          <w:bCs/>
          <w:b/>
        </w:rPr>
        <w:t xml:space="preserve">DIGNAR-lite</w:t>
      </w:r>
      <w:r>
        <w:t xml:space="preserve"> </w:t>
      </w:r>
      <w:r>
        <w:t xml:space="preserve">when the resource block is on (see Parameters).</w:t>
      </w:r>
    </w:p>
    <w:p>
      <w:pPr>
        <w:pStyle w:val="BodyText"/>
      </w:pPr>
      <w:r>
        <w:t xml:space="preserve">DIGNAD-lite is a simplified version of the IMF’s Debt-Investment-Growth and Natural Disasters model (Marto, Papageorgiou and Klyuev 2018), which builds on the DIG model of public investment scale-ups in low-income countries (Buffie, Berg, Pattillo, Portillo and Zanna 2012).</w:t>
      </w:r>
    </w:p>
    <w:p>
      <w:pPr>
        <w:pStyle w:val="BodyText"/>
      </w:pPr>
      <w:r>
        <w:t xml:space="preserve">It has savers (who borrow abroad at a debt-elastic rate) and hand-to-mouth households; private capital with adjustment costs;</w:t>
      </w:r>
      <w:r>
        <w:t xml:space="preserve"> </w:t>
      </w:r>
      <w:r>
        <w:rPr>
          <w:bCs/>
          <w:b/>
        </w:rPr>
        <w:t xml:space="preserve">two public capital stocks</w:t>
      </w:r>
      <w:r>
        <w:t xml:space="preserve">, standard and adaptation (adaptation costs more but is destroyed less by disasters);</w:t>
      </w:r>
      <w:r>
        <w:t xml:space="preserve"> </w:t>
      </w:r>
      <w:r>
        <w:rPr>
          <w:bCs/>
          <w:b/>
        </w:rPr>
        <w:t xml:space="preserve">public investment efficiency</w:t>
      </w:r>
      <w:r>
        <w:t xml:space="preserve"> </w:t>
      </w:r>
      <w:r>
        <w:t xml:space="preserve">(only a share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of each dollar becomes capital);</w:t>
      </w:r>
      <w:r>
        <w:t xml:space="preserve"> </w:t>
      </w:r>
      <w:r>
        <w:rPr>
          <w:bCs/>
          <w:b/>
        </w:rPr>
        <w:t xml:space="preserve">three kinds of financing</w:t>
      </w:r>
      <w:r>
        <w:t xml:space="preserve">: grants, concessional loans and commercial external debt, whose rate rises with the debt stock; and a fiscal rule in which the consumption tax and transfers close the gap.</w:t>
      </w:r>
    </w:p>
    <w:p>
      <w:pPr>
        <w:pStyle w:val="BodyText"/>
      </w:pPr>
      <w:r>
        <w:rPr>
          <w:bCs/>
          <w:b/>
        </w:rPr>
        <w:t xml:space="preserve">Use it for:</w:t>
      </w:r>
      <w:r>
        <w:t xml:space="preserve"> </w:t>
      </w:r>
      <w:r>
        <w:t xml:space="preserve">low-income and disaster-prone countries; public investment scale-ups (including NMIM’s budget need); the value of concessional finance and of better public investment management; disasters, reconstruction and adaptation.</w:t>
      </w:r>
    </w:p>
    <w:p>
      <w:pPr>
        <w:pStyle w:val="BodyText"/>
      </w:pPr>
      <w:r>
        <w:rPr>
          <w:bCs/>
          <w:b/>
        </w:rPr>
        <w:t xml:space="preserve">Do not use it for:</w:t>
      </w:r>
      <w:r>
        <w:t xml:space="preserve"> </w:t>
      </w:r>
      <w:r>
        <w:t xml:space="preserve">private investment pushes (use GIMF-lite), monetary policy or the exchange rate (one good, no money).</w:t>
      </w:r>
    </w:p>
    <w:bookmarkEnd w:id="20"/>
    <w:bookmarkStart w:id="21" w:name="running-it"/>
    <w:p>
      <w:pPr>
        <w:pStyle w:val="Heading1"/>
      </w:pPr>
      <w:r>
        <w:t xml:space="preserve">Running it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replace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dignad_lite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dg</w:t>
      </w:r>
      <w:r>
        <w:br/>
      </w:r>
      <w:r>
        <w:br/>
      </w:r>
      <w:r>
        <w:rPr>
          <w:rStyle w:val="CommentTok"/>
        </w:rPr>
        <w:t xml:space="preserve"># a disaster with reconstruction (defaults)</w:t>
      </w:r>
      <w:r>
        <w:br/>
      </w:r>
      <w:r>
        <w:rPr>
          <w:rStyle w:val="NormalTok"/>
        </w:rPr>
        <w:t xml:space="preserve">out, ss, 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dg.solve(dg.Params())</w:t>
      </w:r>
      <w:r>
        <w:br/>
      </w:r>
      <w:r>
        <w:br/>
      </w:r>
      <w:r>
        <w:rPr>
          <w:rStyle w:val="CommentTok"/>
        </w:rPr>
        <w:t xml:space="preserve"># the NMIM public programme, no disaster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nmim_bridge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programme, run_dignad</w:t>
      </w:r>
      <w:r>
        <w:br/>
      </w:r>
      <w:r>
        <w:rPr>
          <w:rStyle w:val="NormalTok"/>
        </w:rPr>
        <w:t xml:space="preserve">out, ss, 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run_dignad(programme(</w:t>
      </w:r>
      <w:r>
        <w:rPr>
          <w:rStyle w:val="StringTok"/>
        </w:rPr>
        <w:t xml:space="preserve">"ETH"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your own programme: 1% of GDP for 10 years, 50% grants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dg.Params(eps_k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eps_g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eps_a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rec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sh_grant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sh_conc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out, ss, 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dg.solve(p)</w:t>
      </w:r>
    </w:p>
    <w:p>
      <w:pPr>
        <w:pStyle w:val="FirstParagraph"/>
      </w:pPr>
      <w:r>
        <w:t xml:space="preserve">The disaster is a surprise at year 1; then the path is known (perfect foresight). To run a programme without a disaster, set</w:t>
      </w:r>
      <w:r>
        <w:t xml:space="preserve"> </w:t>
      </w:r>
      <w:r>
        <w:rPr>
          <w:rStyle w:val="VerbatimChar"/>
        </w:rPr>
        <w:t xml:space="preserve">eps_k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eps_g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</w:t>
      </w:r>
      <w:r>
        <w:t xml:space="preserve"> </w:t>
      </w:r>
      <w:r>
        <w:t xml:space="preserve">to 0, as</w:t>
      </w:r>
      <w:r>
        <w:t xml:space="preserve"> </w:t>
      </w:r>
      <w:r>
        <w:rPr>
          <w:rStyle w:val="VerbatimChar"/>
        </w:rPr>
        <w:t xml:space="preserve">run_dignad</w:t>
      </w:r>
      <w:r>
        <w:t xml:space="preserve"> </w:t>
      </w:r>
      <w:r>
        <w:t xml:space="preserve">does.</w:t>
      </w:r>
    </w:p>
    <w:bookmarkEnd w:id="21"/>
    <w:bookmarkStart w:id="28" w:name="parameters"/>
    <w:p>
      <w:pPr>
        <w:pStyle w:val="Heading1"/>
      </w:pPr>
      <w:r>
        <w:t xml:space="preserve">Parameters</w:t>
      </w:r>
    </w:p>
    <w:p>
      <w:pPr>
        <w:pStyle w:val="FirstParagraph"/>
      </w:pPr>
      <w:r>
        <w:t xml:space="preserve">All shares are of GDP; rates are annual and real.</w:t>
      </w:r>
    </w:p>
    <w:bookmarkStart w:id="22" w:name="economy"/>
    <w:p>
      <w:pPr>
        <w:pStyle w:val="Heading2"/>
      </w:pPr>
      <w:r>
        <w:t xml:space="preserve">Economy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real interest rate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capital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0.06, 0.05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Depreciation, private and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 Investment and Capital Stock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investment adjustment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hand-to-mouth households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Findex, household surveys</w:t>
            </w:r>
          </w:p>
        </w:tc>
      </w:tr>
    </w:tbl>
    <w:bookmarkEnd w:id="22"/>
    <w:bookmarkStart w:id="23" w:name="public-investment"/>
    <w:p>
      <w:pPr>
        <w:pStyle w:val="Heading2"/>
      </w:pPr>
      <w:r>
        <w:t xml:space="preserve">Public investment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Efficiency: share of spending that becomes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PIMA, PIE-X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on public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 literature: 10-25%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0.06, 0.01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and adaptation public investment before the shock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BOOST, budget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premium of adaptation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studies; 15-50%</w:t>
            </w:r>
          </w:p>
        </w:tc>
      </w:tr>
    </w:tbl>
    <w:bookmarkEnd w:id="23"/>
    <w:bookmarkStart w:id="24" w:name="fiscal-and-debt"/>
    <w:p>
      <w:pPr>
        <w:pStyle w:val="Heading2"/>
      </w:pPr>
      <w:r>
        <w:t xml:space="preserve">Fiscal and debt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tau_y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tau_c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0.10, 0.10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and consumption tax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0.08, 0.02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consumption and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Budget, OECD CRS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0.30, 0.01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Concessional debt and its real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DSA, World Bank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eta_g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0.20, 0.05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external debt and its premium elasticity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DSA, spreads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eta_p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0.10, 0.05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external debt and its premium elasticity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lam_tau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lam_tr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0.05, 0.05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rule: response of the consumption tax and of transfers to the debt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Judgement</w:t>
            </w:r>
          </w:p>
        </w:tc>
      </w:tr>
    </w:tbl>
    <w:bookmarkEnd w:id="24"/>
    <w:bookmarkStart w:id="25" w:name="disaster"/>
    <w:p>
      <w:pPr>
        <w:pStyle w:val="Heading2"/>
      </w:pPr>
      <w:r>
        <w:t xml:space="preserve">Disaster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eps_k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0.10, 0.10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private and standard public capital destroyed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Post-disaster needs assessments (PDNA), EM-DAT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rho_res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Adaptation capital is destroyed at (1 −</w:t>
            </w:r>
            <w:r>
              <w:t xml:space="preserve"> </w:t>
            </w:r>
            <w:r>
              <w:rPr>
                <w:rStyle w:val="VerbatimChar"/>
              </w:rPr>
              <w:t xml:space="preserve">rho_res</w:t>
            </w:r>
            <w:r>
              <w:t xml:space="preserve">) ×</w:t>
            </w:r>
            <w:r>
              <w:t xml:space="preserve"> </w:t>
            </w:r>
            <w:r>
              <w:rPr>
                <w:rStyle w:val="VerbatimChar"/>
              </w:rPr>
              <w:t xml:space="preserve">eps_g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rho_a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0.03, 0.6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TFP loss and its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 on disaster output losses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the adaptation share reduces private and TFP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Judgement</w:t>
            </w:r>
          </w:p>
        </w:tc>
      </w:tr>
    </w:tbl>
    <w:bookmarkEnd w:id="25"/>
    <w:bookmarkStart w:id="26" w:name="reconstruction-and-programme-financing"/>
    <w:p>
      <w:pPr>
        <w:pStyle w:val="Heading2"/>
      </w:pPr>
      <w:r>
        <w:t xml:space="preserve">Reconstruction and programme financing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rho_rec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0.03, 0.7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 spending in year 1, and its decay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back better: share of reconstruction that is adaptation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sh_grant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sh_conc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0.3, 0.3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financed by grants and new concessional loans; the rest is 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amort_k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Repayment rate of concessional 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of extra public investment, % GDP by year from 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prog_bbb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the programme that is adaptation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prog_taper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over which the programme tapers to zero after its last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prog_spend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spending that builds no capital (non-CO2, land use), same financing as</w:t>
            </w:r>
            <w:r>
              <w:t xml:space="preserve"> </w:t>
            </w:r>
            <w:r>
              <w:rPr>
                <w:rStyle w:val="VerbatimChar"/>
              </w:rPr>
              <w:t xml:space="preserve">prog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earmarked for the programme (e.g. feasible carbon pricing), % GDP by year</w:t>
            </w:r>
          </w:p>
        </w:tc>
      </w:tr>
    </w:tbl>
    <w:bookmarkEnd w:id="26"/>
    <w:bookmarkStart w:id="27" w:name="resource-block-dignar-lite"/>
    <w:p>
      <w:pPr>
        <w:pStyle w:val="Heading2"/>
      </w:pPr>
      <w:r>
        <w:t xml:space="preserve">Resource block (DIGNAR-lite)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rents, % of non-resource GDP; 0 switches the block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WDI oil + gas + coal rents (dashboard)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gov_take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share of 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fiscal regime, EITI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rents_path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Rents by year from year 1, held at the last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price and volume scenario;</w:t>
            </w:r>
            <w:r>
              <w:t xml:space="preserve"> </w:t>
            </w:r>
            <w:r>
              <w:rPr>
                <w:rStyle w:val="VerbatimChar"/>
              </w:rPr>
              <w:t xml:space="preserve">calibration.to_dignar</w:t>
            </w:r>
            <w:r>
              <w:t xml:space="preserve"> </w:t>
            </w:r>
            <w:r>
              <w:t xml:space="preserve">uses an 80% fall by 2050</w:t>
            </w:r>
          </w:p>
        </w:tc>
      </w:tr>
    </w:tbl>
    <w:p>
      <w:pPr>
        <w:pStyle w:val="BodyText"/>
      </w:pPr>
      <w:r>
        <w:t xml:space="preserve">With the block on,</w:t>
      </w:r>
      <w:r>
        <w:t xml:space="preserve"> </w:t>
      </w:r>
      <w:r>
        <w:rPr>
          <w:rStyle w:val="VerbatimChar"/>
        </w:rPr>
        <w:t xml:space="preserve">out["gdp"]</w:t>
      </w:r>
      <w:r>
        <w:t xml:space="preserve"> </w:t>
      </w:r>
      <w:r>
        <w:t xml:space="preserve">is total GDP (non-resource + rents) and</w:t>
      </w:r>
      <w:r>
        <w:t xml:space="preserve"> </w:t>
      </w:r>
      <w:r>
        <w:rPr>
          <w:rStyle w:val="VerbatimChar"/>
        </w:rPr>
        <w:t xml:space="preserve">debt_gdp</w:t>
      </w:r>
      <w:r>
        <w:t xml:space="preserve"> </w:t>
      </w:r>
      <w:r>
        <w:t xml:space="preserve">is debt over total GDP. A permanent fall in rents needs a firmer fiscal rule (</w:t>
      </w:r>
      <w:r>
        <w:rPr>
          <w:rStyle w:val="VerbatimChar"/>
        </w:rPr>
        <w:t xml:space="preserve">lam_tau = lam_tr = 0.2</w:t>
      </w:r>
      <w:r>
        <w:t xml:space="preserve">), which</w:t>
      </w:r>
      <w:r>
        <w:t xml:space="preserve"> </w:t>
      </w:r>
      <w:r>
        <w:rPr>
          <w:rStyle w:val="VerbatimChar"/>
        </w:rPr>
        <w:t xml:space="preserve">to_dignar</w:t>
      </w:r>
      <w:r>
        <w:t xml:space="preserve"> </w:t>
      </w:r>
      <w:r>
        <w:t xml:space="preserve">sets.</w:t>
      </w:r>
    </w:p>
    <w:bookmarkEnd w:id="27"/>
    <w:bookmarkEnd w:id="28"/>
    <w:bookmarkStart w:id="29" w:name="outputs"/>
    <w:p>
      <w:pPr>
        <w:pStyle w:val="Heading1"/>
      </w:pPr>
      <w:r>
        <w:t xml:space="preserve">Outputs</w:t>
      </w:r>
    </w:p>
    <w:p>
      <w:pPr>
        <w:pStyle w:val="FirstParagraph"/>
      </w:pPr>
      <w:r>
        <w:rPr>
          <w:rStyle w:val="VerbatimChar"/>
        </w:rPr>
        <w:t xml:space="preserve">out</w:t>
      </w:r>
      <w:r>
        <w:t xml:space="preserve"> </w:t>
      </w:r>
      <w:r>
        <w:t xml:space="preserve">holds annual paths from year 1;</w:t>
      </w:r>
      <w:r>
        <w:t xml:space="preserve"> </w:t>
      </w:r>
      <w:r>
        <w:rPr>
          <w:rStyle w:val="VerbatimChar"/>
        </w:rPr>
        <w:t xml:space="preserve">ss</w:t>
      </w:r>
      <w:r>
        <w:t xml:space="preserve"> </w:t>
      </w:r>
      <w:r>
        <w:t xml:space="preserve">is the steady state (GDP = 1):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GDP; total, savers’ and hand-to-mouth consumption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Private, standard public and adaptation public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debt_gdp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Commercial, concessional, total public debt; debt / GDP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and private borrowing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tauc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 tax and transfers (the fiscal rule’s instruments)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prim_bal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and primary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exogenous paths used</w:t>
            </w:r>
          </w:p>
        </w:tc>
      </w:tr>
    </w:tbl>
    <w:bookmarkEnd w:id="29"/>
    <w:bookmarkStart w:id="30" w:name="recipes"/>
    <w:p>
      <w:pPr>
        <w:pStyle w:val="Heading1"/>
      </w:pPr>
      <w:r>
        <w:t xml:space="preserve">Recipes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of concessional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sh_grant=0.3, sh_conc=0.3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sh_grant=0, sh_conc=0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of better public investment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s=0.4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s=0.7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back better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bbb=1.0</w:t>
            </w:r>
            <w:r>
              <w:t xml:space="preserve"> </w:t>
            </w:r>
            <w:r>
              <w:t xml:space="preserve">(reconstruction as adaptation capital)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Adaptation before the disaster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ig2</w:t>
            </w:r>
            <w:r>
              <w:t xml:space="preserve"> </w:t>
            </w:r>
            <w:r>
              <w:t xml:space="preserve">and lower</w:t>
            </w:r>
            <w:r>
              <w:t xml:space="preserve"> </w:t>
            </w:r>
            <w:r>
              <w:rPr>
                <w:rStyle w:val="VerbatimChar"/>
              </w:rPr>
              <w:t xml:space="preserve">ig1</w:t>
            </w:r>
            <w:r>
              <w:t xml:space="preserve"> </w:t>
            </w:r>
            <w:r>
              <w:t xml:space="preserve">(same total), e.g. </w:t>
            </w:r>
            <w:r>
              <w:rPr>
                <w:rStyle w:val="VerbatimChar"/>
              </w:rPr>
              <w:t xml:space="preserve">ig1=0.04, ig2=0.03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Bigger disaster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eps_k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eps_g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eps_a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Faster fiscal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lam_tau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lam_tr</w:t>
            </w:r>
          </w:p>
        </w:tc>
      </w:tr>
    </w:tbl>
    <w:bookmarkEnd w:id="30"/>
    <w:bookmarkStart w:id="31" w:name="reading-the-results"/>
    <w:p>
      <w:pPr>
        <w:pStyle w:val="Heading1"/>
      </w:pPr>
      <w:r>
        <w:t xml:space="preserve">Reading the results</w:t>
      </w:r>
    </w:p>
    <w:p>
      <w:pPr>
        <w:numPr>
          <w:ilvl w:val="0"/>
          <w:numId w:val="1001"/>
        </w:numPr>
        <w:pStyle w:val="Compact"/>
      </w:pPr>
      <w:r>
        <w:t xml:space="preserve">Reconstruction speeds the recovery but raises debt; grants and concessional loans reduce the debt cost.</w:t>
      </w:r>
    </w:p>
    <w:p>
      <w:pPr>
        <w:numPr>
          <w:ilvl w:val="0"/>
          <w:numId w:val="1001"/>
        </w:numPr>
        <w:pStyle w:val="Compact"/>
      </w:pPr>
      <w:r>
        <w:t xml:space="preserve">Build back better costs more today and pays off only when the next disaster hits. With a single disaster it looks slightly worse; the</w:t>
      </w:r>
      <w:r>
        <w:t xml:space="preserve"> </w:t>
      </w:r>
      <w:r>
        <w:t xml:space="preserve">“</w:t>
      </w:r>
      <w:r>
        <w:t xml:space="preserve">adaptation first</w:t>
      </w:r>
      <w:r>
        <w:t xml:space="preserve">”</w:t>
      </w:r>
      <w:r>
        <w:t xml:space="preserve"> </w:t>
      </w:r>
      <w:r>
        <w:t xml:space="preserve">scenario shows the payoff.</w:t>
      </w:r>
    </w:p>
    <w:p>
      <w:pPr>
        <w:numPr>
          <w:ilvl w:val="0"/>
          <w:numId w:val="1001"/>
        </w:numPr>
        <w:pStyle w:val="Compact"/>
      </w:pPr>
      <w:r>
        <w:t xml:space="preserve">Hand-to-mouth consumption falls with wages and with transfers cut by the fiscal rule; it is the welfare-relevant series for the poor.</w:t>
      </w:r>
    </w:p>
    <w:bookmarkEnd w:id="31"/>
    <w:bookmarkStart w:id="32" w:name="limits"/>
    <w:p>
      <w:pPr>
        <w:pStyle w:val="Heading1"/>
      </w:pPr>
      <w:r>
        <w:t xml:space="preserve">Limits</w:t>
      </w:r>
    </w:p>
    <w:p>
      <w:pPr>
        <w:pStyle w:val="FirstParagraph"/>
      </w:pPr>
      <w:r>
        <w:t xml:space="preserve">One good; fixed labour; no domestic debt; a single surprise disaster (no recurrent disasters or insurance); the programme tapers to zero after it ends. See the method note, section 6.</w:t>
      </w:r>
    </w:p>
    <w:bookmarkEnd w:id="32"/>
    <w:sectPr>
      <w:pgSz w:h="15840" w:w="12240"/>
      <w:pgMar w:bottom="1296" w:footer="720" w:gutter="0" w:header="720" w:left="1296" w:right="1296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</w:pPr>
    <w:rPr>
      <w:rFonts w:ascii="Calibri" w:cs="Calibri" w:hAnsi="Calibri"/>
      <w:sz w:val="21"/>
    </w:rPr>
  </w:style>
  <w:style w:styleId="BodyText" w:type="paragraph">
    <w:name w:val="Body Text"/>
    <w:basedOn w:val="Normal"/>
    <w:link w:val="BodyTextChar"/>
    <w:qFormat/>
    <w:pPr>
      <w:widowControl/>
      <w:spacing w:after="120" w:before="0" w:line="269" w:lineRule="auto"/>
    </w:pPr>
    <w:rPr>
      <w:rFonts w:ascii="Calibri" w:cs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before="0" w:line="269" w:lineRule="auto"/>
    </w:pPr>
    <w:rPr>
      <w:rFonts w:ascii="Calibri" w:cs="Calibri" w:hAnsi="Calibri"/>
      <w:sz w:val="21"/>
    </w:rPr>
  </w:style>
  <w:style w:customStyle="1" w:styleId="Compact" w:type="paragraph">
    <w:name w:val="Compact"/>
    <w:basedOn w:val="BodyText"/>
    <w:qFormat/>
    <w:pPr>
      <w:widowControl/>
      <w:spacing w:after="60" w:before="0"/>
    </w:pPr>
    <w:rPr>
      <w:rFonts w:ascii="Calibri" w:cs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480"/>
      <w:jc w:val="center"/>
    </w:pPr>
    <w:rPr>
      <w:rFonts w:ascii="Calibri" w:cs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Calibri" w:cs="Calibri" w:hAnsi="Calibri"/>
      <w:b w:val="0"/>
      <w:i w:val="0"/>
      <w:color w:val="404040"/>
      <w:sz w:val="25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cs="Calibri" w:hAnsi="Calibri"/>
      <w:sz w:val="21"/>
    </w:rPr>
  </w:style>
  <w:style w:styleId="Date" w:type="paragraph">
    <w:name w:val="Date"/>
    <w:next w:val="BodyText"/>
    <w:qFormat/>
    <w:pPr>
      <w:keepNext/>
      <w:keepLines/>
      <w:spacing w:after="280"/>
      <w:jc w:val="center"/>
    </w:pPr>
    <w:rPr>
      <w:rFonts w:ascii="Calibri" w:cs="Calibri" w:hAnsi="Calibri"/>
      <w:b w:val="0"/>
      <w:color w:val="595959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/>
      <w:outlineLvl w:val="0"/>
    </w:pPr>
    <w:rPr>
      <w:rFonts w:ascii="Calibri" w:cs="Calibri" w:hAnsi="Calibri"/>
      <w:b/>
      <w:bCs/>
      <w:color w:val="1F3864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="Calibri" w:cs="Calibri" w:hAnsi="Calibri"/>
      <w:b/>
      <w:bCs/>
      <w:color w:val="1F3864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Calibri" w:cs="Calibri" w:hAnsi="Calibri"/>
      <w:b/>
      <w:bCs/>
      <w:color w:val="1F3864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hAnsi="Calib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40" w:line="240" w:lineRule="auto"/>
    </w:pPr>
    <w:rPr>
      <w:rFonts w:ascii="Calibri" w:cs="Calibri" w:hAnsi="Calibri"/>
      <w:sz w:val="17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262626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9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TableText" w:type="paragraph">
    <w:name w:val="Table Text"/>
    <w:basedOn w:val="Compact"/>
    <w:pPr>
      <w:widowControl/>
      <w:spacing w:after="20" w:before="20"/>
    </w:pPr>
    <w:rPr>
      <w:rFonts w:ascii="Calibri" w:cs="Calibri" w:hAnsi="Calibri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DIGNAD-lite user guide</dc:title>
  <dc:creator/>
  <cp:keywords/>
  <dcterms:created xsi:type="dcterms:W3CDTF">2026-10-20T13:49:39Z</dcterms:created>
  <dcterms:modified xsi:type="dcterms:W3CDTF">2026-10-20T13:49:39Z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User guide 2 of 3 · MacroFiscalModels v0.1</vt:lpwstr>
  </property>
</Properties>
</file>