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73902dfb3f4468a3b11f5055f691396fc2a6be"/>
    <w:p>
      <w:pPr>
        <w:pStyle w:val="Heading1"/>
      </w:pPr>
      <w:r>
        <w:t xml:space="preserve">Kenya: what a net zero programme would cost the budget, and what it would do to debt</w:t>
      </w:r>
    </w:p>
    <w:p>
      <w:pPr>
        <w:pStyle w:val="FirstParagraph"/>
      </w:pPr>
      <w:r>
        <w:rPr>
          <w:iCs/>
          <w:i/>
        </w:rPr>
        <w:t xml:space="preserve">A worked example from the Integrated MF-C tool v0.4 (</w:t>
      </w:r>
      <w:r>
        <w:rPr>
          <w:rStyle w:val="VerbatimChar"/>
          <w:iCs/>
          <w:i/>
        </w:rPr>
        <w:t xml:space="preserve">../Integrated_MFC_Tool_v0.4.xlsx</w:t>
      </w:r>
      <w:r>
        <w:rPr>
          <w:iCs/>
          <w:i/>
        </w:rPr>
        <w:t xml:space="preserve">, pick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Kenya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on the Dashboard). 20 October 2026. Every number below is in the tool; the investment and</w:t>
      </w:r>
      <w:r>
        <w:rPr>
          <w:iCs/>
          <w:i/>
        </w:rPr>
        <w:t xml:space="preserve"> </w:t>
      </w:r>
      <w:r>
        <w:rPr>
          <w:iCs/>
          <w:i/>
        </w:rPr>
        <w:t xml:space="preserve">macro figures are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model output with illustrative calibrations, not forecasts</w:t>
      </w:r>
      <w:r>
        <w:rPr>
          <w:iCs/>
          <w:i/>
        </w:rPr>
        <w:t xml:space="preserve">.</w:t>
      </w:r>
    </w:p>
    <w:bookmarkStart w:id="20" w:name="the-short-version"/>
    <w:p>
      <w:pPr>
        <w:pStyle w:val="Heading2"/>
      </w:pPr>
      <w:r>
        <w:t xml:space="preserve">The short 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need is modest and mostly not energy.</w:t>
      </w:r>
      <w:r>
        <w:t xml:space="preserve"> </w:t>
      </w:r>
      <w:r>
        <w:t xml:space="preserve">Kenya’s power is already 88% renewable, so the</w:t>
      </w:r>
      <w:r>
        <w:t xml:space="preserve"> </w:t>
      </w:r>
      <w:r>
        <w:t xml:space="preserve">net zero programme is about land use and non-CO2 gases, not power plants. Net zero investment is</w:t>
      </w:r>
      <w:r>
        <w:t xml:space="preserve"> </w:t>
      </w:r>
      <w:r>
        <w:t xml:space="preserve">2.3% of GDP in 2030 (about USD 3.6 bn), of which 1.6% of GDP is above current trends. Land use</w:t>
      </w:r>
      <w:r>
        <w:t xml:space="preserve"> </w:t>
      </w:r>
      <w:r>
        <w:t xml:space="preserve">and non-CO2 account for 0.94 of that 1.64.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budget’s share is about 0.6% of GDP</w:t>
      </w:r>
      <w:r>
        <w:t xml:space="preserve">, and about 0.8% once weak public investment</w:t>
      </w:r>
      <w:r>
        <w:t xml:space="preserve"> </w:t>
      </w:r>
      <w:r>
        <w:t xml:space="preserve">management is allowed for. Private capital would carry close to 60%.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Carbon pricing cannot pay for it.</w:t>
      </w:r>
      <w:r>
        <w:t xml:space="preserve"> </w:t>
      </w:r>
      <w:r>
        <w:t xml:space="preserve">With a clean grid there is little to tax: feasible</w:t>
      </w:r>
      <w:r>
        <w:t xml:space="preserve"> </w:t>
      </w:r>
      <w:r>
        <w:t xml:space="preserve">power-sector pricing raises 0.05% of GDP in 2030 and nothing by 2040, about 5% of the budget</w:t>
      </w:r>
      <w:r>
        <w:t xml:space="preserve"> </w:t>
      </w:r>
      <w:r>
        <w:t xml:space="preserve">need. The financing gap is 0.44% of GDP a year.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adds debt without adding much growth</w:t>
      </w:r>
      <w:r>
        <w:t xml:space="preserve">: about 7 points of GDP of public debt by 2050</w:t>
      </w:r>
      <w:r>
        <w:t xml:space="preserve"> </w:t>
      </w:r>
      <w:r>
        <w:t xml:space="preserve">(75% instead of 67%) for a GDP gain of a quarter of a percent. This is because most of the</w:t>
      </w:r>
      <w:r>
        <w:t xml:space="preserve"> </w:t>
      </w:r>
      <w:r>
        <w:t xml:space="preserve">budget need is land-use and non-CO2</w:t>
      </w:r>
      <w:r>
        <w:t xml:space="preserve"> </w:t>
      </w:r>
      <w:r>
        <w:rPr>
          <w:iCs/>
          <w:i/>
        </w:rPr>
        <w:t xml:space="preserve">spending</w:t>
      </w:r>
      <w:r>
        <w:t xml:space="preserve">, which builds no productive public capital.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Kenya is already at high risk of debt distress before the programme</w:t>
      </w:r>
      <w:r>
        <w:t xml:space="preserve">, and stays there. The</w:t>
      </w:r>
      <w:r>
        <w:t xml:space="preserve"> </w:t>
      </w:r>
      <w:r>
        <w:t xml:space="preserve">programme is small next to that problem: interest already takes 30% of revenue.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answer depends on the model.</w:t>
      </w:r>
      <w:r>
        <w:t xml:space="preserve"> </w:t>
      </w:r>
      <w:r>
        <w:t xml:space="preserve">The other model family (GIMF-lite) gives +4.6% of GDP</w:t>
      </w:r>
      <w:r>
        <w:t xml:space="preserve"> </w:t>
      </w:r>
      <w:r>
        <w:t xml:space="preserve">by 2050 and less debt, because it credits energy savings and private investment. The gap is</w:t>
      </w:r>
      <w:r>
        <w:t xml:space="preserve"> </w:t>
      </w:r>
      <w:r>
        <w:t xml:space="preserve">the most important uncertainty, not a rounding error.</w:t>
      </w:r>
    </w:p>
    <w:bookmarkEnd w:id="20"/>
    <w:bookmarkStart w:id="28" w:name="the-worked-example-step-by-step"/>
    <w:p>
      <w:pPr>
        <w:pStyle w:val="Heading2"/>
      </w:pPr>
      <w:r>
        <w:t xml:space="preserve">The worked example, step by step</w:t>
      </w:r>
    </w:p>
    <w:bookmarkStart w:id="21" w:name="X5ee3f330cf1ba7f74e40ba8217efac6e88206de"/>
    <w:p>
      <w:pPr>
        <w:pStyle w:val="Heading3"/>
      </w:pPr>
      <w:r>
        <w:t xml:space="preserve">1. How much is needed (NMIM v0.2, Investment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2030, % of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on a net zero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on current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Incremental investment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non-CO2 and land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power generation + grids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transport, industry, buildings,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</w:tr>
    </w:tbl>
    <w:p>
      <w:pPr>
        <w:pStyle w:val="BodyText"/>
      </w:pPr>
      <w:r>
        <w:t xml:space="preserve">It cuts emissions by 26% against the baseline in 2030. At the World Bank’s 6% rate the</w:t>
      </w:r>
      <w:r>
        <w:t xml:space="preserve"> </w:t>
      </w:r>
      <w:r>
        <w:t xml:space="preserve">incremental cost (capital charge less fuel savings) is 0.88% of GDP, about USD 43 per tonne.</w:t>
      </w:r>
      <w:r>
        <w:t xml:space="preserve"> </w:t>
      </w:r>
      <w:r>
        <w:t xml:space="preserve">Local co-benefits barely change that (0.85%), again because the grid is already clean. Market</w:t>
      </w:r>
      <w:r>
        <w:t xml:space="preserve"> </w:t>
      </w:r>
      <w:r>
        <w:t xml:space="preserve">finance at Kenya’s 8.4% WACC adds 0.1% of GDP a year.</w:t>
      </w:r>
    </w:p>
    <w:bookmarkEnd w:id="21"/>
    <w:bookmarkStart w:id="22" w:name="who-pays-investment-2"/>
    <w:p>
      <w:pPr>
        <w:pStyle w:val="Heading3"/>
      </w:pPr>
      <w:r>
        <w:t xml:space="preserve">2. Who pays (Investment 2)</w:t>
      </w:r>
    </w:p>
    <w:p>
      <w:pPr>
        <w:pStyle w:val="FirstParagraph"/>
      </w:pPr>
      <w:r>
        <w:t xml:space="preserve">NMIM splits every investment line by who repays it. For Kenya in 2030 (% of GDP):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repays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pure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regulated 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 tariffs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contracted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power purchase agreement with the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viability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private, with a public top-up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pure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investor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direct budget need</w:t>
      </w:r>
      <w:r>
        <w:t xml:space="preserve"> </w:t>
      </w:r>
      <w:r>
        <w:t xml:space="preserve">is P1 plus the public 30% of P4:</w:t>
      </w:r>
    </w:p>
    <w:p>
      <w:pPr>
        <w:pStyle w:val="BlockText"/>
      </w:pPr>
      <w:r>
        <w:t xml:space="preserve">0.38 + 0.3 × 0.73 = 0.38 + 0.22 =</w:t>
      </w:r>
      <w:r>
        <w:t xml:space="preserve"> </w:t>
      </w:r>
      <w:r>
        <w:rPr>
          <w:bCs/>
          <w:b/>
        </w:rPr>
        <w:t xml:space="preserve">0.60% of GDP</w:t>
      </w:r>
      <w:r>
        <w:t xml:space="preserve"> </w:t>
      </w:r>
      <w:r>
        <w:t xml:space="preserve">(about USD 0.9 bn)</w:t>
      </w:r>
    </w:p>
    <w:p>
      <w:pPr>
        <w:pStyle w:val="FirstParagraph"/>
      </w:pPr>
      <w:r>
        <w:t xml:space="preserve">Kenya’s PEFA score for public investment management is 2.5 out of 4, which maps to a 26.5%</w:t>
      </w:r>
      <w:r>
        <w:t xml:space="preserve"> </w:t>
      </w:r>
      <w:r>
        <w:t xml:space="preserve">efficiency gap (40% at a score of 1, 13% at 4):</w:t>
      </w:r>
    </w:p>
    <w:p>
      <w:pPr>
        <w:pStyle w:val="BlockText"/>
      </w:pPr>
      <w:r>
        <w:t xml:space="preserve">gap = 0.40 − (2.5 − 1)/3 × 0.27 = 0.265; 0.60 / (1 − 0.265) =</w:t>
      </w:r>
      <w:r>
        <w:t xml:space="preserve"> </w:t>
      </w:r>
      <w:r>
        <w:rPr>
          <w:bCs/>
          <w:b/>
        </w:rPr>
        <w:t xml:space="preserve">0.81% of GDP</w:t>
      </w:r>
    </w:p>
    <w:p>
      <w:pPr>
        <w:pStyle w:val="FirstParagraph"/>
      </w:pPr>
      <w:r>
        <w:t xml:space="preserve">So weak delivery adds about a third to the bill. The capital budget is only 63% executed</w:t>
      </w:r>
      <w:r>
        <w:t xml:space="preserve"> </w:t>
      </w:r>
      <w:r>
        <w:t xml:space="preserve">(BOOST, 2022), which is a separate risk the tool does not yet model (MacroFiscalModels TODO 23).</w:t>
      </w:r>
    </w:p>
    <w:p>
      <w:pPr>
        <w:pStyle w:val="BodyText"/>
      </w:pPr>
      <w:r>
        <w:t xml:space="preserve">Wider public exposure: adding the utility’s investment (P2, a contingent liability if tariffs</w:t>
      </w:r>
      <w:r>
        <w:t xml:space="preserve"> </w:t>
      </w:r>
      <w:r>
        <w:t xml:space="preserve">fall short) gives 0.95% of GDP; everything needing public money or a public decision is 1.46%.</w:t>
      </w:r>
    </w:p>
    <w:bookmarkEnd w:id="22"/>
    <w:bookmarkStart w:id="23" w:name="how-it-is-paid-for-macro-1"/>
    <w:p>
      <w:pPr>
        <w:pStyle w:val="Heading3"/>
      </w:pPr>
      <w:r>
        <w:t xml:space="preserve">3. How it is paid for (Macro 1)</w:t>
      </w:r>
    </w:p>
    <w:p>
      <w:pPr>
        <w:pStyle w:val="FirstParagraph"/>
      </w:pPr>
      <w:r>
        <w:t xml:space="preserve">The macro models are fed the</w:t>
      </w:r>
      <w:r>
        <w:t xml:space="preserve"> </w:t>
      </w:r>
      <w:r>
        <w:rPr>
          <w:iCs/>
          <w:i/>
        </w:rPr>
        <w:t xml:space="preserve">incremental</w:t>
      </w:r>
      <w:r>
        <w:t xml:space="preserve"> </w:t>
      </w:r>
      <w:r>
        <w:t xml:space="preserve">budget need, 0.49% of GDP in 2030 (the baseline would</w:t>
      </w:r>
      <w:r>
        <w:t xml:space="preserve"> </w:t>
      </w:r>
      <w:r>
        <w:t xml:space="preserve">spend the rest anyway). Of that, 0.39 is spending on land use and non-CO2, and only 0.10 is capital.</w:t>
      </w:r>
    </w:p>
    <w:p>
      <w:pPr>
        <w:pStyle w:val="BodyText"/>
      </w:pPr>
      <w:r>
        <w:t xml:space="preserve">PriceFeasibility finds a feasible power-sector carbon tax of USD 88/t; the binding limit is the</w:t>
      </w:r>
      <w:r>
        <w:t xml:space="preserve"> </w:t>
      </w:r>
      <w:r>
        <w:t xml:space="preserve">loss to fossil-fuel generators. On Kenya’s small fossil generation it raises 0.05% of GDP in 2030, falling to</w:t>
      </w:r>
      <w:r>
        <w:t xml:space="preserve"> </w:t>
      </w:r>
      <w:r>
        <w:t xml:space="preserve">zero as oil-fired plants retire:</w:t>
      </w:r>
    </w:p>
    <w:p>
      <w:pPr>
        <w:pStyle w:val="BlockText"/>
      </w:pPr>
      <w:r>
        <w:t xml:space="preserve">financing gap 2030 = 0.49 − 0.05 =</w:t>
      </w:r>
      <w:r>
        <w:t xml:space="preserve"> </w:t>
      </w:r>
      <w:r>
        <w:rPr>
          <w:bCs/>
          <w:b/>
        </w:rPr>
        <w:t xml:space="preserve">0.44% of GDP</w:t>
      </w:r>
      <w:r>
        <w:t xml:space="preserve">; pricing covers 5% of the need to 2050</w:t>
      </w:r>
    </w:p>
    <w:bookmarkEnd w:id="23"/>
    <w:bookmarkStart w:id="24" w:name="X0f3cddaf5c1b7fe3ae46c173a84843d6897d355"/>
    <w:p>
      <w:pPr>
        <w:pStyle w:val="Heading3"/>
      </w:pPr>
      <w:r>
        <w:t xml:space="preserve">4. What it does to growth and debt (Macro 2, Macro sheet)</w:t>
      </w:r>
    </w:p>
    <w:p>
      <w:pPr>
        <w:pStyle w:val="FirstParagraph"/>
      </w:pPr>
      <w:r>
        <w:t xml:space="preserve">Kenya runs on</w:t>
      </w:r>
      <w:r>
        <w:t xml:space="preserve"> </w:t>
      </w:r>
      <w:r>
        <w:rPr>
          <w:bCs/>
          <w:b/>
        </w:rPr>
        <w:t xml:space="preserve">DIGNAD-lite</w:t>
      </w:r>
      <w:r>
        <w:t xml:space="preserve">, the model for lower-middle income countries that rely on</w:t>
      </w:r>
      <w:r>
        <w:t xml:space="preserve"> </w:t>
      </w:r>
      <w:r>
        <w:t xml:space="preserve">concessional finance (56% of its external public debt is multilateral). The programme is financed</w:t>
      </w:r>
      <w:r>
        <w:t xml:space="preserve"> </w:t>
      </w:r>
      <w:r>
        <w:t xml:space="preserve">30% by grants, 30% concessional and the rest commercially, less the pricing revenue.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GDP, programme vs no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debt with the programme (% GDP)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debt without it (% GDP)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Debt added by the programme (pp)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</w:t>
            </w:r>
          </w:p>
        </w:tc>
      </w:tr>
    </w:tbl>
    <w:p>
      <w:pPr>
        <w:pStyle w:val="BodyText"/>
      </w:pPr>
      <w:r>
        <w:t xml:space="preserve">The growth effect is small because the capital part is small. The live simple model on the Macro</w:t>
      </w:r>
      <w:r>
        <w:t xml:space="preserve"> </w:t>
      </w:r>
      <w:r>
        <w:t xml:space="preserve">sheet (DIGNAD-R, in formulas) gives almost the same answer: +0.25% and 75.0% of GDP. Change its</w:t>
      </w:r>
      <w:r>
        <w:t xml:space="preserve"> </w:t>
      </w:r>
      <w:r>
        <w:t xml:space="preserve">yellow cells to see what moves it. For example, more grant financing lowers the debt path;</w:t>
      </w:r>
      <w:r>
        <w:t xml:space="preserve"> </w:t>
      </w:r>
      <w:r>
        <w:t xml:space="preserve">switching off the pricing earmark barely matters.</w:t>
      </w:r>
    </w:p>
    <w:p>
      <w:pPr>
        <w:pStyle w:val="BodyText"/>
      </w:pPr>
      <w:r>
        <w:rPr>
          <w:bCs/>
          <w:b/>
        </w:rPr>
        <w:t xml:space="preserve">Cross-check:</w:t>
      </w:r>
      <w:r>
        <w:t xml:space="preserve"> </w:t>
      </w:r>
      <w:r>
        <w:t xml:space="preserve">GIMF-lite on the same programme gives</w:t>
      </w:r>
      <w:r>
        <w:t xml:space="preserve"> </w:t>
      </w:r>
      <w:r>
        <w:rPr>
          <w:bCs/>
          <w:b/>
        </w:rPr>
        <w:t xml:space="preserve">+4.6% of GDP by 2050 and debt of 70.5%</w:t>
      </w:r>
      <w:r>
        <w:t xml:space="preserve">.</w:t>
      </w:r>
      <w:r>
        <w:t xml:space="preserve"> </w:t>
      </w:r>
      <w:r>
        <w:t xml:space="preserve">GIMF-lite counts energy savings (1.7% of GDP by 2050) and the private investment that comes with</w:t>
      </w:r>
      <w:r>
        <w:t xml:space="preserve"> </w:t>
      </w:r>
      <w:r>
        <w:t xml:space="preserve">the programme; DIGNAD-lite counts only the public part. Read the two as a range, and treat which</w:t>
      </w:r>
      <w:r>
        <w:t xml:space="preserve"> </w:t>
      </w:r>
      <w:r>
        <w:t xml:space="preserve">channels to credit as the question to settle with the country team.</w:t>
      </w:r>
    </w:p>
    <w:bookmarkEnd w:id="24"/>
    <w:bookmarkStart w:id="25" w:name="is-the-debt-sustainable-dsa-sheet"/>
    <w:p>
      <w:pPr>
        <w:pStyle w:val="Heading3"/>
      </w:pPr>
      <w:r>
        <w:t xml:space="preserve">5. Is the debt sustainable (DSA sheet)</w:t>
      </w:r>
    </w:p>
    <w:p>
      <w:pPr>
        <w:pStyle w:val="FirstParagraph"/>
      </w:pPr>
      <w:r>
        <w:t xml:space="preserve">Kenya’s debt-carrying capacity comes from the LIC-DSF Composite Indicator:</w:t>
      </w:r>
    </w:p>
    <w:p>
      <w:pPr>
        <w:pStyle w:val="BlockText"/>
      </w:pPr>
      <w:r>
        <w:t xml:space="preserve">CI = 0.385 × CPIA 3.83 + 2.719 × growth 0.045 + 4.052 × cover 0.184 − 3.990 × 0.184² + 2.022 × remittances 0.036 + 13.520 × world growth 0.033 =</w:t>
      </w:r>
      <w:r>
        <w:t xml:space="preserve"> </w:t>
      </w:r>
      <w:r>
        <w:rPr>
          <w:bCs/>
          <w:b/>
        </w:rPr>
        <w:t xml:space="preserve">2.73 → medium</w:t>
      </w:r>
      <w:r>
        <w:t xml:space="preserve"> </w:t>
      </w:r>
      <w:r>
        <w:t xml:space="preserve">(cut-offs 2.69 and 3.05)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Baseline, highest 2025-34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programme, highest 2025-34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of public debt /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66.4 (breach)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 (breach)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Ext. debt service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 (breach)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 (breach)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ext. debt /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ext. debt /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Ext. debt service /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</w:tr>
    </w:tbl>
    <w:p>
      <w:pPr>
        <w:pStyle w:val="BodyText"/>
      </w:pPr>
      <w:r>
        <w:rPr>
          <w:bCs/>
          <w:b/>
        </w:rPr>
        <w:t xml:space="preserve">Mechanical rating: high risk, before and with the programme.</w:t>
      </w:r>
      <w:r>
        <w:t xml:space="preserve"> </w:t>
      </w:r>
      <w:r>
        <w:t xml:space="preserve">The programme moves the</w:t>
      </w:r>
      <w:r>
        <w:t xml:space="preserve"> </w:t>
      </w:r>
      <w:r>
        <w:t xml:space="preserve">indicators by less than a point within ten years; the problem is the starting position.</w:t>
      </w:r>
    </w:p>
    <w:p>
      <w:pPr>
        <w:pStyle w:val="BodyText"/>
      </w:pPr>
      <w:r>
        <w:rPr>
          <w:bCs/>
          <w:b/>
        </w:rPr>
        <w:t xml:space="preserve">One assumption matters a lot here.</w:t>
      </w:r>
      <w:r>
        <w:t xml:space="preserve"> </w:t>
      </w:r>
      <w:r>
        <w:t xml:space="preserve">The tool has no country trade data yet, so reserve cover</w:t>
      </w:r>
      <w:r>
        <w:t xml:space="preserve"> </w:t>
      </w:r>
      <w:r>
        <w:t xml:space="preserve">uses an assumed import ratio of 40% of GDP. If Kenya’s imports are nearer 20% of GDP (to check</w:t>
      </w:r>
      <w:r>
        <w:t xml:space="preserve"> </w:t>
      </w:r>
      <w:r>
        <w:t xml:space="preserve">against WDI), reserve cover doubles and the CI rises to about 3.07, just over the cut-off for</w:t>
      </w:r>
      <w:r>
        <w:t xml:space="preserve"> </w:t>
      </w:r>
      <w:r>
        <w:rPr>
          <w:iCs/>
          <w:i/>
        </w:rPr>
        <w:t xml:space="preserve">strong</w:t>
      </w:r>
      <w:r>
        <w:t xml:space="preserve"> </w:t>
      </w:r>
      <w:r>
        <w:t xml:space="preserve">capacity, which has higher thresholds. Getting trade data (MacroFiscalModels TODO 11) is the</w:t>
      </w:r>
      <w:r>
        <w:t xml:space="preserve"> </w:t>
      </w:r>
      <w:r>
        <w:t xml:space="preserve">single most useful data fix for this country.</w:t>
      </w:r>
    </w:p>
    <w:bookmarkEnd w:id="25"/>
    <w:bookmarkStart w:id="26" w:name="Xe4300b51958d783af44d3733c602bbd6521d7b6"/>
    <w:p>
      <w:pPr>
        <w:pStyle w:val="Heading3"/>
      </w:pPr>
      <w:r>
        <w:t xml:space="preserve">6. The fiscal and institutional backdrop (Dashboard, Appendix E)</w:t>
      </w:r>
    </w:p>
    <w:p>
      <w:pPr>
        <w:numPr>
          <w:ilvl w:val="0"/>
          <w:numId w:val="1002"/>
        </w:numPr>
        <w:pStyle w:val="Compact"/>
      </w:pPr>
      <w:r>
        <w:t xml:space="preserve">Gross debt 67% of GDP; net interest 5.2% of GDP and 30% of revenue; tax revenue 12.9% of GDP.</w:t>
      </w:r>
    </w:p>
    <w:p>
      <w:pPr>
        <w:numPr>
          <w:ilvl w:val="0"/>
          <w:numId w:val="1002"/>
        </w:numPr>
        <w:pStyle w:val="Compact"/>
      </w:pPr>
      <w:r>
        <w:t xml:space="preserve">44% of public debt is external, 74% of it in US dollars; credit rating index 7.3 out of 21.</w:t>
      </w:r>
    </w:p>
    <w:p>
      <w:pPr>
        <w:numPr>
          <w:ilvl w:val="0"/>
          <w:numId w:val="1002"/>
        </w:numPr>
        <w:pStyle w:val="Compact"/>
      </w:pPr>
      <w:r>
        <w:t xml:space="preserve">Debt maturing within a year: 6.1% of GDP. Short-term external debt: 26% of reserves.</w:t>
      </w:r>
    </w:p>
    <w:p>
      <w:pPr>
        <w:numPr>
          <w:ilvl w:val="0"/>
          <w:numId w:val="1002"/>
        </w:numPr>
        <w:pStyle w:val="Compact"/>
      </w:pPr>
      <w:r>
        <w:t xml:space="preserve">Climate is built into public investment management, budget tagging and a national climate fund</w:t>
      </w:r>
      <w:r>
        <w:t xml:space="preserve"> </w:t>
      </w:r>
      <w:r>
        <w:t xml:space="preserve">(2021 snapshot). The institutions exist; execution (63%) and efficiency (PEFA 2.5) are the weak points.</w:t>
      </w:r>
    </w:p>
    <w:bookmarkEnd w:id="26"/>
    <w:bookmarkStart w:id="27" w:name="a-second-opinion-on-the-need-appendix-f"/>
    <w:p>
      <w:pPr>
        <w:pStyle w:val="Heading3"/>
      </w:pPr>
      <w:r>
        <w:t xml:space="preserve">7. A second opinion on the need (Appendix F)</w:t>
      </w:r>
    </w:p>
    <w:p>
      <w:pPr>
        <w:pStyle w:val="FirstParagraph"/>
      </w:pPr>
      <w:r>
        <w:t xml:space="preserve">The CDPM-based global method (v1.1 workbook) puts Kenya’s 2030 need higher in total (4.7% of GDP)</w:t>
      </w:r>
      <w:r>
        <w:t xml:space="preserve"> </w:t>
      </w:r>
      <w:r>
        <w:t xml:space="preserve">but lower above trend (1.1%). It applies one flat 40% public share to all developing countries,</w:t>
      </w:r>
      <w:r>
        <w:t xml:space="preserve"> </w:t>
      </w:r>
      <w:r>
        <w:t xml:space="preserve">which gives a public need of 1.9% of GDP against NMIM’s 0.6%. The difference is the value of</w:t>
      </w:r>
      <w:r>
        <w:t xml:space="preserve"> </w:t>
      </w:r>
      <w:r>
        <w:t xml:space="preserve">NMIM’s who-pays split. The two methods are not expected to agree.</w:t>
      </w:r>
    </w:p>
    <w:bookmarkEnd w:id="27"/>
    <w:bookmarkEnd w:id="28"/>
    <w:bookmarkStart w:id="29" w:name="X31e8a076f82dd70d8e03d59076d224468545192"/>
    <w:p>
      <w:pPr>
        <w:pStyle w:val="Heading2"/>
      </w:pPr>
      <w:r>
        <w:t xml:space="preserve">What this means for a policy conversation</w:t>
      </w:r>
    </w:p>
    <w:p>
      <w:pPr>
        <w:numPr>
          <w:ilvl w:val="0"/>
          <w:numId w:val="1003"/>
        </w:numPr>
        <w:pStyle w:val="Compact"/>
      </w:pPr>
      <w:r>
        <w:t xml:space="preserve">Kenya’s mitigation bill is not mainly an energy bill. The budget question is land use and</w:t>
      </w:r>
      <w:r>
        <w:t xml:space="preserve"> </w:t>
      </w:r>
      <w:r>
        <w:t xml:space="preserve">non-CO2, which earn no tariff revenue and build little capital: grant and concessional</w:t>
      </w:r>
      <w:r>
        <w:t xml:space="preserve"> </w:t>
      </w:r>
      <w:r>
        <w:t xml:space="preserve">finance, not carbon pricing, is the realistic route.</w:t>
      </w:r>
    </w:p>
    <w:p>
      <w:pPr>
        <w:numPr>
          <w:ilvl w:val="0"/>
          <w:numId w:val="1003"/>
        </w:numPr>
        <w:pStyle w:val="Compact"/>
      </w:pPr>
      <w:r>
        <w:t xml:space="preserve">Delivery matters as much as the amount: closing the efficiency gap is worth about 0.2% of GDP</w:t>
      </w:r>
      <w:r>
        <w:t xml:space="preserve"> </w:t>
      </w:r>
      <w:r>
        <w:t xml:space="preserve">a year on the same programme.</w:t>
      </w:r>
    </w:p>
    <w:p>
      <w:pPr>
        <w:numPr>
          <w:ilvl w:val="0"/>
          <w:numId w:val="1003"/>
        </w:numPr>
        <w:pStyle w:val="Compact"/>
      </w:pPr>
      <w:r>
        <w:t xml:space="preserve">Any new borrowing for it lands on a debt position already at high risk. Financing terms</w:t>
      </w:r>
      <w:r>
        <w:t xml:space="preserve"> </w:t>
      </w:r>
      <w:r>
        <w:t xml:space="preserve">(grant share), not the programme’s size, decide the debt outcome.</w:t>
      </w:r>
    </w:p>
    <w:p>
      <w:pPr>
        <w:numPr>
          <w:ilvl w:val="0"/>
          <w:numId w:val="1003"/>
        </w:numPr>
        <w:pStyle w:val="Compact"/>
      </w:pPr>
      <w:r>
        <w:t xml:space="preserve">Before using these numbers externally: settle the model choice (DIGNAD-lite vs GIMF-lite),</w:t>
      </w:r>
      <w:r>
        <w:t xml:space="preserve"> </w:t>
      </w:r>
      <w:r>
        <w:t xml:space="preserve">add trade data, and replace the income-group defaults for the return on public capital, grants</w:t>
      </w:r>
      <w:r>
        <w:t xml:space="preserve"> </w:t>
      </w:r>
      <w:r>
        <w:t xml:space="preserve">and the hand-to-mouth share with country values (MacroFiscalModels TODO 38: pilot calibrations</w:t>
      </w:r>
      <w:r>
        <w:t xml:space="preserve"> </w:t>
      </w:r>
      <w:r>
        <w:t xml:space="preserve">for Kenya, Sierra Leone, Uganda, Liberia).</w:t>
      </w:r>
    </w:p>
    <w:bookmarkEnd w:id="29"/>
    <w:bookmarkEnd w:id="30"/>
    <w:sectPr>
      <w:pgSz w:h="15840" w:w="12240"/>
      <w:pgMar w:bottom="1296" w:footer="720" w:gutter="0" w:header="720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</w:pPr>
    <w:rPr>
      <w:rFonts w:ascii="Calibri" w:cs="Calibri" w:hAnsi="Calibri"/>
      <w:sz w:val="21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69" w:lineRule="auto"/>
    </w:pPr>
    <w:rPr>
      <w:rFonts w:ascii="Calibri" w:cs="Calibri" w:hAnsi="Calibri"/>
      <w:sz w:val="21"/>
    </w:rPr>
  </w:style>
  <w:style w:customStyle="1" w:styleId="Compact" w:type="paragraph">
    <w:name w:val="Compact"/>
    <w:basedOn w:val="BodyText"/>
    <w:qFormat/>
    <w:pPr>
      <w:widowControl/>
      <w:spacing w:after="60" w:before="0"/>
    </w:pPr>
    <w:rPr>
      <w:rFonts w:ascii="Calibri" w:cs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="Calibri" w:cs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Calibri" w:cs="Calibri" w:hAnsi="Calibri"/>
      <w:b w:val="0"/>
      <w:i w:val="0"/>
      <w:color w:val="404040"/>
      <w:sz w:val="25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hAnsi="Calibri"/>
      <w:sz w:val="21"/>
    </w:rPr>
  </w:style>
  <w:style w:styleId="Date" w:type="paragraph">
    <w:name w:val="Date"/>
    <w:next w:val="BodyText"/>
    <w:qFormat/>
    <w:pPr>
      <w:keepNext/>
      <w:keepLines/>
      <w:spacing w:after="280"/>
      <w:jc w:val="center"/>
    </w:pPr>
    <w:rPr>
      <w:rFonts w:ascii="Calibri" w:cs="Calibri" w:hAnsi="Calibri"/>
      <w:b w:val="0"/>
      <w:color w:val="59595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/>
      <w:outlineLvl w:val="0"/>
    </w:pPr>
    <w:rPr>
      <w:rFonts w:ascii="Calibri" w:cs="Calibri" w:hAnsi="Calibr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cs="Calibri" w:hAnsi="Calibri"/>
      <w:b/>
      <w:bCs/>
      <w:color w:val="1F3864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cs="Calibri" w:hAnsi="Calibri"/>
      <w:b/>
      <w:bCs/>
      <w:color w:val="1F3864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line="240" w:lineRule="auto"/>
    </w:pPr>
    <w:rPr>
      <w:rFonts w:ascii="Calibri" w:cs="Calibri" w:hAnsi="Calibri"/>
      <w:sz w:val="17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62626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9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TableText" w:type="paragraph">
    <w:name w:val="Table Text"/>
    <w:basedOn w:val="Compact"/>
    <w:pPr>
      <w:widowControl/>
      <w:spacing w:after="20" w:before="20"/>
    </w:pPr>
    <w:rPr>
      <w:rFonts w:ascii="Calibri" w:cs="Calibri" w:hAnsi="Calibri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2026-10-20T20:10:53Z</dcterms:created>
  <dcterms:modified xsi:type="dcterms:W3CDTF">2026-10-20T20:10:53Z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