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v1.06:</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CPAT-AI-Mitigation-MVP-v1.06.xlsm</w:t>
      </w:r>
      <w:r>
        <w:t xml:space="preserve"> </w:t>
      </w:r>
      <w:r>
        <w:t xml:space="preserve">(macro-enabled) (built by</w:t>
      </w:r>
      <w:r>
        <w:t xml:space="preserve"> </w:t>
      </w:r>
      <w:r>
        <w:rPr>
          <w:rStyle w:val="VerbatimChar"/>
        </w:rPr>
        <w:t xml:space="preserve">build_v1_06.py</w:t>
      </w:r>
      <w:r>
        <w:t xml:space="preserve">, checked by</w:t>
      </w:r>
      <w:r>
        <w:t xml:space="preserve"> </w:t>
      </w:r>
      <w:r>
        <w:rPr>
          <w:rStyle w:val="VerbatimChar"/>
        </w:rPr>
        <w:t xml:space="preserve">check_v1_06.py</w:t>
      </w:r>
      <w:r>
        <w:t xml:space="preserve">, report</w:t>
      </w:r>
      <w:r>
        <w:t xml:space="preserve"> </w:t>
      </w:r>
      <w:r>
        <w:rPr>
          <w:rStyle w:val="VerbatimChar"/>
        </w:rPr>
        <w:t xml:space="preserve">check_report_v1.06.md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CPAT-AI-Mitigation-MVP-v1.06.xlsm</w:t>
      </w:r>
      <w:r>
        <w:t xml:space="preserve"> </w:t>
      </w:r>
      <w:r>
        <w:t xml:space="preserve">(macro-enabled; power engineer model with demand, dispatch, retirement and investment, power CO2 in section 13, ten legacy bugs fixed (v1.06,</w:t>
      </w:r>
      <w:r>
        <w:t xml:space="preserve"> </w:t>
      </w:r>
      <w:r>
        <w:rPr>
          <w:rStyle w:val="VerbatimChar"/>
        </w:rPr>
        <w:t xml:space="preserve">PowerModel_Method_v0_1.md</w:t>
      </w:r>
      <w:r>
        <w:t xml:space="preserve">, report</w:t>
      </w:r>
      <w:r>
        <w:t xml:space="preserve"> </w:t>
      </w:r>
      <w:r>
        <w:rPr>
          <w:rStyle w:val="VerbatimChar"/>
        </w:rPr>
        <w:t xml:space="preserve">PowerModel_BugsAndImprovements_v1_0.docx</w:t>
      </w:r>
      <w:r>
        <w:t xml:space="preserve">); power generation costs and electricity prices in section 3 (v1.05,</w:t>
      </w:r>
      <w:r>
        <w:t xml:space="preserve"> </w:t>
      </w:r>
      <w:r>
        <w:rPr>
          <w:rStyle w:val="VerbatimChar"/>
        </w:rPr>
        <w:t xml:space="preserve">PowerPrices_Method_v0_1.md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v1.05-v1.06),</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Power prices (v1.05,</w:t>
      </w:r>
      <w:r>
        <w:rPr>
          <w:bCs/>
          <w:b/>
        </w:rPr>
        <w:t xml:space="preserve"> </w:t>
      </w:r>
      <w:r>
        <w:rPr>
          <w:rStyle w:val="VerbatimChar"/>
          <w:bCs/>
          <w:b/>
        </w:rPr>
        <w:t xml:space="preserve">PowerPrices_Method_v0_1.md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INTERIM data until the engineer model: generation shares</w:t>
      </w:r>
      <w:r>
        <w:t xml:space="preserve"> </w:t>
      </w:r>
      <w:r>
        <w:rPr>
          <w:rStyle w:val="VerbatimChar"/>
        </w:rPr>
        <w:t xml:space="preserve">gns</w:t>
      </w:r>
      <w:r>
        <w:t xml:space="preserve">, investment shares</w:t>
      </w:r>
      <w:r>
        <w:t xml:space="preserve"> </w:t>
      </w:r>
      <w:r>
        <w:rPr>
          <w:rStyle w:val="VerbatimChar"/>
        </w:rPr>
        <w:t xml:space="preserve">phi</w:t>
      </w:r>
      <w:r>
        <w:t xml:space="preserve">, consumption</w:t>
      </w:r>
      <w:r>
        <w:t xml:space="preserve"> </w:t>
      </w:r>
      <w:r>
        <w:rPr>
          <w:rStyle w:val="VerbatimChar"/>
        </w:rPr>
        <w:t xml:space="preserve">cons</w:t>
      </w:r>
      <w:r>
        <w:t xml:space="preserve"> </w:t>
      </w:r>
      <w:r>
        <w:t xml:space="preserve">(legacy baseline run, orange italic); storage cost paths.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rcarb</w:t>
      </w:r>
      <w:r>
        <w:t xml:space="preserve">,</w:t>
      </w:r>
      <w:r>
        <w:t xml:space="preserve"> </w:t>
      </w:r>
      <w:r>
        <w:rPr>
          <w:rStyle w:val="VerbatimChar"/>
        </w:rPr>
        <w:t xml:space="preserve">rgap</w:t>
      </w:r>
      <w:r>
        <w:t xml:space="preserve"> </w:t>
      </w:r>
      <w:r>
        <w:t xml:space="preserve">(USD million, not yet in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 written by</w:t>
      </w:r>
      <w:r>
        <w:t xml:space="preserve"> </w:t>
      </w:r>
      <w:r>
        <w:rPr>
          <w:rStyle w:val="VerbatimChar"/>
        </w:rPr>
        <w:t xml:space="preserve">extract_power_v0_1.py</w:t>
      </w:r>
      <w:r>
        <w:t xml:space="preserve">). The method reproduces the cached legacy rows exactly (check 4b).</w:t>
      </w:r>
    </w:p>
    <w:p>
      <w:pPr>
        <w:numPr>
          <w:ilvl w:val="0"/>
          <w:numId w:val="1001"/>
        </w:numPr>
        <w:pStyle w:val="Compact"/>
      </w:pPr>
      <w:r>
        <w:rPr>
          <w:bCs/>
          <w:b/>
        </w:rPr>
        <w:t xml:space="preserve">Power engineer model (v1.06,</w:t>
      </w:r>
      <w:r>
        <w:rPr>
          <w:bCs/>
          <w:b/>
        </w:rPr>
        <w:t xml:space="preserve"> </w:t>
      </w:r>
      <w:r>
        <w:rPr>
          <w:rStyle w:val="VerbatimChar"/>
          <w:bCs/>
          <w:b/>
        </w:rPr>
        <w:t xml:space="preserve">PowerModel_Method_v0_1.md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CO2 is in section 13 (total, by fuel, ETS sector power). Aligned with legacy except ten bugs:</w:t>
      </w:r>
      <w:r>
        <w:t xml:space="preserve"> </w:t>
      </w:r>
      <w:r>
        <w:rPr>
          <w:rStyle w:val="VerbatimChar"/>
        </w:rPr>
        <w:t xml:space="preserve">power_model_ref_v0_1.py</w:t>
      </w:r>
      <w:r>
        <w:t xml:space="preserve"> </w:t>
      </w:r>
      <w:r>
        <w:t xml:space="preserve">(FIXES) reproduces 208 legacy rows of the baseline and the carbon-tax run with the bugs on;</w:t>
      </w:r>
      <w:r>
        <w:t xml:space="preserve"> </w:t>
      </w:r>
      <w:r>
        <w:rPr>
          <w:rStyle w:val="VerbatimChar"/>
        </w:rPr>
        <w:t xml:space="preserve">PowerModel_BugsAndImprovements_v1_0.docx</w:t>
      </w:r>
      <w:r>
        <w:t xml:space="preserve"> </w:t>
      </w:r>
      <w:r>
        <w:t xml:space="preserve">explains each bug and its effect. Settings C19 switches the legacy 2023-2024 demand shock on (default off, as the fuel blocks).</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Scenarios_Method_v0_1.md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33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(44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CPAT-AI-Mitigation-MVP-v1.06.xlsm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build_v1_06.py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CPAT-AI-Mitigation-MVP_Documentation_v1.06.docx</w:t>
            </w:r>
            <w:r>
              <w:t xml:space="preserve">,</w:t>
            </w:r>
            <w:r>
              <w:t xml:space="preserve"> </w:t>
            </w:r>
            <w:r>
              <w:rPr>
                <w:rStyle w:val="VerbatimChar"/>
              </w:rPr>
              <w:t xml:space="preserve">make_docs_v1_06.py</w:t>
            </w:r>
          </w:p>
        </w:tc>
        <w:tc>
          <w:tcPr/>
          <w:p>
            <w:pPr>
              <w:pStyle w:val="Compact"/>
              <w:jc w:val="left"/>
            </w:pPr>
            <w:r>
              <w:t xml:space="preserve">Word documentation (overview, price method,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extract_power_v0_2.py</w:t>
            </w:r>
            <w:r>
              <w:t xml:space="preserve">,</w:t>
            </w:r>
            <w:r>
              <w:t xml:space="preserve"> </w:t>
            </w:r>
            <w:r>
              <w:rPr>
                <w:rStyle w:val="VerbatimChar"/>
              </w:rPr>
              <w:t xml:space="preserve">PowerPrices_Method_v0_1.md</w:t>
            </w:r>
            <w:r>
              <w:t xml:space="preserve">,</w:t>
            </w:r>
            <w:r>
              <w:t xml:space="preserve"> </w:t>
            </w:r>
            <w:r>
              <w:rPr>
                <w:rStyle w:val="VerbatimChar"/>
              </w:rPr>
              <w:t xml:space="preserve">PowerModel_Method_v0_1.md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power_model_ref_v0_1.py</w:t>
            </w:r>
          </w:p>
        </w:tc>
        <w:tc>
          <w:tcPr/>
          <w:p>
            <w:pPr>
              <w:pStyle w:val="Compact"/>
              <w:jc w:val="left"/>
            </w:pPr>
            <w:r>
              <w:t xml:space="preserve">Python reference of the engineer power model; switches for the ten legacy bugs (FIXES); legacy test</w:t>
            </w:r>
          </w:p>
        </w:tc>
      </w:tr>
      <w:tr>
        <w:tc>
          <w:tcPr/>
          <w:p>
            <w:pPr>
              <w:pStyle w:val="Compact"/>
              <w:jc w:val="left"/>
            </w:pPr>
            <w:r>
              <w:rPr>
                <w:rStyle w:val="VerbatimChar"/>
              </w:rPr>
              <w:t xml:space="preserve">PowerModel_BugsAndImprovements_v1_0.docx</w:t>
            </w:r>
            <w:r>
              <w:t xml:space="preserve">,</w:t>
            </w:r>
            <w:r>
              <w:t xml:space="preserve"> </w:t>
            </w:r>
            <w:r>
              <w:rPr>
                <w:rStyle w:val="VerbatimChar"/>
              </w:rPr>
              <w:t xml:space="preserve">make_bugs_doc_v1_0.py</w:t>
            </w:r>
            <w:r>
              <w:t xml:space="preserve">,</w:t>
            </w:r>
            <w:r>
              <w:t xml:space="preserve"> </w:t>
            </w:r>
            <w:r>
              <w:rPr>
                <w:rStyle w:val="VerbatimChar"/>
              </w:rPr>
              <w:t xml:space="preserve">render_docx_v1_0.js</w:t>
            </w:r>
          </w:p>
        </w:tc>
        <w:tc>
          <w:tcPr/>
          <w:p>
            <w:pPr>
              <w:pStyle w:val="Compact"/>
              <w:jc w:val="left"/>
            </w:pPr>
            <w:r>
              <w:t xml:space="preserve">Word report: legacy bugs found, their effect on Egypt, improvements (numbers computed by the reference when the report is built)</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presentation/CPAT-AI-Mitigation-MVP_AdvancedFeatures_v1.1.pptx</w:t>
            </w:r>
          </w:p>
        </w:tc>
        <w:tc>
          <w:tcPr/>
          <w:p>
            <w:pPr>
              <w:pStyle w:val="Compact"/>
              <w:jc w:val="left"/>
            </w:pPr>
            <w:r>
              <w:t xml:space="preserve">4 slides on the advanced features of v1.01-v1.04 for the team (v1.1: the next step names the first-run test macro; v1.0 in</w:t>
            </w:r>
            <w:r>
              <w:t xml:space="preserve"> </w:t>
            </w:r>
            <w:r>
              <w:rPr>
                <w:rStyle w:val="VerbatimChar"/>
              </w:rPr>
              <w:t xml:space="preserve">presentation/Old/</w:t>
            </w:r>
            <w:r>
              <w:t xml:space="preserve">) (what is new, cap-based ETS, scenario table and batch macro, stored results and comparison with quality numbers and next steps); built by</w:t>
            </w:r>
            <w:r>
              <w:t xml:space="preserve"> </w:t>
            </w:r>
            <w:r>
              <w:rPr>
                <w:rStyle w:val="VerbatimChar"/>
              </w:rPr>
              <w:t xml:space="preserve">presentation/build_deck_advanced_v1_1.js</w:t>
            </w:r>
            <w:r>
              <w:t xml:space="preserve"> </w:t>
            </w:r>
            <w:r>
              <w:t xml:space="preserve">from screenshots and chart data that</w:t>
            </w:r>
            <w:r>
              <w:t xml:space="preserve"> </w:t>
            </w:r>
            <w:r>
              <w:rPr>
                <w:rStyle w:val="VerbatimChar"/>
              </w:rPr>
              <w:t xml:space="preserve">presentation/make_screenshots_advanced_v1_0.py</w:t>
            </w:r>
            <w:r>
              <w:t xml:space="preserve"> </w:t>
            </w:r>
            <w:r>
              <w:t xml:space="preserve">renders from the v1.03 workbook</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(v1.00)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check_v1_06.py</w:t>
            </w:r>
          </w:p>
        </w:tc>
        <w:tc>
          <w:tcPr/>
          <w:p>
            <w:pPr>
              <w:pStyle w:val="Compact"/>
              <w:jc w:val="left"/>
            </w:pPr>
            <w:r>
              <w:t xml:space="preserve">LibreOffice checks: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check_report_v1.06.md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extract_power_v0_2.py</w:t>
      </w:r>
      <w:r>
        <w:t xml:space="preserve"> </w:t>
      </w:r>
      <w:r>
        <w:t xml:space="preserve">(only if the legacy power data change),</w:t>
      </w:r>
      <w:r>
        <w:t xml:space="preserve"> </w:t>
      </w:r>
      <w:r>
        <w:rPr>
          <w:rStyle w:val="VerbatimChar"/>
        </w:rPr>
        <w:t xml:space="preserve">python build_v1_06.py</w:t>
      </w:r>
      <w:r>
        <w:t xml:space="preserve">,</w:t>
      </w:r>
      <w:r>
        <w:t xml:space="preserve"> </w:t>
      </w:r>
      <w:r>
        <w:rPr>
          <w:rStyle w:val="VerbatimChar"/>
        </w:rPr>
        <w:t xml:space="preserve">python check_v1_06.py</w:t>
      </w:r>
      <w:r>
        <w:t xml:space="preserve">,</w:t>
      </w:r>
      <w:r>
        <w:t xml:space="preserve"> </w:t>
      </w:r>
      <w:r>
        <w:rPr>
          <w:rStyle w:val="VerbatimChar"/>
        </w:rPr>
        <w:t xml:space="preserve">python make_docs_v1_06.py</w:t>
      </w:r>
      <w:r>
        <w:t xml:space="preserve">,</w:t>
      </w:r>
      <w:r>
        <w:t xml:space="preserve"> </w:t>
      </w:r>
      <w:r>
        <w:rPr>
          <w:rStyle w:val="VerbatimChar"/>
        </w:rPr>
        <w:t xml:space="preserve">python make_bugs_doc_v1_0.py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Next: electricity in the sector fuel blocks (link demand H to the sector blocks), other GHGs and local pollutants.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50"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numPr>
          <w:ilvl w:val="0"/>
          <w:numId w:val="1014"/>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7"/>
        </w:numPr>
        <w:pStyle w:val="Compact"/>
      </w:pPr>
      <w:r>
        <w:t xml:space="preserve">If the file was downloaded, unblock it first (file Properties &gt; Unblock), or Excel opens it with macros disabled.</w:t>
      </w:r>
    </w:p>
    <w:p>
      <w:pPr>
        <w:numPr>
          <w:ilvl w:val="0"/>
          <w:numId w:val="1017"/>
        </w:numPr>
        <w:pStyle w:val="Compact"/>
      </w:pPr>
      <w:r>
        <w:t xml:space="preserve">Open it and choose Enable Content.</w:t>
      </w:r>
    </w:p>
    <w:p>
      <w:pPr>
        <w:numPr>
          <w:ilvl w:val="0"/>
          <w:numId w:val="1017"/>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8"/>
        </w:numPr>
        <w:pStyle w:val="Compact"/>
      </w:pPr>
      <w:r>
        <w:t xml:space="preserve">checks the 12 lookups the macros rely on (sheets, rows by code, scenario columns, MTOutputs blocks);</w:t>
      </w:r>
    </w:p>
    <w:p>
      <w:pPr>
        <w:numPr>
          <w:ilvl w:val="1"/>
          <w:numId w:val="1018"/>
        </w:numPr>
        <w:pStyle w:val="Compact"/>
      </w:pPr>
      <w:r>
        <w:t xml:space="preserve">compares Excel’s own recalculation of the baseline with the stored baseline. Excel evaluates the LAMBDA column natively; LibreOffice needed it expanded;</w:t>
      </w:r>
    </w:p>
    <w:p>
      <w:pPr>
        <w:numPr>
          <w:ilvl w:val="1"/>
          <w:numId w:val="1018"/>
        </w:numPr>
        <w:pStyle w:val="Compact"/>
      </w:pPr>
      <w:r>
        <w:t xml:space="preserve">reruns RunAllScenarios, including the ETS goal seek, and compares every stored value with the value stored before the run.</w:t>
      </w:r>
    </w:p>
    <w:p>
      <w:pPr>
        <w:numPr>
          <w:ilvl w:val="0"/>
          <w:numId w:val="1017"/>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7"/>
        </w:numPr>
        <w:pStyle w:val="Compact"/>
      </w:pPr>
      <w:r>
        <w:t xml:space="preserve">If Excel reports that it cannot load the VBA project, or Alt+F8 lists no macros:</w:t>
      </w:r>
    </w:p>
    <w:p>
      <w:pPr>
        <w:numPr>
          <w:ilvl w:val="1"/>
          <w:numId w:val="1019"/>
        </w:numPr>
        <w:pStyle w:val="Compact"/>
      </w:pPr>
      <w:r>
        <w:t xml:space="preserve">remove the project if one is listed;</w:t>
      </w:r>
    </w:p>
    <w:p>
      <w:pPr>
        <w:numPr>
          <w:ilvl w:val="1"/>
          <w:numId w:val="1019"/>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19"/>
        </w:numPr>
        <w:pStyle w:val="Compact"/>
      </w:pPr>
      <w:r>
        <w:t xml:space="preserve">save as .xlsm and run CheckBatchRun again.</w:t>
      </w:r>
    </w:p>
    <w:bookmarkEnd w:id="46"/>
    <w:bookmarkStart w:id="47" w:name="comparing-scenarios"/>
    <w:p>
      <w:pPr>
        <w:pStyle w:val="Heading3"/>
      </w:pPr>
      <w:r>
        <w:t xml:space="preserve">Comparing scenarios</w:t>
      </w:r>
    </w:p>
    <w:p>
      <w:pPr>
        <w:numPr>
          <w:ilvl w:val="0"/>
          <w:numId w:val="1020"/>
        </w:numPr>
        <w:pStyle w:val="Compact"/>
      </w:pPr>
      <w:r>
        <w:t xml:space="preserve">Choose the year in ScenarioCompare C4 and the scenario IDs in row 6.</w:t>
      </w:r>
    </w:p>
    <w:p>
      <w:pPr>
        <w:numPr>
          <w:ilvl w:val="0"/>
          <w:numId w:val="1020"/>
        </w:numPr>
        <w:pStyle w:val="Compact"/>
      </w:pPr>
      <w:r>
        <w:t xml:space="preserve">Each value is a SUMIFS on StoredResults by ID and code stem, in the column of the chosen year. A blank cell means the ID or stem is not stored.</w:t>
      </w:r>
    </w:p>
    <w:p>
      <w:pPr>
        <w:numPr>
          <w:ilvl w:val="0"/>
          <w:numId w:val="1020"/>
        </w:numPr>
        <w:pStyle w:val="Compact"/>
      </w:pPr>
      <w:r>
        <w:t xml:space="preserve">The change rows that are already relative to scenario 1 (fuel use %, CO2 change, revenue change) are left out; the difference blocks take their place.</w:t>
      </w:r>
    </w:p>
    <w:bookmarkEnd w:id="47"/>
    <w:bookmarkStart w:id="48" w:name="keeping-results"/>
    <w:p>
      <w:pPr>
        <w:pStyle w:val="Heading3"/>
      </w:pPr>
      <w:r>
        <w:t xml:space="preserve">Keeping results</w:t>
      </w:r>
    </w:p>
    <w:p>
      <w:pPr>
        <w:numPr>
          <w:ilvl w:val="0"/>
          <w:numId w:val="1021"/>
        </w:numPr>
        <w:pStyle w:val="Compact"/>
      </w:pPr>
      <w:r>
        <w:t xml:space="preserve">StoredResults holds values only, so results from other files can be pasted in as values under new IDs.</w:t>
      </w:r>
    </w:p>
    <w:p>
      <w:pPr>
        <w:numPr>
          <w:ilvl w:val="0"/>
          <w:numId w:val="1021"/>
        </w:numPr>
        <w:pStyle w:val="Compact"/>
      </w:pPr>
      <w:r>
        <w:t xml:space="preserve">The baseline does not change unless StoreBaseline is run.</w:t>
      </w:r>
    </w:p>
    <w:p>
      <w:pPr>
        <w:numPr>
          <w:ilvl w:val="0"/>
          <w:numId w:val="1021"/>
        </w:numPr>
        <w:pStyle w:val="Compact"/>
      </w:pPr>
      <w:r>
        <w:t xml:space="preserve">ScenarioCompare finds pasted rows as long as the column layout is kept (ID in A, stem in C, years from H).</w:t>
      </w:r>
    </w:p>
    <w:bookmarkEnd w:id="48"/>
    <w:bookmarkStart w:id="49" w:name="limits-1"/>
    <w:p>
      <w:pPr>
        <w:pStyle w:val="Heading3"/>
      </w:pPr>
      <w:r>
        <w:t xml:space="preserve">Limits</w:t>
      </w:r>
    </w:p>
    <w:p>
      <w:pPr>
        <w:numPr>
          <w:ilvl w:val="0"/>
          <w:numId w:val="1022"/>
        </w:numPr>
        <w:pStyle w:val="Compact"/>
      </w:pPr>
      <w:r>
        <w:t xml:space="preserve">The batch run calculates one policy scenario at a time. Mitigation scenario groups 3+ (copied groups) are still possible, but the macros do not use them.</w:t>
      </w:r>
    </w:p>
    <w:p>
      <w:pPr>
        <w:numPr>
          <w:ilvl w:val="0"/>
          <w:numId w:val="1022"/>
        </w:numPr>
        <w:pStyle w:val="Compact"/>
      </w:pPr>
      <w:r>
        <w:t xml:space="preserve">MTOutputs (25 indicators) defines what is stored. To store more, add rows to the MTOutputs blocks first.</w:t>
      </w:r>
    </w:p>
    <w:p>
      <w:pPr>
        <w:numPr>
          <w:ilvl w:val="0"/>
          <w:numId w:val="1022"/>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49"/>
    <w:bookmarkEnd w:id="50"/>
    <w:bookmarkStart w:id="68"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PowerPrices_Method_v0_1.md</w:t>
      </w:r>
      <w:r>
        <w:rPr>
          <w:iCs/>
          <w:i/>
        </w:rPr>
        <w:t xml:space="preserve">.</w:t>
      </w:r>
    </w:p>
    <w:p>
      <w:pPr>
        <w:pStyle w:val="BodyText"/>
      </w:pPr>
      <w:r>
        <w:rPr>
          <w:bCs/>
          <w:b/>
        </w:rPr>
        <w:t xml:space="preserve">Note (v1.06).</w:t>
      </w:r>
      <w:r>
        <w:t xml:space="preserve"> </w:t>
      </w:r>
      <w:r>
        <w:t xml:space="preserve">The quantities are now modelled (</w:t>
      </w:r>
      <w:r>
        <w:rPr>
          <w:rStyle w:val="VerbatimChar"/>
        </w:rPr>
        <w:t xml:space="preserve">PowerModel_Method_v0_1.md</w:t>
      </w:r>
      <w:r>
        <w:t xml:space="preserve">): the interim data rows of sections 5-6 below are replaced by the engineer model, and three corrections are marked below (VAT on the policy term, long-term storage allocation, VRE share).</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(dispatch, capacity, investment: legacy tables H, I, K, L) are the next bucket. Until it exists, the two quantities this block needs from it are</w:t>
      </w:r>
      <w:r>
        <w:t xml:space="preserve"> </w:t>
      </w:r>
      <w:r>
        <w:rPr>
          <w:bCs/>
          <w:b/>
        </w:rPr>
        <w:t xml:space="preserve">interim data rows</w:t>
      </w:r>
      <w:r>
        <w:t xml:space="preserve"> </w:t>
      </w:r>
      <w:r>
        <w:t xml:space="preserve">(section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1"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Interim data (legacy baseline run)</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Interim data (legacy baseline run)</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Electricity is not yet a fuel in the sector blocks: prices are computed and reported, demand is interim data</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interim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Levelised fixed cost built; levelised variable cost and the investment cost wait for the engineer model</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1"/>
    <w:bookmarkStart w:id="52"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2"/>
    <w:bookmarkStart w:id="62" w:name="method-by-legacy-sub-table"/>
    <w:p>
      <w:pPr>
        <w:pStyle w:val="Heading3"/>
      </w:pPr>
      <w:r>
        <w:t xml:space="preserve">3. Method by legacy sub-table</w:t>
      </w:r>
    </w:p>
    <w:bookmarkStart w:id="53"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3"/>
    <w:bookmarkStart w:id="54" w:name="Xdbcd1e40ef4e4db5852c02edfa5b7f6061119cd"/>
    <w:p>
      <w:pPr>
        <w:pStyle w:val="Heading4"/>
      </w:pPr>
      <w:r>
        <w:t xml:space="preserve">3.2 B. Amortised (cost-recovery) fixed costs, for the cost of the existing stock</w:t>
      </w:r>
    </w:p>
    <w:p>
      <w:pPr>
        <w:numPr>
          <w:ilvl w:val="0"/>
          <w:numId w:val="1023"/>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3"/>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3"/>
        </w:numPr>
        <w:pStyle w:val="Compact"/>
      </w:pPr>
      <w:r>
        <w:t xml:space="preserve">Amortised fixed cost (S1): fix(t) = (cax_av × (1/N + wacc/2) + dtc/N) / (cf × 8,760) + sto_av + opf.</w:t>
      </w:r>
    </w:p>
    <w:bookmarkEnd w:id="54"/>
    <w:bookmarkStart w:id="55"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55"/>
    <w:bookmarkStart w:id="56" w:name="d.-current-variable-costs"/>
    <w:p>
      <w:pPr>
        <w:pStyle w:val="Heading4"/>
      </w:pPr>
      <w:r>
        <w:t xml:space="preserve">3.4 D. Current variable costs</w:t>
      </w:r>
    </w:p>
    <w:p>
      <w:pPr>
        <w:numPr>
          <w:ilvl w:val="0"/>
          <w:numId w:val="1024"/>
        </w:numPr>
        <w:pStyle w:val="Compact"/>
      </w:pPr>
      <w:r>
        <w:t xml:space="preserve">Fuel cost per kWh: fc(t) = pf(t) × 0.0036 / ν, with pf the section-2 price before new policies in $/GJ (oil: $/bbl ÷ GJ per bbl). Nuclear: 0.004 $/kWh. Renewables 0.</w:t>
      </w:r>
    </w:p>
    <w:p>
      <w:pPr>
        <w:numPr>
          <w:ilvl w:val="0"/>
          <w:numId w:val="1024"/>
        </w:numPr>
        <w:pStyle w:val="Compact"/>
      </w:pPr>
      <w:r>
        <w:t xml:space="preserve">Variable cost before carbon: vbc(t) = vop + fc(t).</w:t>
      </w:r>
    </w:p>
    <w:p>
      <w:pPr>
        <w:numPr>
          <w:ilvl w:val="0"/>
          <w:numId w:val="1024"/>
        </w:numPr>
        <w:pStyle w:val="Compact"/>
      </w:pPr>
      <w:r>
        <w:t xml:space="preserve">Carbon cost per kWh generated: ccp(t) = nce_pow(f, t) × 0.0036 / ν. nce_pow is the new policy wedge on the fuel in the power sector ($/GJ):</w:t>
      </w:r>
    </w:p>
    <w:p>
      <w:pPr>
        <w:numPr>
          <w:ilvl w:val="1"/>
          <w:numId w:val="1025"/>
        </w:numPr>
        <w:pStyle w:val="Compact"/>
      </w:pPr>
      <w:r>
        <w:t xml:space="preserve">carbon tax: carbon price × EF × fuel coverage × power coverage × (1 − ETS coverage of power);</w:t>
      </w:r>
    </w:p>
    <w:p>
      <w:pPr>
        <w:numPr>
          <w:ilvl w:val="1"/>
          <w:numId w:val="1025"/>
        </w:numPr>
        <w:pStyle w:val="Compact"/>
      </w:pPr>
      <w:r>
        <w:t xml:space="preserve">ETS: ETS tax-equivalent price × EF × ETS coverage of power × (1 − OBR share of power);</w:t>
      </w:r>
    </w:p>
    <w:p>
      <w:pPr>
        <w:numPr>
          <w:ilvl w:val="1"/>
          <w:numId w:val="1025"/>
        </w:numPr>
        <w:pStyle w:val="Compact"/>
      </w:pPr>
      <w:r>
        <w:t xml:space="preserve">fuel price reform for coal and gas in power.</w:t>
      </w:r>
    </w:p>
    <w:p>
      <w:pPr>
        <w:numPr>
          <w:ilvl w:val="0"/>
          <w:numId w:val="1024"/>
        </w:numPr>
        <w:pStyle w:val="Compact"/>
      </w:pPr>
      <w:r>
        <w:t xml:space="preserve">Total variable cost: tvc(t) = vbc(t) + ccp(t). This is used by dispatch (engineer model).</w:t>
      </w:r>
    </w:p>
    <w:bookmarkEnd w:id="56"/>
    <w:bookmarkStart w:id="57" w:name="e.-total-costs"/>
    <w:p>
      <w:pPr>
        <w:pStyle w:val="Heading4"/>
      </w:pPr>
      <w:r>
        <w:t xml:space="preserve">3.5 E. Total costs</w:t>
      </w:r>
    </w:p>
    <w:p>
      <w:pPr>
        <w:numPr>
          <w:ilvl w:val="0"/>
          <w:numId w:val="1026"/>
        </w:numPr>
        <w:pStyle w:val="Compact"/>
      </w:pPr>
      <w:r>
        <w:t xml:space="preserve">Generation cost before carbon (cost recovery): gnc(t) = fix(t) + vbc(t) (legacy E3).</w:t>
      </w:r>
    </w:p>
    <w:p>
      <w:pPr>
        <w:numPr>
          <w:ilvl w:val="0"/>
          <w:numId w:val="1026"/>
        </w:numPr>
        <w:pStyle w:val="Compact"/>
      </w:pPr>
      <w:r>
        <w:t xml:space="preserve">Average generation cost: gnc_av(t) = Σ_f gns(f, t) × gnc(f, t).</w:t>
      </w:r>
    </w:p>
    <w:p>
      <w:pPr>
        <w:numPr>
          <w:ilvl w:val="0"/>
          <w:numId w:val="1026"/>
        </w:numPr>
        <w:pStyle w:val="Compact"/>
      </w:pPr>
      <w:r>
        <w:t xml:space="preserve">Average carbon cost per kWh consumed: ccp_av(t) = Σ_f gns(f,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57"/>
    <w:bookmarkStart w:id="5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58"/>
    <w:bookmarkStart w:id="59" w:name="X1a22306b9e6f3a6be922e8ca841166fcd9c7ad1"/>
    <w:p>
      <w:pPr>
        <w:pStyle w:val="Heading4"/>
      </w:pPr>
      <w:r>
        <w:t xml:space="preserve">3.7 J. Systems integration cost of renewables (storage)</w:t>
      </w:r>
    </w:p>
    <w:p>
      <w:pPr>
        <w:numPr>
          <w:ilvl w:val="0"/>
          <w:numId w:val="1027"/>
        </w:numPr>
        <w:pStyle w:val="Compact"/>
      </w:pPr>
      <w:r>
        <w:t xml:space="preserve">VRE share: v(t) = gns(wind) + gns(solar) + gns(other renewables) (legacy row 3851; v1.05 omitted other renewables, 0 for Egypt).</w:t>
      </w:r>
    </w:p>
    <w:p>
      <w:pPr>
        <w:numPr>
          <w:ilvl w:val="0"/>
          <w:numId w:val="1027"/>
        </w:numPr>
        <w:pStyle w:val="Compact"/>
      </w:pPr>
      <w:r>
        <w:t xml:space="preserve">Short-term storage (batteries):</w:t>
      </w:r>
    </w:p>
    <w:p>
      <w:pPr>
        <w:numPr>
          <w:ilvl w:val="1"/>
          <w:numId w:val="1028"/>
        </w:numPr>
        <w:pStyle w:val="Compact"/>
      </w:pPr>
      <w:r>
        <w:t xml:space="preserve">marginal hours: h(t) = ast × 18 × v(t), where ast = 1 is the share allocated to VRE and 18 = d(9 v²)/dv;</w:t>
      </w:r>
    </w:p>
    <w:p>
      <w:pPr>
        <w:numPr>
          <w:ilvl w:val="1"/>
          <w:numId w:val="1028"/>
        </w:numPr>
        <w:pStyle w:val="Compact"/>
      </w:pPr>
      <w:r>
        <w:t xml:space="preserve">cost per hour per kWh: cph(t) = (cbat(t) + cint(t) / r) / (dlf_ren × 8,760) + obat(t) / 8,760, where r = 2 hours kWh/kW, and cbat, cint, obat are the battery capex, interface capex and opex paths.</w:t>
      </w:r>
    </w:p>
    <w:p>
      <w:pPr>
        <w:numPr>
          <w:ilvl w:val="0"/>
          <w:numId w:val="1027"/>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7"/>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59"/>
    <w:bookmarkStart w:id="60" w:name="Xea3a79cc23c2d8de503cc1bac2c5badf684787b"/>
    <w:p>
      <w:pPr>
        <w:pStyle w:val="Heading4"/>
      </w:pPr>
      <w:r>
        <w:t xml:space="preserve">3.8 G. End-user prices (residential g = res, industrial g = ind)</w:t>
      </w:r>
    </w:p>
    <w:p>
      <w:pPr>
        <w:numPr>
          <w:ilvl w:val="0"/>
          <w:numId w:val="1029"/>
        </w:numPr>
        <w:pStyle w:val="Compact"/>
      </w:pPr>
      <w:r>
        <w:t xml:space="preserve">Supply cost (I5, lagged): sc(g, t) = gnc_av(t−1) + tmc(g), with tmc = 0.040 (res) and 0.015 (ind) $/kWh. In the base year, gnc_av of the base year.</w:t>
      </w:r>
    </w:p>
    <w:p>
      <w:pPr>
        <w:numPr>
          <w:ilvl w:val="0"/>
          <w:numId w:val="1029"/>
        </w:numPr>
        <w:pStyle w:val="Compact"/>
      </w:pPr>
      <w:r>
        <w:t xml:space="preserve">Price before new policies (S4):</w:t>
      </w:r>
    </w:p>
    <w:p>
      <w:pPr>
        <w:numPr>
          <w:ilvl w:val="1"/>
          <w:numId w:val="1030"/>
        </w:numPr>
        <w:pStyle w:val="Compact"/>
      </w:pPr>
      <w:r>
        <w:t xml:space="preserve">up to the last historical year L: rp_pre(g, t) = hrp(g, t), the historical retail price including VAT from the price dataset (nominal → real with the CPI index);</w:t>
      </w:r>
    </w:p>
    <w:p>
      <w:pPr>
        <w:numPr>
          <w:ilvl w:val="1"/>
          <w:numId w:val="1030"/>
        </w:numPr>
        <w:pStyle w:val="Compact"/>
      </w:pPr>
      <w:r>
        <w:t xml:space="preserve">after L: rp_pre(g, t) = rp_pre(g, t−1) + pass × (sc(g, t) − sc(g, t−1)) × (1 + VAT(g, L)), with pass = 1 (legacy hardcode).</w:t>
      </w:r>
    </w:p>
    <w:p>
      <w:pPr>
        <w:numPr>
          <w:ilvl w:val="0"/>
          <w:numId w:val="1029"/>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29"/>
        </w:numPr>
        <w:pStyle w:val="Compact"/>
      </w:pPr>
      <w:r>
        <w:t xml:space="preserve">Subsidy gap (S7): sgap(g, t) = sc(g, t) − rp_pre(g, t) / (1 + VAT). Positive = price below modelled supply cost.</w:t>
      </w:r>
    </w:p>
    <w:bookmarkEnd w:id="60"/>
    <w:bookmarkStart w:id="61" w:name="g4.-revenues-usd-million-real"/>
    <w:p>
      <w:pPr>
        <w:pStyle w:val="Heading4"/>
      </w:pPr>
      <w:r>
        <w:t xml:space="preserve">3.9 G4. Revenues (USD million real)</w:t>
      </w:r>
    </w:p>
    <w:p>
      <w:pPr>
        <w:numPr>
          <w:ilvl w:val="0"/>
          <w:numId w:val="1031"/>
        </w:numPr>
        <w:pStyle w:val="Compact"/>
      </w:pPr>
      <w:r>
        <w:t xml:space="preserve">VAT: rp_pre × VAT / (1 + VAT) × cons(g).</w:t>
      </w:r>
    </w:p>
    <w:p>
      <w:pPr>
        <w:numPr>
          <w:ilvl w:val="0"/>
          <w:numId w:val="1031"/>
        </w:numPr>
        <w:pStyle w:val="Compact"/>
      </w:pPr>
      <w:r>
        <w:t xml:space="preserve">Carbon revenue from power: ccp_av × cons(g). This equals the carbon cost of generation, because ccp_av is per kWh consumed.</w:t>
      </w:r>
    </w:p>
    <w:p>
      <w:pPr>
        <w:numPr>
          <w:ilvl w:val="0"/>
          <w:numId w:val="1031"/>
        </w:numPr>
        <w:pStyle w:val="Compact"/>
      </w:pPr>
      <w:r>
        <w:t xml:space="preserve">Subsidy gap: sgap × cons(g).</w:t>
      </w:r>
    </w:p>
    <w:p>
      <w:pPr>
        <w:pStyle w:val="FirstParagraph"/>
      </w:pPr>
      <w:r>
        <w:t xml:space="preserve">Here cons(g) is consumption in GWh, interim data until electricity demand is modelled (I6). Power revenues are reported separately, not yet in the section-12 totals.</w:t>
      </w:r>
    </w:p>
    <w:bookmarkEnd w:id="61"/>
    <w:bookmarkEnd w:id="62"/>
    <w:bookmarkStart w:id="63"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interim (engineer model later): gns[f,t], phi[f,t], cons[g,t], gen_per_cons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gns[wnd,t] + gns[sol,t] + gns[ore,t]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vbc[f]  = vop[f] + rpb[price_pos[f],t]*k_fuel[f]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gns[f,t]*gnc[f]</w:t>
      </w:r>
      <w:r>
        <w:br/>
      </w:r>
      <w:r>
        <w:rPr>
          <w:rStyle w:val="VerbatimChar"/>
        </w:rPr>
        <w:t xml:space="preserve">    ccp_av = sum_f gns[f,t]*ccp[f]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rev_vat[g], rev_carbon[g], rev_gap[g] = ... * cons[g,t]</w:t>
      </w:r>
    </w:p>
    <w:bookmarkEnd w:id="63"/>
    <w:bookmarkStart w:id="64"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calls a named LAMBDA. Sub-headings carry the legacy letters, in legacy order (J last, as in legacy, although B and C use it):</w:t>
      </w:r>
    </w:p>
    <w:p>
      <w:pPr>
        <w:numPr>
          <w:ilvl w:val="0"/>
          <w:numId w:val="1032"/>
        </w:numPr>
        <w:pStyle w:val="Compact"/>
      </w:pPr>
      <w:r>
        <w:t xml:space="preserve">A: tcf (capex factor), gns (generation shares; interim), phi (investment share; interim), storage cost paths cbat, cint, obat, cel.</w:t>
      </w:r>
    </w:p>
    <w:p>
      <w:pPr>
        <w:numPr>
          <w:ilvl w:val="0"/>
          <w:numId w:val="1032"/>
        </w:numPr>
        <w:pStyle w:val="Compact"/>
      </w:pPr>
      <w:r>
        <w:t xml:space="preserve">B: cax, caxav, stoav, fix.</w:t>
      </w:r>
    </w:p>
    <w:p>
      <w:pPr>
        <w:numPr>
          <w:ilvl w:val="0"/>
          <w:numId w:val="1032"/>
        </w:numPr>
        <w:pStyle w:val="Compact"/>
      </w:pPr>
      <w:r>
        <w:t xml:space="preserve">C: lfx.</w:t>
      </w:r>
    </w:p>
    <w:p>
      <w:pPr>
        <w:numPr>
          <w:ilvl w:val="0"/>
          <w:numId w:val="1032"/>
        </w:numPr>
        <w:pStyle w:val="Compact"/>
      </w:pPr>
      <w:r>
        <w:t xml:space="preserve">D: vbc, ccp. The new policy wedge is not a separate row: ccp is computed per kWh in one step with the constants tCO2/kWh (EF × 0.0036/ν) and kWh factor of the fuel price reform (0.0036/ν ÷ GJ per price unit); both are 0 for types without a fuel.</w:t>
      </w:r>
    </w:p>
    <w:p>
      <w:pPr>
        <w:numPr>
          <w:ilvl w:val="0"/>
          <w:numId w:val="1032"/>
        </w:numPr>
        <w:pStyle w:val="Compact"/>
      </w:pPr>
      <w:r>
        <w:t xml:space="preserve">E: gnc, gncav, ccpav.</w:t>
      </w:r>
    </w:p>
    <w:p>
      <w:pPr>
        <w:numPr>
          <w:ilvl w:val="0"/>
          <w:numId w:val="1032"/>
        </w:numPr>
        <w:pStyle w:val="Compact"/>
      </w:pPr>
      <w:r>
        <w:t xml:space="preserve">G: cons (interim), sc, rppre, rp, sgap by user group; revenues rvat, rcarb, rgap.</w:t>
      </w:r>
    </w:p>
    <w:p>
      <w:pPr>
        <w:numPr>
          <w:ilvl w:val="0"/>
          <w:numId w:val="1032"/>
        </w:numPr>
        <w:pStyle w:val="Compact"/>
      </w:pPr>
      <w:r>
        <w:t xml:space="preserve">J: vre, cph, msc.</w:t>
      </w:r>
    </w:p>
    <w:p>
      <w:pPr>
        <w:pStyle w:val="FirstParagraph"/>
      </w:pPr>
      <w:r>
        <w:t xml:space="preserve">Interim rows (gns, phi, cons) are shown in orange italic, with a note naming the engineer model as their future source. When rolled up, section 3 shows the average generation cost and the two end-user prices. MTOutputs adds these three indicators.</w:t>
      </w:r>
    </w:p>
    <w:p>
      <w:pPr>
        <w:pStyle w:val="BodyText"/>
      </w:pPr>
      <w:r>
        <w:t xml:space="preserve">Named LAMBDAs of section 3: CAPEX, VINTAGE (B2 and B6), AMORTISED, LEVELISED, VARCOST, GENCOST, WEIGHTED (averages and the VRE share), STORAGEHOUR, STORAGECOST, POWERSUPPLY, POWERPRICE, ENDUSERPOWER, SUBSIDYGAP, POWERREV; ccp reuses NEWPOLICY, CARBONTAX and ETSCOST of the sector sections.</w:t>
      </w:r>
    </w:p>
    <w:bookmarkEnd w:id="64"/>
    <w:bookmarkStart w:id="65" w:name="X7724368638d4acb127bd4af039ace1ecbbd0f08"/>
    <w:p>
      <w:pPr>
        <w:pStyle w:val="Heading3"/>
      </w:pPr>
      <w:r>
        <w:t xml:space="preserve">6. Interim data until the engineer model (I3, I4, I6)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Source now</w:t>
            </w:r>
          </w:p>
        </w:tc>
        <w:tc>
          <w:tcPr/>
          <w:p>
            <w:pPr>
              <w:pStyle w:val="Compact"/>
              <w:jc w:val="left"/>
            </w:pPr>
            <w:r>
              <w:t xml:space="preserve">Source later</w:t>
            </w:r>
          </w:p>
        </w:tc>
      </w:tr>
      <w:tr>
        <w:tc>
          <w:tcPr/>
          <w:p>
            <w:pPr>
              <w:pStyle w:val="Compact"/>
              <w:jc w:val="left"/>
            </w:pPr>
            <w:r>
              <w:t xml:space="preserve">gns: generation shares by type, 2022-2040</w:t>
            </w:r>
          </w:p>
        </w:tc>
        <w:tc>
          <w:tcPr/>
          <w:p>
            <w:pPr>
              <w:pStyle w:val="Compact"/>
              <w:jc w:val="left"/>
            </w:pPr>
            <w:r>
              <w:t xml:space="preserve">Legacy cached baseline (Mitigation I6 / E0)</w:t>
            </w:r>
          </w:p>
        </w:tc>
        <w:tc>
          <w:tcPr/>
          <w:p>
            <w:pPr>
              <w:pStyle w:val="Compact"/>
              <w:jc w:val="left"/>
            </w:pPr>
            <w:r>
              <w:t xml:space="preserve">Engineer model dispatch and investment</w:t>
            </w:r>
          </w:p>
        </w:tc>
      </w:tr>
      <w:tr>
        <w:tc>
          <w:tcPr/>
          <w:p>
            <w:pPr>
              <w:pStyle w:val="Compact"/>
              <w:jc w:val="left"/>
            </w:pPr>
            <w:r>
              <w:t xml:space="preserve">phi: investment as a share of remaining capacity</w:t>
            </w:r>
          </w:p>
        </w:tc>
        <w:tc>
          <w:tcPr/>
          <w:p>
            <w:pPr>
              <w:pStyle w:val="Compact"/>
              <w:jc w:val="left"/>
            </w:pPr>
            <w:r>
              <w:t xml:space="preserve">Legacy cached baseline (B1)</w:t>
            </w:r>
          </w:p>
        </w:tc>
        <w:tc>
          <w:tcPr/>
          <w:p>
            <w:pPr>
              <w:pStyle w:val="Compact"/>
              <w:jc w:val="left"/>
            </w:pPr>
            <w:r>
              <w:t xml:space="preserve">Engineer model investment</w:t>
            </w:r>
          </w:p>
        </w:tc>
      </w:tr>
      <w:tr>
        <w:tc>
          <w:tcPr/>
          <w:p>
            <w:pPr>
              <w:pStyle w:val="Compact"/>
              <w:jc w:val="left"/>
            </w:pPr>
            <w:r>
              <w:t xml:space="preserve">cons: residential and industrial consumption (GWh); generation / consumption</w:t>
            </w:r>
          </w:p>
        </w:tc>
        <w:tc>
          <w:tcPr/>
          <w:p>
            <w:pPr>
              <w:pStyle w:val="Compact"/>
              <w:jc w:val="left"/>
            </w:pPr>
            <w:r>
              <w:t xml:space="preserve">Legacy cached baseline (G1, G2, H2)</w:t>
            </w:r>
          </w:p>
        </w:tc>
        <w:tc>
          <w:tcPr/>
          <w:p>
            <w:pPr>
              <w:pStyle w:val="Compact"/>
              <w:jc w:val="left"/>
            </w:pPr>
            <w:r>
              <w:t xml:space="preserve">Electricity demand in the sector blocks plus the balance shares</w:t>
            </w:r>
          </w:p>
        </w:tc>
      </w:tr>
    </w:tbl>
    <w:p>
      <w:pPr>
        <w:pStyle w:val="BodyText"/>
      </w:pPr>
      <w:r>
        <w:t xml:space="preserve">Because these are baseline values, a policy scenario’s power prices respond to fuel and carbon costs but not to its own generation mix until the engineer model is built. This matters for high carbon prices; it is flagged in CAVEATS and LegacyDiff.</w:t>
      </w:r>
    </w:p>
    <w:bookmarkEnd w:id="65"/>
    <w:bookmarkStart w:id="66" w:name="validation"/>
    <w:p>
      <w:pPr>
        <w:pStyle w:val="Heading3"/>
      </w:pPr>
      <w:r>
        <w:t xml:space="preserve">7. Validation</w:t>
      </w:r>
    </w:p>
    <w:p>
      <w:pPr>
        <w:numPr>
          <w:ilvl w:val="0"/>
          <w:numId w:val="1033"/>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3"/>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3"/>
        </w:numPr>
        <w:pStyle w:val="Compact"/>
      </w:pPr>
      <w:r>
        <w:rPr>
          <w:bCs/>
          <w:b/>
        </w:rPr>
        <w:t xml:space="preserve">Formula uniformity</w:t>
      </w:r>
      <w:r>
        <w:t xml:space="preserve">, LAMBDA column, and copy of scenario groups, as for the rest of the sheet.</w:t>
      </w:r>
    </w:p>
    <w:p>
      <w:pPr>
        <w:numPr>
          <w:ilvl w:val="0"/>
          <w:numId w:val="1033"/>
        </w:numPr>
        <w:pStyle w:val="Compact"/>
      </w:pPr>
      <w:r>
        <w:t xml:space="preserve">Regression: every existing output code is unchanged. The power block does not yet feed any other section.</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66"/>
    <w:bookmarkStart w:id="67" w:name="open-decisions"/>
    <w:p>
      <w:pPr>
        <w:pStyle w:val="Heading3"/>
      </w:pPr>
      <w:r>
        <w:t xml:space="preserve">8. Open decisions</w:t>
      </w:r>
    </w:p>
    <w:p>
      <w:pPr>
        <w:numPr>
          <w:ilvl w:val="0"/>
          <w:numId w:val="1034"/>
        </w:numPr>
        <w:pStyle w:val="Compact"/>
      </w:pPr>
      <w:r>
        <w:t xml:space="preserve">Spot vs moving-average fuel prices (S5).</w:t>
      </w:r>
    </w:p>
    <w:p>
      <w:pPr>
        <w:numPr>
          <w:ilvl w:val="0"/>
          <w:numId w:val="1034"/>
        </w:numPr>
        <w:pStyle w:val="Compact"/>
      </w:pPr>
      <w:r>
        <w:t xml:space="preserve">VAT on power policy terms: legacy charges VAT (row 3614), as the MVP does for fuels; applied from v1.06.</w:t>
      </w:r>
    </w:p>
    <w:p>
      <w:pPr>
        <w:numPr>
          <w:ilvl w:val="0"/>
          <w:numId w:val="1034"/>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4"/>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67"/>
    <w:bookmarkEnd w:id="68"/>
    <w:bookmarkStart w:id="73" w:name="Xb597a57c7d5840a7ae15c685aeb9a2856919cd9"/>
    <w:p>
      <w:pPr>
        <w:pStyle w:val="Heading1"/>
      </w:pPr>
      <w:r>
        <w:t xml:space="preserve">Power engineer model: demand, dispatch, retirement, investment</w:t>
      </w:r>
    </w:p>
    <w:p>
      <w:pPr>
        <w:pStyle w:val="FirstParagraph"/>
      </w:pPr>
      <w:r>
        <w:rPr>
          <w:iCs/>
          <w:i/>
        </w:rPr>
        <w:t xml:space="preserve">Source:</w:t>
      </w:r>
      <w:r>
        <w:rPr>
          <w:iCs/>
          <w:i/>
        </w:rPr>
        <w:t xml:space="preserve"> </w:t>
      </w:r>
      <w:r>
        <w:rPr>
          <w:rStyle w:val="VerbatimChar"/>
          <w:iCs/>
          <w:i/>
        </w:rPr>
        <w:t xml:space="preserve">PowerModel_Method_v0_1.md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of v1.05 (</w:t>
      </w:r>
      <w:r>
        <w:rPr>
          <w:rStyle w:val="VerbatimChar"/>
        </w:rPr>
        <w:t xml:space="preserve">PowerPrices_Method_v0_1.md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PowerModel_BugsAndImprovements_v1_0.docx</w:t>
      </w:r>
      <w:r>
        <w:t xml:space="preserve">.</w:t>
      </w:r>
      <w:r>
        <w:t xml:space="preserve"> </w:t>
      </w:r>
      <w:r>
        <w:rPr>
          <w:rStyle w:val="VerbatimChar"/>
        </w:rPr>
        <w:t xml:space="preserve">power_model_ref_v0_1.py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w:t>
      </w:r>
    </w:p>
    <w:p>
      <w:pPr>
        <w:pStyle w:val="BodyText"/>
      </w:pPr>
      <w:r>
        <w:t xml:space="preserve">Units: generation and capacity in MW / MWy; demand in ktoe; costs in real $/kWh of 2026.</w:t>
      </w:r>
    </w:p>
    <w:bookmarkStart w:id="69"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69"/>
    <w:bookmarkStart w:id="70"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Retirement = MIN(capacity × 1/lifetime + early coal retirement, capacity); hydro does not retire.</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D6, D9, E1.</w:t>
      </w:r>
      <w:r>
        <w:t xml:space="preserve"> </w:t>
      </w:r>
      <w:r>
        <w:t xml:space="preserve">- Shadow price per kWh = (power feebate × share impacting efficiency + ETS tax-equivalent price × ETS coverage × OBR share)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2040.</w:t>
      </w:r>
      <w:r>
        <w:t xml:space="preserve"> </w:t>
      </w:r>
      <w:r>
        <w:t xml:space="preserve">- E1 = MAX(lfx + D9, 0.01).</w:t>
      </w:r>
    </w:p>
    <w:bookmarkEnd w:id="70"/>
    <w:bookmarkStart w:id="71" w:name="workbook"/>
    <w:p>
      <w:pPr>
        <w:pStyle w:val="Heading3"/>
      </w:pPr>
      <w:r>
        <w:t xml:space="preserve">3. Workbook</w:t>
      </w:r>
    </w:p>
    <w:p>
      <w:pPr>
        <w:numPr>
          <w:ilvl w:val="0"/>
          <w:numId w:val="1035"/>
        </w:numPr>
        <w:pStyle w:val="Compact"/>
      </w:pPr>
      <w:r>
        <w:t xml:space="preserve">Mitigation section 3 keeps the legacy letters in the legacy order: A, B, C, D, E, G, H, I, J, K, L.</w:t>
      </w:r>
    </w:p>
    <w:p>
      <w:pPr>
        <w:numPr>
          <w:ilvl w:val="0"/>
          <w:numId w:val="1035"/>
        </w:numPr>
        <w:pStyle w:val="Compact"/>
      </w:pPr>
      <w:r>
        <w:t xml:space="preserve">Each block has one formula across years, types and scenarios, and the right column calls a named LAMBDA. Two kinds of row are exceptions and stay plain:</w:t>
      </w:r>
    </w:p>
    <w:p>
      <w:pPr>
        <w:numPr>
          <w:ilvl w:val="1"/>
          <w:numId w:val="1036"/>
        </w:numPr>
        <w:pStyle w:val="Compact"/>
      </w:pPr>
      <w:r>
        <w:t xml:space="preserve">data rows and sums;</w:t>
      </w:r>
    </w:p>
    <w:p>
      <w:pPr>
        <w:numPr>
          <w:ilvl w:val="1"/>
          <w:numId w:val="1036"/>
        </w:numPr>
        <w:pStyle w:val="Compact"/>
      </w:pPr>
      <w:r>
        <w:rPr>
          <w:rStyle w:val="VerbatimChar"/>
        </w:rPr>
        <w:t xml:space="preserve">dsum</w:t>
      </w:r>
      <w:r>
        <w:t xml:space="preserve"> </w:t>
      </w:r>
      <w:r>
        <w:t xml:space="preserve">and</w:t>
      </w:r>
      <w:r>
        <w:t xml:space="preserve"> </w:t>
      </w:r>
      <w:r>
        <w:rPr>
          <w:rStyle w:val="VerbatimChar"/>
        </w:rPr>
        <w:t xml:space="preserve">lvc</w:t>
      </w:r>
      <w:r>
        <w:t xml:space="preserve">, which look one column ahead.</w:t>
      </w:r>
    </w:p>
    <w:p>
      <w:pPr>
        <w:numPr>
          <w:ilvl w:val="0"/>
          <w:numId w:val="1035"/>
        </w:numPr>
        <w:pStyle w:val="Compact"/>
      </w:pPr>
      <w:r>
        <w:t xml:space="preserve">Constants by type and the demand tables are in Inputs_power; the data sheets are PowerTech, PowerPaths, PowerParams and PowerDemand (</w:t>
      </w:r>
      <w:r>
        <w:rPr>
          <w:rStyle w:val="VerbatimChar"/>
        </w:rPr>
        <w:t xml:space="preserve">extract_power_v0_2.py</w:t>
      </w:r>
      <w:r>
        <w:t xml:space="preserve">).</w:t>
      </w:r>
    </w:p>
    <w:p>
      <w:pPr>
        <w:numPr>
          <w:ilvl w:val="0"/>
          <w:numId w:val="1035"/>
        </w:numPr>
        <w:pStyle w:val="Compact"/>
      </w:pPr>
      <w:r>
        <w:t xml:space="preserve">Power CO2 enters section 13: the total, by fuel and as ETS sector power. A new ETS that covers power therefore sees power emissions, and the baseline CO2 data rows include them.</w:t>
      </w:r>
    </w:p>
    <w:p>
      <w:pPr>
        <w:numPr>
          <w:ilvl w:val="0"/>
          <w:numId w:val="1035"/>
        </w:numPr>
        <w:pStyle w:val="Compact"/>
      </w:pPr>
      <w:r>
        <w:t xml:space="preserve">Settings C19 switches the legacy 2023-2024 demand shock on (default 0, as the fuel blocks).</w:t>
      </w:r>
    </w:p>
    <w:bookmarkEnd w:id="71"/>
    <w:bookmarkStart w:id="72" w:name="validation-check_report_v1.06.md"/>
    <w:p>
      <w:pPr>
        <w:pStyle w:val="Heading3"/>
      </w:pPr>
      <w:r>
        <w:t xml:space="preserve">4. Validation (</w:t>
      </w:r>
      <w:r>
        <w:rPr>
          <w:rStyle w:val="VerbatimChar"/>
        </w:rPr>
        <w:t xml:space="preserve">check_report_v1.06.md</w:t>
      </w:r>
      <w:r>
        <w:t xml:space="preserve">)</w:t>
      </w:r>
    </w:p>
    <w:p>
      <w:pPr>
        <w:numPr>
          <w:ilvl w:val="0"/>
          <w:numId w:val="1037"/>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7"/>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7"/>
        </w:numPr>
        <w:pStyle w:val="Compact"/>
      </w:pPr>
      <w:r>
        <w:rPr>
          <w:bCs/>
          <w:b/>
        </w:rPr>
        <w:t xml:space="preserve">Properties:</w:t>
      </w:r>
    </w:p>
    <w:p>
      <w:pPr>
        <w:numPr>
          <w:ilvl w:val="1"/>
          <w:numId w:val="1038"/>
        </w:numPr>
        <w:pStyle w:val="Compact"/>
      </w:pPr>
      <w:r>
        <w:t xml:space="preserve">generation = required generation;</w:t>
      </w:r>
    </w:p>
    <w:p>
      <w:pPr>
        <w:numPr>
          <w:ilvl w:val="1"/>
          <w:numId w:val="1038"/>
        </w:numPr>
        <w:pStyle w:val="Compact"/>
      </w:pPr>
      <w:r>
        <w:t xml:space="preserve">the capacity balance holds;</w:t>
      </w:r>
    </w:p>
    <w:p>
      <w:pPr>
        <w:numPr>
          <w:ilvl w:val="1"/>
          <w:numId w:val="1038"/>
        </w:numPr>
        <w:pStyle w:val="Compact"/>
      </w:pPr>
      <w:r>
        <w:t xml:space="preserve">investment = capacity needed;</w:t>
      </w:r>
    </w:p>
    <w:p>
      <w:pPr>
        <w:numPr>
          <w:ilvl w:val="1"/>
          <w:numId w:val="1038"/>
        </w:numPr>
        <w:pStyle w:val="Compact"/>
      </w:pPr>
      <w:r>
        <w:t xml:space="preserve">the supply cost lag holds;</w:t>
      </w:r>
    </w:p>
    <w:p>
      <w:pPr>
        <w:numPr>
          <w:ilvl w:val="1"/>
          <w:numId w:val="1038"/>
        </w:numPr>
        <w:pStyle w:val="Compact"/>
      </w:pPr>
      <w:r>
        <w:t xml:space="preserve">a carbon price raises the VRE share and lowers power CO2.</w:t>
      </w:r>
    </w:p>
    <w:p>
      <w:pPr>
        <w:numPr>
          <w:ilvl w:val="0"/>
          <w:numId w:val="1037"/>
        </w:numPr>
        <w:pStyle w:val="Compact"/>
      </w:pPr>
      <w:r>
        <w:rPr>
          <w:bCs/>
          <w:b/>
        </w:rPr>
        <w:t xml:space="preserve">Regression vs v1.05.</w:t>
      </w:r>
      <w:r>
        <w:t xml:space="preserve"> </w:t>
      </w:r>
      <w:r>
        <w:t xml:space="preserve">All shared codes are unchanged apart from the intended changes: the power block and CO2 including power.</w:t>
      </w:r>
    </w:p>
    <w:bookmarkEnd w:id="72"/>
    <w:bookmarkEnd w:id="73"/>
    <w:bookmarkStart w:id="74"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22</w:t>
            </w:r>
          </w:p>
        </w:tc>
        <w:tc>
          <w:tcPr/>
          <w:p>
            <w:pPr>
              <w:pStyle w:val="Compact"/>
              <w:jc w:val="left"/>
            </w:pPr>
            <w:r>
              <w:t xml:space="preserve">Power: bug fixes (v1.06)</w:t>
            </w:r>
          </w:p>
        </w:tc>
        <w:tc>
          <w:tcPr/>
          <w:p>
            <w:pPr>
              <w:pStyle w:val="Compact"/>
              <w:jc w:val="left"/>
            </w:pPr>
            <w:r>
              <w:t xml:space="preserve">Ten defects (PowerModel_BugsAndImprovements_v1_0.docx):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23</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w:t>
            </w:r>
          </w:p>
        </w:tc>
        <w:tc>
          <w:tcPr/>
          <w:p>
            <w:pPr>
              <w:pStyle w:val="Compact"/>
              <w:jc w:val="left"/>
            </w:pPr>
            <w:r>
              <w:t xml:space="preserve">Consistency with the fuel blocks; open decision in TODO</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24</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25</w:t>
            </w:r>
          </w:p>
        </w:tc>
        <w:tc>
          <w:tcPr/>
          <w:p>
            <w:pPr>
              <w:pStyle w:val="Compact"/>
              <w:jc w:val="left"/>
            </w:pPr>
            <w:r>
              <w:t xml:space="preserve">Power: features not built</w:t>
            </w:r>
          </w:p>
        </w:tc>
        <w:tc>
          <w:tcPr/>
          <w:p>
            <w:pPr>
              <w:pStyle w:val="Compact"/>
              <w:jc w:val="left"/>
            </w:pPr>
            <w:r>
              <w:t xml:space="preserve">PPAs, manual capacity and investment, planned coal retirement data,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26</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2040</w:t>
            </w:r>
          </w:p>
        </w:tc>
        <w:tc>
          <w:tcPr/>
          <w:p>
            <w:pPr>
              <w:pStyle w:val="Compact"/>
              <w:jc w:val="left"/>
            </w:pPr>
            <w:r>
              <w:t xml:space="preserve">Horizon of the MVP</w:t>
            </w:r>
          </w:p>
        </w:tc>
        <w:tc>
          <w:tcPr/>
          <w:p>
            <w:pPr>
              <w:pStyle w:val="Compact"/>
              <w:jc w:val="left"/>
            </w:pPr>
            <w:r>
              <w:t xml:space="preserve">Small, at the end of the horizon</w:t>
            </w:r>
          </w:p>
        </w:tc>
        <w:tc>
          <w:tcPr/>
          <w:p>
            <w:pPr>
              <w:pStyle w:val="Compact"/>
              <w:jc w:val="left"/>
            </w:pPr>
            <w:r>
              <w:t xml:space="preserve">Decision</w:t>
            </w:r>
          </w:p>
        </w:tc>
      </w:tr>
      <w:tr>
        <w:tc>
          <w:tcPr/>
          <w:p>
            <w:pPr>
              <w:pStyle w:val="Compact"/>
              <w:jc w:val="left"/>
            </w:pPr>
            <w:r>
              <w:t xml:space="preserve">27</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(PowerPrices_Method_v0_1.md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28</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29</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31</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32</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ccpav x consumption; the ETS part valued at the tax-equivalent price (subsector revenues use the permit price on the auctioned part)</w:t>
            </w:r>
          </w:p>
        </w:tc>
        <w:tc>
          <w:tcPr/>
          <w:p>
            <w:pPr>
              <w:pStyle w:val="Compact"/>
              <w:jc w:val="left"/>
            </w:pPr>
            <w:r>
              <w:t xml:space="preserve">Simplification</w:t>
            </w:r>
          </w:p>
        </w:tc>
        <w:tc>
          <w:tcPr/>
          <w:p>
            <w:pPr>
              <w:pStyle w:val="Compact"/>
              <w:jc w:val="left"/>
            </w:pPr>
            <w:r>
              <w:t xml:space="preserve">Power ETS revenue about 10% high at Medium volatility</w:t>
            </w:r>
          </w:p>
        </w:tc>
        <w:tc>
          <w:tcPr/>
          <w:p>
            <w:pPr>
              <w:pStyle w:val="Compact"/>
              <w:jc w:val="left"/>
            </w:pPr>
            <w:r>
              <w:t xml:space="preserve">Simplification</w:t>
            </w:r>
          </w:p>
        </w:tc>
      </w:tr>
      <w:tr>
        <w:tc>
          <w:tcPr/>
          <w:p>
            <w:pPr>
              <w:pStyle w:val="Compact"/>
              <w:jc w:val="left"/>
            </w:pPr>
            <w:r>
              <w:t xml:space="preserve">33</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34</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35</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36</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37</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74"/>
    <w:bookmarkStart w:id="75"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bl>
    <w:bookmarkEnd w:id="75"/>
    <w:bookmarkStart w:id="76"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check_report_v1.06.md</w:t>
      </w:r>
      <w:r>
        <w:rPr>
          <w:iCs/>
          <w:i/>
        </w:rPr>
        <w:t xml:space="preserve"> </w:t>
      </w:r>
      <w:r>
        <w:rPr>
          <w:iCs/>
          <w:i/>
        </w:rPr>
        <w:t xml:space="preserve">(</w:t>
      </w:r>
      <w:r>
        <w:rPr>
          <w:rStyle w:val="VerbatimChar"/>
          <w:iCs/>
          <w:i/>
        </w:rPr>
        <w:t xml:space="preserve">python check_v1_06.py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1. Shipped file recalculated in LibreOffice (no LAMBDA support)</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675</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72</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(ets_goalseek_v0_2.py)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v1.05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76"/>
    <w:bookmarkStart w:id="77" w:name="appendix-d.-presentations"/>
    <w:p>
      <w:pPr>
        <w:pStyle w:val="Heading1"/>
      </w:pPr>
      <w:r>
        <w:t xml:space="preserve">Appendix D. Presentations</w:t>
      </w:r>
    </w:p>
    <w:p>
      <w:pPr>
        <w:numPr>
          <w:ilvl w:val="0"/>
          <w:numId w:val="1039"/>
        </w:numPr>
        <w:pStyle w:val="Compact"/>
      </w:pPr>
      <w:r>
        <w:rPr>
          <w:rStyle w:val="VerbatimChar"/>
        </w:rPr>
        <w:t xml:space="preserve">presentation/CPAT-AI-Mitigation-MVP_Overview_v1.0.pptx</w:t>
      </w:r>
      <w:r>
        <w:t xml:space="preserve">: 7-slide pitch and user guide (v1.00).</w:t>
      </w:r>
    </w:p>
    <w:p>
      <w:pPr>
        <w:numPr>
          <w:ilvl w:val="0"/>
          <w:numId w:val="1039"/>
        </w:numPr>
        <w:pStyle w:val="Compact"/>
      </w:pPr>
      <w:r>
        <w:rPr>
          <w:rStyle w:val="VerbatimChar"/>
        </w:rPr>
        <w:t xml:space="preserve">presentation/CPAT-AI-Mitigation-MVP_AdvancedFeatures_v1.1.pptx</w:t>
      </w:r>
      <w:r>
        <w:t xml:space="preserve">: 4 slides on v1.01-v1.04 (cap-based ETS, multiple scenarios with the batch macro, stored results and comparison).</w:t>
      </w:r>
    </w:p>
    <w:bookmarkEnd w:id="77"/>
    <w:bookmarkStart w:id="78" w:name="Xb2c8dd6acd4943c977bef36c1b71339cdc74bfb"/>
    <w:p>
      <w:pPr>
        <w:pStyle w:val="Heading1"/>
      </w:pPr>
      <w:r>
        <w:t xml:space="preserve">Appendix E. Bugs found in the legacy power model</w:t>
      </w:r>
    </w:p>
    <w:p>
      <w:pPr>
        <w:pStyle w:val="FirstParagraph"/>
      </w:pPr>
      <w:r>
        <w:t xml:space="preserve">The engineer power model (v1.06) matches legacy except for ten bugs, which are fixed. They are described with their effects in the separate report</w:t>
      </w:r>
      <w:r>
        <w:t xml:space="preserve"> </w:t>
      </w:r>
      <w:r>
        <w:rPr>
          <w:rStyle w:val="VerbatimChar"/>
        </w:rPr>
        <w:t xml:space="preserve">PowerModel_BugsAndImprovements_v1_0.docx</w:t>
      </w:r>
      <w:r>
        <w:t xml:space="preserve"> </w:t>
      </w:r>
      <w:r>
        <w:t xml:space="preserve">(built by</w:t>
      </w:r>
      <w:r>
        <w:t xml:space="preserve"> </w:t>
      </w:r>
      <w:r>
        <w:rPr>
          <w:rStyle w:val="VerbatimChar"/>
        </w:rPr>
        <w:t xml:space="preserve">make_bugs_doc_v1_0.py</w:t>
      </w:r>
      <w:r>
        <w:t xml:space="preserve">); sheet LegacyDiff lists them in one row.</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v1.06: documentation</dc:title>
  <dc:creator/>
  <cp:keywords/>
  <dcterms:created xsi:type="dcterms:W3CDTF">2026-10-10T23:07:32Z</dcterms:created>
  <dcterms:modified xsi:type="dcterms:W3CDTF">2026-10-10T23:07:32Z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