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4A7A"/>
          <w:sz w:val="26"/>
        </w:rPr>
        <w:t>Egypt carbon pricing and CBAM: what changed from the original results</w:t>
      </w:r>
    </w:p>
    <w:p>
      <w:r>
        <w:rPr>
          <w:b/>
        </w:rPr>
        <w:t>Timing caveat: the results apply long-run responses in full by 2030. With a carbon price rising linearly from zero in 2026 to USD20 in 2030, published adjustment speeds imply about 40% of the response by 2030 (about 70% if the full price applies from 2027), so 2030 emission cuts, intensity gains and deaths avoided would be smaller in proportion (methodology Appendix H).</w:t>
      </w:r>
    </w:p>
    <w:p>
      <w:r>
        <w:rPr>
          <w:b/>
        </w:rPr>
        <w:t xml:space="preserve">Main changes. </w:t>
      </w:r>
      <w:r>
        <w:rPr>
          <w:b w:val="0"/>
        </w:rPr>
        <w:t>The results now use a dedicated CBAM module for the seven CBAM goods Egypt makes (steel, clinker, ammonia, urea, ammonium nitrate and primary aluminum). CPAT's treatment of these sectors was weak: its industry energy balance for Egypt is suspect, with no sub-industry data except iron and steel, so a CPAT "downstream" run priced the fuel of all industry, including diesel and LPG well outside the CBAM goods. The 3A to 3C scenarios now cover the CBAM goods only, as intended, which cuts their base from about 20% to 15% of national emissions. The CPAT runs for the rest of the economy were also updated with better Egypt-specific prices. Finally, the ad hoc adjustments to CPAT had become hard to follow, and some assumptions were unsourced, so the study now has a standalone Excel workbook and methodology in which every assumption is sourced.</w:t>
      </w:r>
    </w:p>
    <w:p>
      <w:r>
        <w:rPr>
          <w:b/>
        </w:rPr>
        <w:t xml:space="preserve">Effect on the results. </w:t>
      </w:r>
      <w:r>
        <w:rPr>
          <w:b w:val="0"/>
        </w:rPr>
        <w:t>For the economy-wide scenarios (1A to 2B), the results are similar: revenue, emission cuts and deaths avoided move by about 10% or less. The downstream scenarios (3A to 3C) change most. Their emission cuts fall by about half to two-thirds and their health benefits by about 85%, because they now count only the CBAM goods, and are much more accurate for it. The split between lower emissions per tonne and lower output is also more accurate, as the module models each separately for each product. Reductions in CBAM obligations are now calculated at a standard EU carbon price of USD100 per tonne with no phase-in, as if the CBAM were fully in force: cleaner production and the credit for Egypt's USD20 price each count, and free allocation (3B) earns no credit.</w:t>
      </w:r>
    </w:p>
    <w:p>
      <w:r>
        <w:rPr>
          <w:b/>
          <w:sz w:val="20"/>
        </w:rPr>
        <w:t>Results in 2030: original → current</w:t>
      </w:r>
    </w:p>
    <w:tbl>
      <w:tblPr>
        <w:tblStyle w:val="TableGrid"/>
        <w:tblW w:type="auto" w:w="0"/>
        <w:tblLayout w:type="fixed"/>
        <w:tblLook w:firstColumn="1" w:firstRow="1" w:lastColumn="0" w:lastRow="0" w:noHBand="0" w:noVBand="1" w:val="04A0"/>
      </w:tblPr>
      <w:tblGrid>
        <w:gridCol w:w="2268"/>
        <w:gridCol w:w="1134"/>
        <w:gridCol w:w="1134"/>
        <w:gridCol w:w="1247"/>
        <w:gridCol w:w="1587"/>
        <w:gridCol w:w="1587"/>
        <w:gridCol w:w="1474"/>
      </w:tblGrid>
      <w:tr>
        <w:tc>
          <w:tcPr>
            <w:tcW w:type="dxa" w:w="2268"/>
            <w:shd w:val="clear" w:fill="D9E2F3"/>
          </w:tcPr>
          <w:p>
            <w:pPr>
              <w:spacing w:after="0"/>
            </w:pPr>
            <w:r/>
            <w:r>
              <w:rPr>
                <w:b/>
                <w:sz w:val="16"/>
              </w:rPr>
              <w:t>Scenario</w:t>
            </w:r>
          </w:p>
        </w:tc>
        <w:tc>
          <w:tcPr>
            <w:tcW w:type="dxa" w:w="1134"/>
            <w:shd w:val="clear" w:fill="D9E2F3"/>
          </w:tcPr>
          <w:p>
            <w:pPr>
              <w:spacing w:after="0"/>
            </w:pPr>
            <w:r/>
            <w:r>
              <w:rPr>
                <w:b/>
                <w:sz w:val="16"/>
              </w:rPr>
              <w:t>National emissions priced</w:t>
            </w:r>
          </w:p>
        </w:tc>
        <w:tc>
          <w:tcPr>
            <w:tcW w:type="dxa" w:w="1134"/>
            <w:shd w:val="clear" w:fill="D9E2F3"/>
          </w:tcPr>
          <w:p>
            <w:pPr>
              <w:spacing w:after="0"/>
            </w:pPr>
            <w:r/>
            <w:r>
              <w:rPr>
                <w:b/>
                <w:sz w:val="16"/>
              </w:rPr>
              <w:t>Revenue, USD bn</w:t>
            </w:r>
          </w:p>
        </w:tc>
        <w:tc>
          <w:tcPr>
            <w:tcW w:type="dxa" w:w="1247"/>
            <w:shd w:val="clear" w:fill="D9E2F3"/>
          </w:tcPr>
          <w:p>
            <w:pPr>
              <w:spacing w:after="0"/>
            </w:pPr>
            <w:r/>
            <w:r>
              <w:rPr>
                <w:b/>
                <w:sz w:val="16"/>
              </w:rPr>
              <w:t>Emission cut, Mt</w:t>
            </w:r>
          </w:p>
        </w:tc>
        <w:tc>
          <w:tcPr>
            <w:tcW w:type="dxa" w:w="1587"/>
            <w:shd w:val="clear" w:fill="D9E2F3"/>
          </w:tcPr>
          <w:p>
            <w:pPr>
              <w:spacing w:after="0"/>
            </w:pPr>
            <w:r/>
            <w:r>
              <w:rPr>
                <w:b/>
                <w:sz w:val="16"/>
              </w:rPr>
              <w:t>CBAM-sector intensity</w:t>
            </w:r>
          </w:p>
        </w:tc>
        <w:tc>
          <w:tcPr>
            <w:tcW w:type="dxa" w:w="1587"/>
            <w:shd w:val="clear" w:fill="D9E2F3"/>
          </w:tcPr>
          <w:p>
            <w:pPr>
              <w:spacing w:after="0"/>
            </w:pPr>
            <w:r/>
            <w:r>
              <w:rPr>
                <w:b/>
                <w:sz w:val="16"/>
              </w:rPr>
              <w:t>CBAM obligation per tonne</w:t>
            </w:r>
          </w:p>
        </w:tc>
        <w:tc>
          <w:tcPr>
            <w:tcW w:type="dxa" w:w="1474"/>
            <w:shd w:val="clear" w:fill="D9E2F3"/>
          </w:tcPr>
          <w:p>
            <w:pPr>
              <w:spacing w:after="0"/>
            </w:pPr>
            <w:r/>
            <w:r>
              <w:rPr>
                <w:b/>
                <w:sz w:val="16"/>
              </w:rPr>
              <w:t>Deaths avoided a year</w:t>
            </w:r>
          </w:p>
        </w:tc>
      </w:tr>
      <w:tr>
        <w:tc>
          <w:tcPr>
            <w:tcW w:type="dxa" w:w="2268"/>
          </w:tcPr>
          <w:p>
            <w:pPr>
              <w:spacing w:after="0"/>
            </w:pPr>
            <w:r/>
            <w:r>
              <w:rPr>
                <w:sz w:val="16"/>
              </w:rPr>
              <w:t>1A Comprehensive levy</w:t>
            </w:r>
          </w:p>
        </w:tc>
        <w:tc>
          <w:tcPr>
            <w:tcW w:type="dxa" w:w="1134"/>
          </w:tcPr>
          <w:p>
            <w:pPr>
              <w:spacing w:after="0"/>
              <w:jc w:val="right"/>
            </w:pPr>
            <w:r/>
            <w:r>
              <w:rPr>
                <w:sz w:val="16"/>
              </w:rPr>
              <w:t>72% → 71.5%</w:t>
            </w:r>
          </w:p>
        </w:tc>
        <w:tc>
          <w:tcPr>
            <w:tcW w:type="dxa" w:w="1134"/>
          </w:tcPr>
          <w:p>
            <w:pPr>
              <w:spacing w:after="0"/>
              <w:jc w:val="right"/>
            </w:pPr>
            <w:r/>
            <w:r>
              <w:rPr>
                <w:sz w:val="16"/>
              </w:rPr>
              <w:t>5.8 → 5.6</w:t>
            </w:r>
          </w:p>
        </w:tc>
        <w:tc>
          <w:tcPr>
            <w:tcW w:type="dxa" w:w="1247"/>
          </w:tcPr>
          <w:p>
            <w:pPr>
              <w:spacing w:after="0"/>
              <w:jc w:val="right"/>
            </w:pPr>
            <w:r/>
            <w:r>
              <w:rPr>
                <w:sz w:val="16"/>
              </w:rPr>
              <w:t>41.6 → 40.7</w:t>
            </w:r>
          </w:p>
        </w:tc>
        <w:tc>
          <w:tcPr>
            <w:tcW w:type="dxa" w:w="1587"/>
          </w:tcPr>
          <w:p>
            <w:pPr>
              <w:spacing w:after="0"/>
              <w:jc w:val="right"/>
            </w:pPr>
            <w:r/>
            <w:r>
              <w:rPr>
                <w:sz w:val="16"/>
              </w:rPr>
              <w:t>−7.6% → −8.9%</w:t>
            </w:r>
          </w:p>
        </w:tc>
        <w:tc>
          <w:tcPr>
            <w:tcW w:type="dxa" w:w="1587"/>
          </w:tcPr>
          <w:p>
            <w:pPr>
              <w:spacing w:after="0"/>
              <w:jc w:val="right"/>
            </w:pPr>
            <w:r/>
            <w:r>
              <w:rPr>
                <w:sz w:val="16"/>
              </w:rPr>
              <w:t>−26.1% → −26.7%</w:t>
            </w:r>
          </w:p>
        </w:tc>
        <w:tc>
          <w:tcPr>
            <w:tcW w:type="dxa" w:w="1474"/>
          </w:tcPr>
          <w:p>
            <w:pPr>
              <w:spacing w:after="0"/>
              <w:jc w:val="right"/>
            </w:pPr>
            <w:r/>
            <w:r>
              <w:rPr>
                <w:sz w:val="16"/>
              </w:rPr>
              <w:t>1,656 → 1,659</w:t>
            </w:r>
          </w:p>
        </w:tc>
      </w:tr>
      <w:tr>
        <w:tc>
          <w:tcPr>
            <w:tcW w:type="dxa" w:w="2268"/>
          </w:tcPr>
          <w:p>
            <w:pPr>
              <w:spacing w:after="0"/>
            </w:pPr>
            <w:r/>
            <w:r>
              <w:rPr>
                <w:sz w:val="16"/>
              </w:rPr>
              <w:t>2A Upstream, public investment</w:t>
            </w:r>
          </w:p>
        </w:tc>
        <w:tc>
          <w:tcPr>
            <w:tcW w:type="dxa" w:w="1134"/>
          </w:tcPr>
          <w:p>
            <w:pPr>
              <w:spacing w:after="0"/>
              <w:jc w:val="right"/>
            </w:pPr>
            <w:r/>
            <w:r>
              <w:rPr>
                <w:sz w:val="16"/>
              </w:rPr>
              <w:t>65% → 64%</w:t>
            </w:r>
          </w:p>
        </w:tc>
        <w:tc>
          <w:tcPr>
            <w:tcW w:type="dxa" w:w="1134"/>
          </w:tcPr>
          <w:p>
            <w:pPr>
              <w:spacing w:after="0"/>
              <w:jc w:val="right"/>
            </w:pPr>
            <w:r/>
            <w:r>
              <w:rPr>
                <w:sz w:val="16"/>
              </w:rPr>
              <w:t>5.2 → 5.0</w:t>
            </w:r>
          </w:p>
        </w:tc>
        <w:tc>
          <w:tcPr>
            <w:tcW w:type="dxa" w:w="1247"/>
          </w:tcPr>
          <w:p>
            <w:pPr>
              <w:spacing w:after="0"/>
              <w:jc w:val="right"/>
            </w:pPr>
            <w:r/>
            <w:r>
              <w:rPr>
                <w:sz w:val="16"/>
              </w:rPr>
              <w:t>38.9 → 37.5</w:t>
            </w:r>
          </w:p>
        </w:tc>
        <w:tc>
          <w:tcPr>
            <w:tcW w:type="dxa" w:w="1587"/>
          </w:tcPr>
          <w:p>
            <w:pPr>
              <w:spacing w:after="0"/>
              <w:jc w:val="right"/>
            </w:pPr>
            <w:r/>
            <w:r>
              <w:rPr>
                <w:sz w:val="16"/>
              </w:rPr>
              <w:t>−5.5% → −5.5%</w:t>
            </w:r>
          </w:p>
        </w:tc>
        <w:tc>
          <w:tcPr>
            <w:tcW w:type="dxa" w:w="1587"/>
          </w:tcPr>
          <w:p>
            <w:pPr>
              <w:spacing w:after="0"/>
              <w:jc w:val="right"/>
            </w:pPr>
            <w:r/>
            <w:r>
              <w:rPr>
                <w:sz w:val="16"/>
              </w:rPr>
              <w:t>−13.9% → −14.7%</w:t>
            </w:r>
          </w:p>
        </w:tc>
        <w:tc>
          <w:tcPr>
            <w:tcW w:type="dxa" w:w="1474"/>
          </w:tcPr>
          <w:p>
            <w:pPr>
              <w:spacing w:after="0"/>
              <w:jc w:val="right"/>
            </w:pPr>
            <w:r/>
            <w:r>
              <w:rPr>
                <w:sz w:val="16"/>
              </w:rPr>
              <w:t>1,564 → 1,639</w:t>
            </w:r>
          </w:p>
        </w:tc>
      </w:tr>
      <w:tr>
        <w:tc>
          <w:tcPr>
            <w:tcW w:type="dxa" w:w="2268"/>
          </w:tcPr>
          <w:p>
            <w:pPr>
              <w:spacing w:after="0"/>
            </w:pPr>
            <w:r/>
            <w:r>
              <w:rPr>
                <w:sz w:val="16"/>
              </w:rPr>
              <w:t>2B Upstream, household refunds</w:t>
            </w:r>
          </w:p>
        </w:tc>
        <w:tc>
          <w:tcPr>
            <w:tcW w:type="dxa" w:w="1134"/>
          </w:tcPr>
          <w:p>
            <w:pPr>
              <w:spacing w:after="0"/>
              <w:jc w:val="right"/>
            </w:pPr>
            <w:r/>
            <w:r>
              <w:rPr>
                <w:sz w:val="16"/>
              </w:rPr>
              <w:t>65% → 64%</w:t>
            </w:r>
          </w:p>
        </w:tc>
        <w:tc>
          <w:tcPr>
            <w:tcW w:type="dxa" w:w="1134"/>
          </w:tcPr>
          <w:p>
            <w:pPr>
              <w:spacing w:after="0"/>
              <w:jc w:val="right"/>
            </w:pPr>
            <w:r/>
            <w:r>
              <w:rPr>
                <w:sz w:val="16"/>
              </w:rPr>
              <w:t>5.2 → 5.0</w:t>
            </w:r>
          </w:p>
        </w:tc>
        <w:tc>
          <w:tcPr>
            <w:tcW w:type="dxa" w:w="1247"/>
          </w:tcPr>
          <w:p>
            <w:pPr>
              <w:spacing w:after="0"/>
              <w:jc w:val="right"/>
            </w:pPr>
            <w:r/>
            <w:r>
              <w:rPr>
                <w:sz w:val="16"/>
              </w:rPr>
              <w:t>41.0 → 41.1</w:t>
            </w:r>
          </w:p>
        </w:tc>
        <w:tc>
          <w:tcPr>
            <w:tcW w:type="dxa" w:w="1587"/>
          </w:tcPr>
          <w:p>
            <w:pPr>
              <w:spacing w:after="0"/>
              <w:jc w:val="right"/>
            </w:pPr>
            <w:r/>
            <w:r>
              <w:rPr>
                <w:sz w:val="16"/>
              </w:rPr>
              <w:t>−5.5% → −5.5%</w:t>
            </w:r>
          </w:p>
        </w:tc>
        <w:tc>
          <w:tcPr>
            <w:tcW w:type="dxa" w:w="1587"/>
          </w:tcPr>
          <w:p>
            <w:pPr>
              <w:spacing w:after="0"/>
              <w:jc w:val="right"/>
            </w:pPr>
            <w:r/>
            <w:r>
              <w:rPr>
                <w:sz w:val="16"/>
              </w:rPr>
              <w:t>−13.9% → −14.7%</w:t>
            </w:r>
          </w:p>
        </w:tc>
        <w:tc>
          <w:tcPr>
            <w:tcW w:type="dxa" w:w="1474"/>
          </w:tcPr>
          <w:p>
            <w:pPr>
              <w:spacing w:after="0"/>
              <w:jc w:val="right"/>
            </w:pPr>
            <w:r/>
            <w:r>
              <w:rPr>
                <w:sz w:val="16"/>
              </w:rPr>
              <w:t>1,631 → 1,799</w:t>
            </w:r>
          </w:p>
        </w:tc>
      </w:tr>
      <w:tr>
        <w:tc>
          <w:tcPr>
            <w:tcW w:type="dxa" w:w="2268"/>
            <w:shd w:val="clear" w:fill="FFF4E5"/>
          </w:tcPr>
          <w:p>
            <w:pPr>
              <w:spacing w:after="0"/>
            </w:pPr>
            <w:r/>
            <w:r>
              <w:rPr>
                <w:sz w:val="16"/>
              </w:rPr>
              <w:t>3A Downstream, household refunds</w:t>
            </w:r>
          </w:p>
        </w:tc>
        <w:tc>
          <w:tcPr>
            <w:tcW w:type="dxa" w:w="1134"/>
            <w:shd w:val="clear" w:fill="FFF4E5"/>
          </w:tcPr>
          <w:p>
            <w:pPr>
              <w:spacing w:after="0"/>
              <w:jc w:val="right"/>
            </w:pPr>
            <w:r/>
            <w:r>
              <w:rPr>
                <w:sz w:val="16"/>
              </w:rPr>
              <w:t>20% → 15%</w:t>
            </w:r>
          </w:p>
        </w:tc>
        <w:tc>
          <w:tcPr>
            <w:tcW w:type="dxa" w:w="1134"/>
            <w:shd w:val="clear" w:fill="FFF4E5"/>
          </w:tcPr>
          <w:p>
            <w:pPr>
              <w:spacing w:after="0"/>
              <w:jc w:val="right"/>
            </w:pPr>
            <w:r/>
            <w:r>
              <w:rPr>
                <w:sz w:val="16"/>
              </w:rPr>
              <w:t>1.1 → 1.1</w:t>
            </w:r>
          </w:p>
        </w:tc>
        <w:tc>
          <w:tcPr>
            <w:tcW w:type="dxa" w:w="1247"/>
            <w:shd w:val="clear" w:fill="FFF4E5"/>
          </w:tcPr>
          <w:p>
            <w:pPr>
              <w:spacing w:after="0"/>
              <w:jc w:val="right"/>
            </w:pPr>
            <w:r/>
            <w:r>
              <w:rPr>
                <w:sz w:val="16"/>
              </w:rPr>
              <w:t>21.5 → 7.8</w:t>
            </w:r>
          </w:p>
        </w:tc>
        <w:tc>
          <w:tcPr>
            <w:tcW w:type="dxa" w:w="1587"/>
            <w:shd w:val="clear" w:fill="FFF4E5"/>
          </w:tcPr>
          <w:p>
            <w:pPr>
              <w:spacing w:after="0"/>
              <w:jc w:val="right"/>
            </w:pPr>
            <w:r/>
            <w:r>
              <w:rPr>
                <w:sz w:val="16"/>
              </w:rPr>
              <w:t>−7.6% → −8.9%</w:t>
            </w:r>
          </w:p>
        </w:tc>
        <w:tc>
          <w:tcPr>
            <w:tcW w:type="dxa" w:w="1587"/>
            <w:shd w:val="clear" w:fill="FFF4E5"/>
          </w:tcPr>
          <w:p>
            <w:pPr>
              <w:spacing w:after="0"/>
              <w:jc w:val="right"/>
            </w:pPr>
            <w:r/>
            <w:r>
              <w:rPr>
                <w:sz w:val="16"/>
              </w:rPr>
              <w:t>−26.1% → −26.7%</w:t>
            </w:r>
          </w:p>
        </w:tc>
        <w:tc>
          <w:tcPr>
            <w:tcW w:type="dxa" w:w="1474"/>
            <w:shd w:val="clear" w:fill="FFF4E5"/>
          </w:tcPr>
          <w:p>
            <w:pPr>
              <w:spacing w:after="0"/>
              <w:jc w:val="right"/>
            </w:pPr>
            <w:r/>
            <w:r>
              <w:rPr>
                <w:sz w:val="16"/>
              </w:rPr>
              <w:t>546 → 61</w:t>
            </w:r>
          </w:p>
        </w:tc>
      </w:tr>
      <w:tr>
        <w:tc>
          <w:tcPr>
            <w:tcW w:type="dxa" w:w="2268"/>
            <w:shd w:val="clear" w:fill="FFF4E5"/>
          </w:tcPr>
          <w:p>
            <w:pPr>
              <w:spacing w:after="0"/>
            </w:pPr>
            <w:r/>
            <w:r>
              <w:rPr>
                <w:sz w:val="16"/>
              </w:rPr>
              <w:t>3B Downstream, free allocation</w:t>
            </w:r>
          </w:p>
        </w:tc>
        <w:tc>
          <w:tcPr>
            <w:tcW w:type="dxa" w:w="1134"/>
            <w:shd w:val="clear" w:fill="FFF4E5"/>
          </w:tcPr>
          <w:p>
            <w:pPr>
              <w:spacing w:after="0"/>
              <w:jc w:val="right"/>
            </w:pPr>
            <w:r/>
            <w:r>
              <w:rPr>
                <w:sz w:val="16"/>
              </w:rPr>
              <w:t>20% → 15%</w:t>
            </w:r>
          </w:p>
        </w:tc>
        <w:tc>
          <w:tcPr>
            <w:tcW w:type="dxa" w:w="1134"/>
            <w:shd w:val="clear" w:fill="FFF4E5"/>
          </w:tcPr>
          <w:p>
            <w:pPr>
              <w:spacing w:after="0"/>
              <w:jc w:val="right"/>
            </w:pPr>
            <w:r/>
            <w:r>
              <w:rPr>
                <w:sz w:val="16"/>
              </w:rPr>
              <w:t>0.0 → 0.0</w:t>
            </w:r>
          </w:p>
        </w:tc>
        <w:tc>
          <w:tcPr>
            <w:tcW w:type="dxa" w:w="1247"/>
            <w:shd w:val="clear" w:fill="FFF4E5"/>
          </w:tcPr>
          <w:p>
            <w:pPr>
              <w:spacing w:after="0"/>
              <w:jc w:val="right"/>
            </w:pPr>
            <w:r/>
            <w:r>
              <w:rPr>
                <w:sz w:val="16"/>
              </w:rPr>
              <w:t>18.1 → 5.8</w:t>
            </w:r>
          </w:p>
        </w:tc>
        <w:tc>
          <w:tcPr>
            <w:tcW w:type="dxa" w:w="1587"/>
            <w:shd w:val="clear" w:fill="FFF4E5"/>
          </w:tcPr>
          <w:p>
            <w:pPr>
              <w:spacing w:after="0"/>
              <w:jc w:val="right"/>
            </w:pPr>
            <w:r/>
            <w:r>
              <w:rPr>
                <w:sz w:val="16"/>
              </w:rPr>
              <w:t>−7.6% → −8.9%</w:t>
            </w:r>
          </w:p>
        </w:tc>
        <w:tc>
          <w:tcPr>
            <w:tcW w:type="dxa" w:w="1587"/>
            <w:shd w:val="clear" w:fill="FFF4E5"/>
          </w:tcPr>
          <w:p>
            <w:pPr>
              <w:spacing w:after="0"/>
              <w:jc w:val="right"/>
            </w:pPr>
            <w:r/>
            <w:r>
              <w:rPr>
                <w:sz w:val="16"/>
              </w:rPr>
              <w:t>−7.6% → −8.4%</w:t>
            </w:r>
          </w:p>
        </w:tc>
        <w:tc>
          <w:tcPr>
            <w:tcW w:type="dxa" w:w="1474"/>
            <w:shd w:val="clear" w:fill="FFF4E5"/>
          </w:tcPr>
          <w:p>
            <w:pPr>
              <w:spacing w:after="0"/>
              <w:jc w:val="right"/>
            </w:pPr>
            <w:r/>
            <w:r>
              <w:rPr>
                <w:sz w:val="16"/>
              </w:rPr>
              <w:t>345 → 45</w:t>
            </w:r>
          </w:p>
        </w:tc>
      </w:tr>
      <w:tr>
        <w:tc>
          <w:tcPr>
            <w:tcW w:type="dxa" w:w="2268"/>
            <w:shd w:val="clear" w:fill="FFF4E5"/>
          </w:tcPr>
          <w:p>
            <w:pPr>
              <w:spacing w:after="0"/>
            </w:pPr>
            <w:r/>
            <w:r>
              <w:rPr>
                <w:sz w:val="16"/>
              </w:rPr>
              <w:t>3C Downstream, abatement rebate</w:t>
            </w:r>
          </w:p>
        </w:tc>
        <w:tc>
          <w:tcPr>
            <w:tcW w:type="dxa" w:w="1134"/>
            <w:shd w:val="clear" w:fill="FFF4E5"/>
          </w:tcPr>
          <w:p>
            <w:pPr>
              <w:spacing w:after="0"/>
              <w:jc w:val="right"/>
            </w:pPr>
            <w:r/>
            <w:r>
              <w:rPr>
                <w:sz w:val="16"/>
              </w:rPr>
              <w:t>20% → 15%</w:t>
            </w:r>
          </w:p>
        </w:tc>
        <w:tc>
          <w:tcPr>
            <w:tcW w:type="dxa" w:w="1134"/>
            <w:shd w:val="clear" w:fill="FFF4E5"/>
          </w:tcPr>
          <w:p>
            <w:pPr>
              <w:spacing w:after="0"/>
              <w:jc w:val="right"/>
            </w:pPr>
            <w:r/>
            <w:r>
              <w:rPr>
                <w:sz w:val="16"/>
              </w:rPr>
              <w:t>0.0 → 0.0</w:t>
            </w:r>
          </w:p>
        </w:tc>
        <w:tc>
          <w:tcPr>
            <w:tcW w:type="dxa" w:w="1247"/>
            <w:shd w:val="clear" w:fill="FFF4E5"/>
          </w:tcPr>
          <w:p>
            <w:pPr>
              <w:spacing w:after="0"/>
              <w:jc w:val="right"/>
            </w:pPr>
            <w:r/>
            <w:r>
              <w:rPr>
                <w:sz w:val="16"/>
              </w:rPr>
              <w:t>24.5 → 13.0</w:t>
            </w:r>
          </w:p>
        </w:tc>
        <w:tc>
          <w:tcPr>
            <w:tcW w:type="dxa" w:w="1587"/>
            <w:shd w:val="clear" w:fill="FFF4E5"/>
          </w:tcPr>
          <w:p>
            <w:pPr>
              <w:spacing w:after="0"/>
              <w:jc w:val="right"/>
            </w:pPr>
            <w:r/>
            <w:r>
              <w:rPr>
                <w:sz w:val="16"/>
              </w:rPr>
              <w:t>−13.1% → −16.9%</w:t>
            </w:r>
          </w:p>
        </w:tc>
        <w:tc>
          <w:tcPr>
            <w:tcW w:type="dxa" w:w="1587"/>
            <w:shd w:val="clear" w:fill="FFF4E5"/>
          </w:tcPr>
          <w:p>
            <w:pPr>
              <w:spacing w:after="0"/>
              <w:jc w:val="right"/>
            </w:pPr>
            <w:r/>
            <w:r>
              <w:rPr>
                <w:sz w:val="16"/>
              </w:rPr>
              <w:t>−30.4% → −32.8%</w:t>
            </w:r>
          </w:p>
        </w:tc>
        <w:tc>
          <w:tcPr>
            <w:tcW w:type="dxa" w:w="1474"/>
            <w:shd w:val="clear" w:fill="FFF4E5"/>
          </w:tcPr>
          <w:p>
            <w:pPr>
              <w:spacing w:after="0"/>
              <w:jc w:val="right"/>
            </w:pPr>
            <w:r/>
            <w:r>
              <w:rPr>
                <w:sz w:val="16"/>
              </w:rPr>
              <w:t>621 → 101</w:t>
            </w:r>
          </w:p>
        </w:tc>
      </w:tr>
    </w:tbl>
    <w:p>
      <w:pPr>
        <w:spacing w:before="80"/>
      </w:pPr>
      <w:r>
        <w:rPr>
          <w:i/>
          <w:sz w:val="16"/>
        </w:rPr>
        <w:t>Notes: Shaded rows are the CBAM-only scenarios, where the change is largest. All scenarios use a carbon price of USD20 per tonne in 2030. National emissions are now measured on the sector shares of Egypt's 2022 inventory. In 3A to 3C, diesel and gasoline are excluded from the price. The CBAM obligation is the change per tonne exported at a standard EU price of USD100 per tonne with no phase-in, after crediting Egypt's carbon price. The original table showed an 18.1 Mt cut for 3B where its text gave 13.6 Mt. Sources: original results table; current workbook and methodology (v3.0).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