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Egypt</w:t>
      </w:r>
      <w:r>
        <w:t xml:space="preserve"> </w:t>
      </w:r>
      <w:r>
        <w:t xml:space="preserve">carbon</w:t>
      </w:r>
      <w:r>
        <w:t xml:space="preserve"> </w:t>
      </w:r>
      <w:r>
        <w:t xml:space="preserve">pricing</w:t>
      </w:r>
      <w:r>
        <w:t xml:space="preserve"> </w:t>
      </w:r>
      <w:r>
        <w:t xml:space="preserve">and</w:t>
      </w:r>
      <w:r>
        <w:t xml:space="preserve"> </w:t>
      </w:r>
      <w:r>
        <w:t xml:space="preserve">CBAM:</w:t>
      </w:r>
      <w:r>
        <w:t xml:space="preserve"> </w:t>
      </w:r>
      <w:r>
        <w:t xml:space="preserve">results</w:t>
      </w:r>
      <w:r>
        <w:t xml:space="preserve"> </w:t>
      </w:r>
      <w:r>
        <w:t xml:space="preserve">and</w:t>
      </w:r>
      <w:r>
        <w:t xml:space="preserve"> </w:t>
      </w:r>
      <w:r>
        <w:t xml:space="preserve">methodology</w:t>
      </w:r>
    </w:p>
    <w:bookmarkStart w:id="29" w:name="results-at-a-glance"/>
    <w:p>
      <w:pPr>
        <w:pStyle w:val="Heading1"/>
        <w:widowControl/>
      </w:pPr>
      <w:r>
        <w:t xml:space="preserve">1. Results at a glance</w:t>
      </w:r>
    </w:p>
    <w:tbl>
      <w:tblPr>
        <w:tblStyle w:val="Table"/>
        <w:tblW w:type="dxa" w:w="9298"/>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CellMar>
          <w:left w:w="45" w:type="dxa"/>
          <w:right w:w="45" w:type="dxa"/>
        </w:tblCellMar>
      </w:tblPr>
      <w:tblGrid>
        <w:gridCol w:w="2154"/>
        <w:gridCol w:w="1190"/>
        <w:gridCol w:w="1190"/>
        <w:gridCol w:w="1190"/>
        <w:gridCol w:w="1190"/>
        <w:gridCol w:w="1190"/>
        <w:gridCol w:w="1190"/>
      </w:tblGrid>
      <w:tr>
        <w:trPr>
          <w:tblHeader w:val="true"/>
          <w:cantSplit/>
        </w:trPr>
        <w:tc>
          <w:tcPr>
            <w:tcW w:type="dxa" w:w="2154"/>
            <w:shd w:val="clear" w:fill="D9E2F3"/>
          </w:tcPr>
          <w:p>
            <w:pPr>
              <w:pStyle w:val="Compact"/>
              <w:spacing w:after="0"/>
              <w:jc w:val="left"/>
            </w:pPr>
            <w:r>
              <w:rPr>
                <w:b/>
                <w:sz w:val="17"/>
              </w:rPr>
              <w:t xml:space="preserve">Results in 2030</w:t>
            </w:r>
          </w:p>
        </w:tc>
        <w:tc>
          <w:tcPr>
            <w:tcW w:type="dxa" w:w="1191"/>
            <w:shd w:val="clear" w:fill="D9E2F3"/>
          </w:tcPr>
          <w:p>
            <w:pPr>
              <w:pStyle w:val="Compact"/>
              <w:spacing w:after="0"/>
              <w:jc w:val="right"/>
            </w:pPr>
            <w:r>
              <w:rPr>
                <w:b/>
                <w:sz w:val="17"/>
              </w:rPr>
              <w:t xml:space="preserve">1A</w:t>
            </w:r>
          </w:p>
        </w:tc>
        <w:tc>
          <w:tcPr>
            <w:tcW w:type="dxa" w:w="1191"/>
            <w:shd w:val="clear" w:fill="D9E2F3"/>
          </w:tcPr>
          <w:p>
            <w:pPr>
              <w:pStyle w:val="Compact"/>
              <w:spacing w:after="0"/>
              <w:jc w:val="right"/>
            </w:pPr>
            <w:r>
              <w:rPr>
                <w:b/>
                <w:sz w:val="17"/>
              </w:rPr>
              <w:t xml:space="preserve">2A</w:t>
            </w:r>
          </w:p>
        </w:tc>
        <w:tc>
          <w:tcPr>
            <w:tcW w:type="dxa" w:w="1191"/>
            <w:shd w:val="clear" w:fill="D9E2F3"/>
          </w:tcPr>
          <w:p>
            <w:pPr>
              <w:pStyle w:val="Compact"/>
              <w:spacing w:after="0"/>
              <w:jc w:val="right"/>
            </w:pPr>
            <w:r>
              <w:rPr>
                <w:b/>
                <w:sz w:val="17"/>
              </w:rPr>
              <w:t xml:space="preserve">2B</w:t>
            </w:r>
          </w:p>
        </w:tc>
        <w:tc>
          <w:tcPr>
            <w:tcW w:type="dxa" w:w="1191"/>
            <w:shd w:val="clear" w:fill="D9E2F3"/>
          </w:tcPr>
          <w:p>
            <w:pPr>
              <w:pStyle w:val="Compact"/>
              <w:spacing w:after="0"/>
              <w:jc w:val="right"/>
            </w:pPr>
            <w:r>
              <w:rPr>
                <w:b/>
                <w:sz w:val="17"/>
              </w:rPr>
              <w:t xml:space="preserve">3A</w:t>
            </w:r>
          </w:p>
        </w:tc>
        <w:tc>
          <w:tcPr>
            <w:tcW w:type="dxa" w:w="1191"/>
            <w:shd w:val="clear" w:fill="D9E2F3"/>
          </w:tcPr>
          <w:p>
            <w:pPr>
              <w:pStyle w:val="Compact"/>
              <w:spacing w:after="0"/>
              <w:jc w:val="right"/>
            </w:pPr>
            <w:r>
              <w:rPr>
                <w:b/>
                <w:sz w:val="17"/>
              </w:rPr>
              <w:t xml:space="preserve">3B</w:t>
            </w:r>
          </w:p>
        </w:tc>
        <w:tc>
          <w:tcPr>
            <w:tcW w:type="dxa" w:w="1191"/>
            <w:shd w:val="clear" w:fill="D9E2F3"/>
          </w:tcPr>
          <w:p>
            <w:pPr>
              <w:pStyle w:val="Compact"/>
              <w:spacing w:after="0"/>
              <w:jc w:val="right"/>
            </w:pPr>
            <w:r>
              <w:rPr>
                <w:b/>
                <w:sz w:val="17"/>
              </w:rPr>
              <w:t xml:space="preserve">3C</w:t>
            </w:r>
          </w:p>
        </w:tc>
      </w:tr>
      <w:tr>
        <w:trPr>
          <w:cantSplit/>
        </w:trPr>
        <w:tc>
          <w:tcPr>
            <w:tcW w:type="dxa" w:w="2154"/>
            <w:shd w:val="clear" w:fill="F2F2F2"/>
          </w:tcPr>
          <w:p>
            <w:pPr>
              <w:pStyle w:val="Compact"/>
              <w:spacing w:after="0"/>
              <w:jc w:val="left"/>
            </w:pPr>
            <w:r>
              <w:rPr>
                <w:b/>
                <w:sz w:val="15"/>
              </w:rPr>
              <w:t xml:space="preserve">Scenario</w:t>
            </w:r>
          </w:p>
        </w:tc>
        <w:tc>
          <w:tcPr>
            <w:tcW w:type="dxa" w:w="1191"/>
            <w:shd w:val="clear" w:fill="F2F2F2"/>
          </w:tcPr>
          <w:p>
            <w:pPr>
              <w:pStyle w:val="Compact"/>
              <w:spacing w:after="0"/>
              <w:jc w:val="left"/>
            </w:pPr>
            <w:r>
              <w:rPr>
                <w:sz w:val="15"/>
              </w:rPr>
              <w:t xml:space="preserve">Comprehensive levy</w:t>
            </w:r>
          </w:p>
        </w:tc>
        <w:tc>
          <w:tcPr>
            <w:tcW w:type="dxa" w:w="1191"/>
            <w:shd w:val="clear" w:fill="F2F2F2"/>
          </w:tcPr>
          <w:p>
            <w:pPr>
              <w:pStyle w:val="Compact"/>
              <w:spacing w:after="0"/>
              <w:jc w:val="left"/>
            </w:pPr>
            <w:r>
              <w:rPr>
                <w:sz w:val="15"/>
              </w:rPr>
              <w:t xml:space="preserve">Upstream levy</w:t>
            </w:r>
          </w:p>
        </w:tc>
        <w:tc>
          <w:tcPr>
            <w:tcW w:type="dxa" w:w="1191"/>
            <w:shd w:val="clear" w:fill="F2F2F2"/>
          </w:tcPr>
          <w:p>
            <w:pPr>
              <w:pStyle w:val="Compact"/>
              <w:spacing w:after="0"/>
              <w:jc w:val="left"/>
            </w:pPr>
            <w:r>
              <w:rPr>
                <w:sz w:val="15"/>
              </w:rPr>
              <w:t xml:space="preserve">Upstream levy, household refunds</w:t>
            </w:r>
          </w:p>
        </w:tc>
        <w:tc>
          <w:tcPr>
            <w:tcW w:type="dxa" w:w="1191"/>
            <w:shd w:val="clear" w:fill="F2F2F2"/>
          </w:tcPr>
          <w:p>
            <w:pPr>
              <w:pStyle w:val="Compact"/>
              <w:spacing w:after="0"/>
              <w:jc w:val="left"/>
            </w:pPr>
            <w:r>
              <w:rPr>
                <w:sz w:val="15"/>
              </w:rPr>
              <w:t xml:space="preserve">Downstream industry price</w:t>
            </w:r>
          </w:p>
        </w:tc>
        <w:tc>
          <w:tcPr>
            <w:tcW w:type="dxa" w:w="1191"/>
            <w:shd w:val="clear" w:fill="F2F2F2"/>
          </w:tcPr>
          <w:p>
            <w:pPr>
              <w:pStyle w:val="Compact"/>
              <w:spacing w:after="0"/>
              <w:jc w:val="left"/>
            </w:pPr>
            <w:r>
              <w:rPr>
                <w:sz w:val="15"/>
              </w:rPr>
              <w:t xml:space="preserve">3A with feebate (revenue neutral)</w:t>
            </w:r>
          </w:p>
        </w:tc>
        <w:tc>
          <w:tcPr>
            <w:tcW w:type="dxa" w:w="1191"/>
            <w:shd w:val="clear" w:fill="F2F2F2"/>
          </w:tcPr>
          <w:p>
            <w:pPr>
              <w:pStyle w:val="Compact"/>
              <w:spacing w:after="0"/>
              <w:jc w:val="left"/>
            </w:pPr>
            <w:r>
              <w:rPr>
                <w:sz w:val="15"/>
              </w:rPr>
              <w:t xml:space="preserve">3A with abatement fund</w:t>
            </w:r>
          </w:p>
        </w:tc>
      </w:tr>
      <w:tr>
        <w:trPr>
          <w:cantSplit/>
        </w:trPr>
        <w:tc>
          <w:tcPr>
            <w:tcW w:type="dxa" w:w="2154"/>
            <w:shd w:val="clear" w:fill="F2F2F2"/>
          </w:tcPr>
          <w:p>
            <w:pPr>
              <w:pStyle w:val="Compact"/>
              <w:spacing w:after="0"/>
              <w:jc w:val="left"/>
            </w:pPr>
            <w:r>
              <w:rPr>
                <w:b/>
                <w:sz w:val="15"/>
              </w:rPr>
              <w:t xml:space="preserve">What is priced</w:t>
            </w:r>
          </w:p>
        </w:tc>
        <w:tc>
          <w:tcPr>
            <w:tcW w:type="dxa" w:w="1191"/>
            <w:shd w:val="clear" w:fill="F2F2F2"/>
          </w:tcPr>
          <w:p>
            <w:pPr>
              <w:pStyle w:val="Compact"/>
              <w:spacing w:after="0"/>
              <w:jc w:val="left"/>
            </w:pPr>
            <w:r>
              <w:rPr>
                <w:sz w:val="15"/>
              </w:rPr>
              <w:t xml:space="preserve">Energy CO2, all sectors, plus CBAM process emissions</w:t>
            </w:r>
          </w:p>
        </w:tc>
        <w:tc>
          <w:tcPr>
            <w:tcW w:type="dxa" w:w="1191"/>
            <w:shd w:val="clear" w:fill="F2F2F2"/>
          </w:tcPr>
          <w:p>
            <w:pPr>
              <w:pStyle w:val="Compact"/>
              <w:spacing w:after="0"/>
              <w:jc w:val="left"/>
            </w:pPr>
            <w:r>
              <w:rPr>
                <w:sz w:val="15"/>
              </w:rPr>
              <w:t xml:space="preserve">Energy CO2, all sectors</w:t>
            </w:r>
          </w:p>
        </w:tc>
        <w:tc>
          <w:tcPr>
            <w:tcW w:type="dxa" w:w="1191"/>
            <w:shd w:val="clear" w:fill="F2F2F2"/>
          </w:tcPr>
          <w:p>
            <w:pPr>
              <w:pStyle w:val="Compact"/>
              <w:spacing w:after="0"/>
              <w:jc w:val="left"/>
            </w:pPr>
            <w:r>
              <w:rPr>
                <w:sz w:val="15"/>
              </w:rPr>
              <w:t xml:space="preserve">Energy CO2, all sectors</w:t>
            </w:r>
          </w:p>
        </w:tc>
        <w:tc>
          <w:tcPr>
            <w:tcW w:type="dxa" w:w="1191"/>
            <w:shd w:val="clear" w:fill="F2F2F2"/>
          </w:tcPr>
          <w:p>
            <w:pPr>
              <w:pStyle w:val="Compact"/>
              <w:spacing w:after="0"/>
              <w:jc w:val="left"/>
            </w:pPr>
            <w:r>
              <w:rPr>
                <w:sz w:val="15"/>
              </w:rPr>
              <w:t xml:space="preserve">CBAM products: energy and process emissions</w:t>
            </w:r>
            <w:r>
              <w:rPr>
                <w:rStyle w:val="FootnoteReference"/>
                <w:sz w:val="15"/>
              </w:rPr>
              <w:footnoteReference w:id="20"/>
            </w:r>
          </w:p>
        </w:tc>
        <w:tc>
          <w:tcPr>
            <w:tcW w:type="dxa" w:w="1191"/>
            <w:shd w:val="clear" w:fill="F2F2F2"/>
          </w:tcPr>
          <w:p>
            <w:pPr>
              <w:pStyle w:val="Compact"/>
              <w:spacing w:after="0"/>
              <w:jc w:val="left"/>
            </w:pPr>
            <w:r>
              <w:rPr>
                <w:sz w:val="15"/>
              </w:rPr>
              <w:t xml:space="preserve">As 3A</w:t>
            </w:r>
          </w:p>
        </w:tc>
        <w:tc>
          <w:tcPr>
            <w:tcW w:type="dxa" w:w="1191"/>
            <w:shd w:val="clear" w:fill="F2F2F2"/>
          </w:tcPr>
          <w:p>
            <w:pPr>
              <w:pStyle w:val="Compact"/>
              <w:spacing w:after="0"/>
              <w:jc w:val="left"/>
            </w:pPr>
            <w:r>
              <w:rPr>
                <w:sz w:val="15"/>
              </w:rPr>
              <w:t xml:space="preserve">As 3A</w:t>
            </w:r>
          </w:p>
        </w:tc>
      </w:tr>
      <w:tr>
        <w:trPr>
          <w:cantSplit/>
        </w:trPr>
        <w:tc>
          <w:tcPr>
            <w:tcW w:type="dxa" w:w="2154"/>
            <w:shd w:val="clear" w:fill="F2F2F2"/>
          </w:tcPr>
          <w:p>
            <w:pPr>
              <w:pStyle w:val="Compact"/>
              <w:spacing w:after="0"/>
              <w:jc w:val="left"/>
            </w:pPr>
            <w:r>
              <w:rPr>
                <w:b/>
                <w:sz w:val="15"/>
              </w:rPr>
              <w:t xml:space="preserve">Use of revenue</w:t>
            </w:r>
            <w:r>
              <w:rPr>
                <w:rStyle w:val="FootnoteReference"/>
                <w:b/>
                <w:sz w:val="15"/>
              </w:rPr>
              <w:footnoteReference w:id="21"/>
            </w:r>
          </w:p>
        </w:tc>
        <w:tc>
          <w:tcPr>
            <w:tcW w:type="dxa" w:w="1191"/>
            <w:shd w:val="clear" w:fill="F2F2F2"/>
          </w:tcPr>
          <w:p>
            <w:pPr>
              <w:pStyle w:val="Compact"/>
              <w:spacing w:after="0"/>
              <w:jc w:val="left"/>
            </w:pPr>
            <w:r>
              <w:rPr>
                <w:sz w:val="15"/>
              </w:rPr>
              <w:t xml:space="preserve">Public investment</w:t>
            </w:r>
          </w:p>
        </w:tc>
        <w:tc>
          <w:tcPr>
            <w:tcW w:type="dxa" w:w="1191"/>
            <w:shd w:val="clear" w:fill="F2F2F2"/>
          </w:tcPr>
          <w:p>
            <w:pPr>
              <w:pStyle w:val="Compact"/>
              <w:spacing w:after="0"/>
              <w:jc w:val="left"/>
            </w:pPr>
            <w:r>
              <w:rPr>
                <w:sz w:val="15"/>
              </w:rPr>
              <w:t xml:space="preserve">Public investment</w:t>
            </w:r>
          </w:p>
        </w:tc>
        <w:tc>
          <w:tcPr>
            <w:tcW w:type="dxa" w:w="1191"/>
            <w:shd w:val="clear" w:fill="F2F2F2"/>
          </w:tcPr>
          <w:p>
            <w:pPr>
              <w:pStyle w:val="Compact"/>
              <w:spacing w:after="0"/>
              <w:jc w:val="left"/>
            </w:pPr>
            <w:r>
              <w:rPr>
                <w:sz w:val="15"/>
              </w:rPr>
              <w:t xml:space="preserve">Household refunds</w:t>
            </w:r>
          </w:p>
        </w:tc>
        <w:tc>
          <w:tcPr>
            <w:tcW w:type="dxa" w:w="1191"/>
            <w:shd w:val="clear" w:fill="F2F2F2"/>
          </w:tcPr>
          <w:p>
            <w:pPr>
              <w:pStyle w:val="Compact"/>
              <w:spacing w:after="0"/>
              <w:jc w:val="left"/>
            </w:pPr>
            <w:r>
              <w:rPr>
                <w:sz w:val="15"/>
              </w:rPr>
              <w:t xml:space="preserve">Household refunds</w:t>
            </w:r>
          </w:p>
        </w:tc>
        <w:tc>
          <w:tcPr>
            <w:tcW w:type="dxa" w:w="1191"/>
            <w:shd w:val="clear" w:fill="F2F2F2"/>
          </w:tcPr>
          <w:p>
            <w:pPr>
              <w:pStyle w:val="Compact"/>
              <w:spacing w:after="0"/>
              <w:jc w:val="left"/>
            </w:pPr>
            <w:r>
              <w:rPr>
                <w:sz w:val="15"/>
              </w:rPr>
              <w:t xml:space="preserve">Returned to firms per unit of output</w:t>
            </w:r>
          </w:p>
        </w:tc>
        <w:tc>
          <w:tcPr>
            <w:tcW w:type="dxa" w:w="1191"/>
            <w:shd w:val="clear" w:fill="F2F2F2"/>
          </w:tcPr>
          <w:p>
            <w:pPr>
              <w:pStyle w:val="Compact"/>
              <w:spacing w:after="0"/>
              <w:jc w:val="left"/>
            </w:pPr>
            <w:r>
              <w:rPr>
                <w:sz w:val="15"/>
              </w:rPr>
              <w:t xml:space="preserve">Abatement fund for industry</w:t>
            </w:r>
          </w:p>
        </w:tc>
      </w:tr>
      <w:tr>
        <w:trPr>
          <w:cantSplit/>
        </w:trPr>
        <w:tc>
          <w:tcPr>
            <w:tcW w:type="dxa" w:w="2154"/>
            <w:shd w:val="clear" w:fill="F2F2F2"/>
          </w:tcPr>
          <w:p>
            <w:pPr>
              <w:pStyle w:val="Compact"/>
              <w:spacing w:after="0"/>
              <w:jc w:val="left"/>
            </w:pPr>
            <w:r>
              <w:rPr>
                <w:b/>
                <w:sz w:val="15"/>
              </w:rPr>
              <w:t xml:space="preserve">Carbon price ($/t CO2)</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r>
      <w:tr>
        <w:trPr>
          <w:cantSplit/>
        </w:trPr>
        <w:tc>
          <w:tcPr>
            <w:tcW w:type="dxa" w:w="2154"/>
          </w:tcPr>
          <w:p>
            <w:pPr>
              <w:pStyle w:val="Compact"/>
              <w:spacing w:after="0"/>
              <w:jc w:val="left"/>
            </w:pPr>
            <w:r>
              <w:rPr>
                <w:sz w:val="17"/>
              </w:rPr>
              <w:t xml:space="preserve">Share of national emissions priced</w:t>
            </w:r>
            <w:r>
              <w:rPr>
                <w:sz w:val="17"/>
                <w:vertAlign w:val="superscript"/>
              </w:rPr>
              <w:t xml:space="preserve">1</w:t>
            </w:r>
          </w:p>
        </w:tc>
        <w:tc>
          <w:tcPr>
            <w:tcW w:type="dxa" w:w="1191"/>
          </w:tcPr>
          <w:p>
            <w:pPr>
              <w:pStyle w:val="Compact"/>
              <w:spacing w:after="0"/>
              <w:jc w:val="right"/>
            </w:pPr>
            <w:r>
              <w:rPr>
                <w:sz w:val="17"/>
              </w:rPr>
              <w:t xml:space="preserve">71.3%</w:t>
            </w:r>
          </w:p>
        </w:tc>
        <w:tc>
          <w:tcPr>
            <w:tcW w:type="dxa" w:w="1191"/>
          </w:tcPr>
          <w:p>
            <w:pPr>
              <w:pStyle w:val="Compact"/>
              <w:spacing w:after="0"/>
              <w:jc w:val="right"/>
            </w:pPr>
            <w:r>
              <w:rPr>
                <w:sz w:val="17"/>
              </w:rPr>
              <w:t xml:space="preserve">64.2%</w:t>
            </w:r>
          </w:p>
        </w:tc>
        <w:tc>
          <w:tcPr>
            <w:tcW w:type="dxa" w:w="1191"/>
          </w:tcPr>
          <w:p>
            <w:pPr>
              <w:pStyle w:val="Compact"/>
              <w:spacing w:after="0"/>
              <w:jc w:val="right"/>
            </w:pPr>
            <w:r>
              <w:rPr>
                <w:sz w:val="17"/>
              </w:rPr>
              <w:t xml:space="preserve">64.2%</w:t>
            </w:r>
          </w:p>
        </w:tc>
        <w:tc>
          <w:tcPr>
            <w:tcW w:type="dxa" w:w="1191"/>
          </w:tcPr>
          <w:p>
            <w:pPr>
              <w:pStyle w:val="Compact"/>
              <w:spacing w:after="0"/>
              <w:jc w:val="right"/>
            </w:pPr>
            <w:r>
              <w:rPr>
                <w:sz w:val="17"/>
              </w:rPr>
              <w:t xml:space="preserve">11.1%</w:t>
            </w:r>
          </w:p>
        </w:tc>
        <w:tc>
          <w:tcPr>
            <w:tcW w:type="dxa" w:w="1191"/>
          </w:tcPr>
          <w:p>
            <w:pPr>
              <w:pStyle w:val="Compact"/>
              <w:spacing w:after="0"/>
              <w:jc w:val="right"/>
            </w:pPr>
            <w:r>
              <w:rPr>
                <w:sz w:val="17"/>
              </w:rPr>
              <w:t xml:space="preserve">11.1%</w:t>
            </w:r>
          </w:p>
        </w:tc>
        <w:tc>
          <w:tcPr>
            <w:tcW w:type="dxa" w:w="1191"/>
          </w:tcPr>
          <w:p>
            <w:pPr>
              <w:pStyle w:val="Compact"/>
              <w:spacing w:after="0"/>
              <w:jc w:val="right"/>
            </w:pPr>
            <w:r>
              <w:rPr>
                <w:sz w:val="17"/>
              </w:rPr>
              <w:t xml:space="preserve">11.1%</w:t>
            </w:r>
          </w:p>
        </w:tc>
      </w:tr>
      <w:tr>
        <w:trPr>
          <w:cantSplit/>
        </w:trPr>
        <w:tc>
          <w:tcPr>
            <w:tcW w:type="dxa" w:w="2154"/>
          </w:tcPr>
          <w:p>
            <w:pPr>
              <w:pStyle w:val="Compact"/>
              <w:spacing w:after="0"/>
              <w:jc w:val="left"/>
            </w:pPr>
            <w:r>
              <w:rPr>
                <w:sz w:val="17"/>
              </w:rPr>
              <w:t xml:space="preserve">Carbon revenue, $bn</w:t>
            </w:r>
            <w:r>
              <w:rPr>
                <w:rStyle w:val="FootnoteReference"/>
                <w:sz w:val="17"/>
              </w:rPr>
              <w:footnoteReference w:id="22"/>
            </w:r>
          </w:p>
        </w:tc>
        <w:tc>
          <w:tcPr>
            <w:tcW w:type="dxa" w:w="1191"/>
          </w:tcPr>
          <w:p>
            <w:pPr>
              <w:pStyle w:val="Compact"/>
              <w:spacing w:after="0"/>
              <w:jc w:val="right"/>
            </w:pPr>
            <w:r>
              <w:rPr>
                <w:sz w:val="17"/>
              </w:rPr>
              <w:t xml:space="preserve">5.6</w:t>
            </w:r>
          </w:p>
        </w:tc>
        <w:tc>
          <w:tcPr>
            <w:tcW w:type="dxa" w:w="1191"/>
          </w:tcPr>
          <w:p>
            <w:pPr>
              <w:pStyle w:val="Compact"/>
              <w:spacing w:after="0"/>
              <w:jc w:val="right"/>
            </w:pPr>
            <w:r>
              <w:rPr>
                <w:sz w:val="17"/>
              </w:rPr>
              <w:t xml:space="preserve">5.0</w:t>
            </w:r>
          </w:p>
        </w:tc>
        <w:tc>
          <w:tcPr>
            <w:tcW w:type="dxa" w:w="1191"/>
          </w:tcPr>
          <w:p>
            <w:pPr>
              <w:pStyle w:val="Compact"/>
              <w:spacing w:after="0"/>
              <w:jc w:val="right"/>
            </w:pPr>
            <w:r>
              <w:rPr>
                <w:sz w:val="17"/>
              </w:rPr>
              <w:t xml:space="preserve">5.0</w:t>
            </w:r>
          </w:p>
        </w:tc>
        <w:tc>
          <w:tcPr>
            <w:tcW w:type="dxa" w:w="1191"/>
          </w:tcPr>
          <w:p>
            <w:pPr>
              <w:pStyle w:val="Compact"/>
              <w:spacing w:after="0"/>
              <w:jc w:val="right"/>
            </w:pPr>
            <w:r>
              <w:rPr>
                <w:sz w:val="17"/>
              </w:rPr>
              <w:t xml:space="preserve">1.0</w:t>
            </w:r>
          </w:p>
        </w:tc>
        <w:tc>
          <w:tcPr>
            <w:tcW w:type="dxa" w:w="1191"/>
          </w:tcPr>
          <w:p>
            <w:pPr>
              <w:pStyle w:val="Compact"/>
              <w:spacing w:after="0"/>
              <w:jc w:val="right"/>
            </w:pPr>
            <w:r>
              <w:rPr>
                <w:sz w:val="17"/>
              </w:rPr>
              <w:t xml:space="preserve">0</w:t>
            </w:r>
          </w:p>
        </w:tc>
        <w:tc>
          <w:tcPr>
            <w:tcW w:type="dxa" w:w="1191"/>
          </w:tcPr>
          <w:p>
            <w:pPr>
              <w:pStyle w:val="Compact"/>
              <w:spacing w:after="0"/>
              <w:jc w:val="right"/>
            </w:pPr>
            <w:r>
              <w:rPr>
                <w:sz w:val="17"/>
              </w:rPr>
              <w:t xml:space="preserve">0</w:t>
            </w:r>
          </w:p>
        </w:tc>
      </w:tr>
      <w:tr>
        <w:trPr>
          <w:cantSplit/>
        </w:trPr>
        <w:tc>
          <w:tcPr>
            <w:tcW w:type="dxa" w:w="2154"/>
          </w:tcPr>
          <w:p>
            <w:pPr>
              <w:pStyle w:val="Compact"/>
              <w:spacing w:after="0"/>
              <w:jc w:val="left"/>
            </w:pPr>
            <w:r>
              <w:rPr>
                <w:sz w:val="17"/>
              </w:rPr>
              <w:t xml:space="preserve">Emission cut, Mt CO2e</w:t>
            </w:r>
          </w:p>
        </w:tc>
        <w:tc>
          <w:tcPr>
            <w:tcW w:type="dxa" w:w="1191"/>
          </w:tcPr>
          <w:p>
            <w:pPr>
              <w:pStyle w:val="Compact"/>
              <w:spacing w:after="0"/>
              <w:jc w:val="right"/>
            </w:pPr>
            <w:r>
              <w:rPr>
                <w:sz w:val="17"/>
              </w:rPr>
              <w:t xml:space="preserve">39.8</w:t>
            </w:r>
          </w:p>
        </w:tc>
        <w:tc>
          <w:tcPr>
            <w:tcW w:type="dxa" w:w="1191"/>
          </w:tcPr>
          <w:p>
            <w:pPr>
              <w:pStyle w:val="Compact"/>
              <w:spacing w:after="0"/>
              <w:jc w:val="right"/>
            </w:pPr>
            <w:r>
              <w:rPr>
                <w:sz w:val="17"/>
              </w:rPr>
              <w:t xml:space="preserve">36.8</w:t>
            </w:r>
          </w:p>
        </w:tc>
        <w:tc>
          <w:tcPr>
            <w:tcW w:type="dxa" w:w="1191"/>
          </w:tcPr>
          <w:p>
            <w:pPr>
              <w:pStyle w:val="Compact"/>
              <w:spacing w:after="0"/>
              <w:jc w:val="right"/>
            </w:pPr>
            <w:r>
              <w:rPr>
                <w:sz w:val="17"/>
              </w:rPr>
              <w:t xml:space="preserve">40.4</w:t>
            </w:r>
          </w:p>
        </w:tc>
        <w:tc>
          <w:tcPr>
            <w:tcW w:type="dxa" w:w="1191"/>
          </w:tcPr>
          <w:p>
            <w:pPr>
              <w:pStyle w:val="Compact"/>
              <w:spacing w:after="0"/>
              <w:jc w:val="right"/>
            </w:pPr>
            <w:r>
              <w:rPr>
                <w:sz w:val="17"/>
              </w:rPr>
              <w:t xml:space="preserve">6.9</w:t>
            </w:r>
          </w:p>
        </w:tc>
        <w:tc>
          <w:tcPr>
            <w:tcW w:type="dxa" w:w="1191"/>
          </w:tcPr>
          <w:p>
            <w:pPr>
              <w:pStyle w:val="Compact"/>
              <w:spacing w:after="0"/>
              <w:jc w:val="right"/>
            </w:pPr>
            <w:r>
              <w:rPr>
                <w:sz w:val="17"/>
              </w:rPr>
              <w:t xml:space="preserve">5.1</w:t>
            </w:r>
          </w:p>
        </w:tc>
        <w:tc>
          <w:tcPr>
            <w:tcW w:type="dxa" w:w="1191"/>
          </w:tcPr>
          <w:p>
            <w:pPr>
              <w:pStyle w:val="Compact"/>
              <w:spacing w:after="0"/>
              <w:jc w:val="right"/>
            </w:pPr>
            <w:r>
              <w:rPr>
                <w:sz w:val="17"/>
              </w:rPr>
              <w:t xml:space="preserve">11.5</w:t>
            </w:r>
          </w:p>
        </w:tc>
      </w:tr>
      <w:tr>
        <w:trPr>
          <w:cantSplit/>
        </w:trPr>
        <w:tc>
          <w:tcPr>
            <w:tcW w:type="dxa" w:w="2154"/>
          </w:tcPr>
          <w:p>
            <w:pPr>
              <w:pStyle w:val="Compact"/>
              <w:spacing w:after="0"/>
              <w:jc w:val="left"/>
            </w:pPr>
            <w:r>
              <w:rPr>
                <w:sz w:val="17"/>
              </w:rPr>
              <w:t xml:space="preserve">Cut as share of national emissions</w:t>
            </w:r>
          </w:p>
        </w:tc>
        <w:tc>
          <w:tcPr>
            <w:tcW w:type="dxa" w:w="1191"/>
          </w:tcPr>
          <w:p>
            <w:pPr>
              <w:pStyle w:val="Compact"/>
              <w:spacing w:after="0"/>
              <w:jc w:val="right"/>
            </w:pPr>
            <w:r>
              <w:rPr>
                <w:sz w:val="17"/>
              </w:rPr>
              <w:t xml:space="preserve">9.2%</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9.3%</w:t>
            </w:r>
          </w:p>
        </w:tc>
        <w:tc>
          <w:tcPr>
            <w:tcW w:type="dxa" w:w="1191"/>
          </w:tcPr>
          <w:p>
            <w:pPr>
              <w:pStyle w:val="Compact"/>
              <w:spacing w:after="0"/>
              <w:jc w:val="right"/>
            </w:pPr>
            <w:r>
              <w:rPr>
                <w:sz w:val="17"/>
              </w:rPr>
              <w:t xml:space="preserve">1.6%</w:t>
            </w:r>
          </w:p>
        </w:tc>
        <w:tc>
          <w:tcPr>
            <w:tcW w:type="dxa" w:w="1191"/>
          </w:tcPr>
          <w:p>
            <w:pPr>
              <w:pStyle w:val="Compact"/>
              <w:spacing w:after="0"/>
              <w:jc w:val="right"/>
            </w:pPr>
            <w:r>
              <w:rPr>
                <w:sz w:val="17"/>
              </w:rPr>
              <w:t xml:space="preserve">1.2%</w:t>
            </w:r>
          </w:p>
        </w:tc>
        <w:tc>
          <w:tcPr>
            <w:tcW w:type="dxa" w:w="1191"/>
          </w:tcPr>
          <w:p>
            <w:pPr>
              <w:pStyle w:val="Compact"/>
              <w:spacing w:after="0"/>
              <w:jc w:val="right"/>
            </w:pPr>
            <w:r>
              <w:rPr>
                <w:sz w:val="17"/>
              </w:rPr>
              <w:t xml:space="preserve">2.6%</w:t>
            </w:r>
          </w:p>
        </w:tc>
      </w:tr>
      <w:tr>
        <w:trPr>
          <w:cantSplit/>
        </w:trPr>
        <w:tc>
          <w:tcPr>
            <w:tcW w:type="dxa" w:w="2154"/>
          </w:tcPr>
          <w:p>
            <w:pPr>
              <w:pStyle w:val="Compact"/>
              <w:spacing w:after="0"/>
              <w:jc w:val="left"/>
            </w:pPr>
            <w:r>
              <w:rPr>
                <w:sz w:val="17"/>
              </w:rPr>
              <w:t xml:space="preserve">Share of heavy-industry emissions priced</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44.2%</w:t>
            </w:r>
          </w:p>
        </w:tc>
        <w:tc>
          <w:tcPr>
            <w:tcW w:type="dxa" w:w="1191"/>
          </w:tcPr>
          <w:p>
            <w:pPr>
              <w:pStyle w:val="Compact"/>
              <w:spacing w:after="0"/>
              <w:jc w:val="right"/>
            </w:pPr>
            <w:r>
              <w:rPr>
                <w:sz w:val="17"/>
              </w:rPr>
              <w:t xml:space="preserve">44.2%</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100.0%</w:t>
            </w:r>
          </w:p>
        </w:tc>
      </w:tr>
      <w:tr>
        <w:trPr>
          <w:cantSplit/>
        </w:trPr>
        <w:tc>
          <w:tcPr>
            <w:tcW w:type="dxa" w:w="2154"/>
          </w:tcPr>
          <w:p>
            <w:pPr>
              <w:pStyle w:val="Compact"/>
              <w:spacing w:after="0"/>
              <w:jc w:val="left"/>
            </w:pPr>
            <w:r>
              <w:rPr>
                <w:sz w:val="17"/>
              </w:rPr>
              <w:t xml:space="preserve">Heavy industry: total emissions</w:t>
            </w:r>
          </w:p>
        </w:tc>
        <w:tc>
          <w:tcPr>
            <w:tcW w:type="dxa" w:w="1191"/>
          </w:tcPr>
          <w:p>
            <w:pPr>
              <w:pStyle w:val="Compact"/>
              <w:spacing w:after="0"/>
              <w:jc w:val="right"/>
            </w:pPr>
            <w:r>
              <w:rPr>
                <w:sz w:val="17"/>
              </w:rPr>
              <w:t xml:space="preserve">−11.9%</w:t>
            </w:r>
          </w:p>
        </w:tc>
        <w:tc>
          <w:tcPr>
            <w:tcW w:type="dxa" w:w="1191"/>
          </w:tcPr>
          <w:p>
            <w:pPr>
              <w:pStyle w:val="Compact"/>
              <w:spacing w:after="0"/>
              <w:jc w:val="right"/>
            </w:pPr>
            <w:r>
              <w:rPr>
                <w:sz w:val="17"/>
              </w:rPr>
              <w:t xml:space="preserve">−6.8%</w:t>
            </w:r>
          </w:p>
        </w:tc>
        <w:tc>
          <w:tcPr>
            <w:tcW w:type="dxa" w:w="1191"/>
          </w:tcPr>
          <w:p>
            <w:pPr>
              <w:pStyle w:val="Compact"/>
              <w:spacing w:after="0"/>
              <w:jc w:val="right"/>
            </w:pPr>
            <w:r>
              <w:rPr>
                <w:sz w:val="17"/>
              </w:rPr>
              <w:t xml:space="preserve">−6.8%</w:t>
            </w:r>
          </w:p>
        </w:tc>
        <w:tc>
          <w:tcPr>
            <w:tcW w:type="dxa" w:w="1191"/>
          </w:tcPr>
          <w:p>
            <w:pPr>
              <w:pStyle w:val="Compact"/>
              <w:spacing w:after="0"/>
              <w:jc w:val="right"/>
            </w:pPr>
            <w:r>
              <w:rPr>
                <w:sz w:val="17"/>
              </w:rPr>
              <w:t xml:space="preserve">−11.9%</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−19.6%</w:t>
            </w:r>
          </w:p>
        </w:tc>
      </w:tr>
      <w:tr>
        <w:trPr>
          <w:cantSplit/>
        </w:trPr>
        <w:tc>
          <w:tcPr>
            <w:tcW w:type="dxa" w:w="2154"/>
          </w:tcPr>
          <w:p>
            <w:pPr>
              <w:pStyle w:val="Compact"/>
              <w:spacing w:after="0"/>
              <w:ind w:left="170"/>
              <w:jc w:val="left"/>
            </w:pPr>
            <w:r>
              <w:rPr>
                <w:sz w:val="17"/>
              </w:rPr>
              <w:t xml:space="preserve">of which emissions intensity</w:t>
            </w:r>
            <w:r>
              <w:rPr>
                <w:rStyle w:val="FootnoteReference"/>
                <w:sz w:val="17"/>
              </w:rPr>
              <w:footnoteReference w:id="23"/>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−16.6%</w:t>
            </w:r>
          </w:p>
        </w:tc>
      </w:tr>
      <w:tr>
        <w:trPr>
          <w:cantSplit/>
        </w:trPr>
        <w:tc>
          <w:tcPr>
            <w:tcW w:type="dxa" w:w="2154"/>
          </w:tcPr>
          <w:p>
            <w:pPr>
              <w:pStyle w:val="Compact"/>
              <w:spacing w:after="0"/>
              <w:ind w:left="170"/>
              <w:jc w:val="left"/>
            </w:pPr>
            <w:r>
              <w:rPr>
                <w:sz w:val="17"/>
              </w:rPr>
              <w:t xml:space="preserve">of which output, emissions-weighted</w:t>
            </w:r>
            <w:r>
              <w:rPr>
                <w:rStyle w:val="FootnoteReference"/>
                <w:sz w:val="17"/>
              </w:rPr>
              <w:footnoteReference w:id="24"/>
            </w:r>
          </w:p>
        </w:tc>
        <w:tc>
          <w:tcPr>
            <w:tcW w:type="dxa" w:w="1191"/>
          </w:tcPr>
          <w:p>
            <w:pPr>
              <w:pStyle w:val="Compact"/>
              <w:spacing w:after="0"/>
              <w:jc w:val="right"/>
            </w:pPr>
            <w:r>
              <w:rPr>
                <w:sz w:val="17"/>
              </w:rPr>
              <w:t xml:space="preserve">−3.5%</w:t>
            </w:r>
          </w:p>
        </w:tc>
        <w:tc>
          <w:tcPr>
            <w:tcW w:type="dxa" w:w="1191"/>
          </w:tcPr>
          <w:p>
            <w:pPr>
              <w:pStyle w:val="Compact"/>
              <w:spacing w:after="0"/>
              <w:jc w:val="right"/>
            </w:pPr>
            <w:r>
              <w:rPr>
                <w:sz w:val="17"/>
              </w:rPr>
              <w:t xml:space="preserve">−1.7%</w:t>
            </w:r>
          </w:p>
        </w:tc>
        <w:tc>
          <w:tcPr>
            <w:tcW w:type="dxa" w:w="1191"/>
          </w:tcPr>
          <w:p>
            <w:pPr>
              <w:pStyle w:val="Compact"/>
              <w:spacing w:after="0"/>
              <w:jc w:val="right"/>
            </w:pPr>
            <w:r>
              <w:rPr>
                <w:sz w:val="17"/>
              </w:rPr>
              <w:t xml:space="preserve">−1.7%</w:t>
            </w:r>
          </w:p>
        </w:tc>
        <w:tc>
          <w:tcPr>
            <w:tcW w:type="dxa" w:w="1191"/>
          </w:tcPr>
          <w:p>
            <w:pPr>
              <w:pStyle w:val="Compact"/>
              <w:spacing w:after="0"/>
              <w:jc w:val="right"/>
            </w:pPr>
            <w:r>
              <w:rPr>
                <w:sz w:val="17"/>
              </w:rPr>
              <w:t xml:space="preserve">−3.5%</w:t>
            </w:r>
          </w:p>
        </w:tc>
        <w:tc>
          <w:tcPr>
            <w:tcW w:type="dxa" w:w="1191"/>
          </w:tcPr>
          <w:p>
            <w:pPr>
              <w:pStyle w:val="Compact"/>
              <w:spacing w:after="0"/>
              <w:jc w:val="right"/>
            </w:pPr>
            <w:r>
              <w:rPr>
                <w:sz w:val="17"/>
              </w:rPr>
              <w:t xml:space="preserve">0.0%</w:t>
            </w:r>
          </w:p>
        </w:tc>
        <w:tc>
          <w:tcPr>
            <w:tcW w:type="dxa" w:w="1191"/>
          </w:tcPr>
          <w:p>
            <w:pPr>
              <w:pStyle w:val="Compact"/>
              <w:spacing w:after="0"/>
              <w:jc w:val="right"/>
            </w:pPr>
            <w:r>
              <w:rPr>
                <w:sz w:val="17"/>
              </w:rPr>
              <w:t xml:space="preserve">−3.5%</w:t>
            </w:r>
          </w:p>
        </w:tc>
      </w:tr>
      <w:tr>
        <w:trPr>
          <w:cantSplit/>
        </w:trPr>
        <w:tc>
          <w:tcPr>
            <w:tcW w:type="dxa" w:w="2154"/>
          </w:tcPr>
          <w:p>
            <w:pPr>
              <w:pStyle w:val="Compact"/>
              <w:spacing w:after="0"/>
              <w:jc w:val="left"/>
            </w:pPr>
            <w:r>
              <w:rPr>
                <w:sz w:val="17"/>
              </w:rPr>
              <w:t xml:space="preserve">EU border charge per tonne exported</w:t>
            </w:r>
          </w:p>
        </w:tc>
        <w:tc>
          <w:tcPr>
            <w:tcW w:type="dxa" w:w="1191"/>
          </w:tcPr>
          <w:p>
            <w:pPr>
              <w:pStyle w:val="Compact"/>
              <w:spacing w:after="0"/>
              <w:jc w:val="right"/>
            </w:pPr>
            <w:r>
              <w:rPr>
                <w:sz w:val="17"/>
              </w:rPr>
              <w:t xml:space="preserve">−38.7%</w:t>
            </w:r>
          </w:p>
        </w:tc>
        <w:tc>
          <w:tcPr>
            <w:tcW w:type="dxa" w:w="1191"/>
          </w:tcPr>
          <w:p>
            <w:pPr>
              <w:pStyle w:val="Compact"/>
              <w:spacing w:after="0"/>
              <w:jc w:val="right"/>
            </w:pPr>
            <w:r>
              <w:rPr>
                <w:sz w:val="17"/>
              </w:rPr>
              <w:t xml:space="preserve">−20.7%</w:t>
            </w:r>
          </w:p>
        </w:tc>
        <w:tc>
          <w:tcPr>
            <w:tcW w:type="dxa" w:w="1191"/>
          </w:tcPr>
          <w:p>
            <w:pPr>
              <w:pStyle w:val="Compact"/>
              <w:spacing w:after="0"/>
              <w:jc w:val="right"/>
            </w:pPr>
            <w:r>
              <w:rPr>
                <w:sz w:val="17"/>
              </w:rPr>
              <w:t xml:space="preserve">−20.7%</w:t>
            </w:r>
          </w:p>
        </w:tc>
        <w:tc>
          <w:tcPr>
            <w:tcW w:type="dxa" w:w="1191"/>
          </w:tcPr>
          <w:p>
            <w:pPr>
              <w:pStyle w:val="Compact"/>
              <w:spacing w:after="0"/>
              <w:jc w:val="right"/>
            </w:pPr>
            <w:r>
              <w:rPr>
                <w:sz w:val="17"/>
              </w:rPr>
              <w:t xml:space="preserve">−38.7%</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−43.9%</w:t>
            </w:r>
          </w:p>
        </w:tc>
      </w:tr>
      <w:tr>
        <w:trPr>
          <w:cantSplit/>
        </w:trPr>
        <w:tc>
          <w:tcPr>
            <w:tcW w:type="dxa" w:w="2154"/>
          </w:tcPr>
          <w:p>
            <w:pPr>
              <w:pStyle w:val="Compact"/>
              <w:spacing w:after="0"/>
              <w:ind w:left="170"/>
              <w:jc w:val="left"/>
            </w:pPr>
            <w:r>
              <w:rPr>
                <w:sz w:val="17"/>
              </w:rPr>
              <w:t xml:space="preserve">of which emissions intensity of EU exports</w:t>
            </w:r>
            <w:r>
              <w:rPr>
                <w:sz w:val="17"/>
                <w:vertAlign w:val="superscript"/>
              </w:rPr>
              <w:t xml:space="preserve">4</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−5.7%</w:t>
            </w:r>
          </w:p>
        </w:tc>
        <w:tc>
          <w:tcPr>
            <w:tcW w:type="dxa" w:w="1191"/>
          </w:tcPr>
          <w:p>
            <w:pPr>
              <w:pStyle w:val="Compact"/>
              <w:spacing w:after="0"/>
              <w:jc w:val="right"/>
            </w:pPr>
            <w:r>
              <w:rPr>
                <w:sz w:val="17"/>
              </w:rPr>
              <w:t xml:space="preserve">−5.7%</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−16.2%</w:t>
            </w:r>
          </w:p>
        </w:tc>
      </w:tr>
      <w:tr>
        <w:trPr>
          <w:cantSplit/>
        </w:trPr>
        <w:tc>
          <w:tcPr>
            <w:tcW w:type="dxa" w:w="2154"/>
          </w:tcPr>
          <w:p>
            <w:pPr>
              <w:pStyle w:val="Compact"/>
              <w:spacing w:after="0"/>
              <w:ind w:left="170"/>
              <w:jc w:val="left"/>
            </w:pPr>
            <w:r>
              <w:rPr>
                <w:sz w:val="17"/>
              </w:rPr>
              <w:t xml:space="preserve">of which Egyptian carbon price credit</w:t>
            </w:r>
            <w:r>
              <w:rPr>
                <w:rStyle w:val="FootnoteReference"/>
                <w:sz w:val="17"/>
              </w:rPr>
              <w:footnoteReference w:id="25"/>
            </w:r>
          </w:p>
        </w:tc>
        <w:tc>
          <w:tcPr>
            <w:tcW w:type="dxa" w:w="1191"/>
          </w:tcPr>
          <w:p>
            <w:pPr>
              <w:pStyle w:val="Compact"/>
              <w:spacing w:after="0"/>
              <w:jc w:val="right"/>
            </w:pPr>
            <w:r>
              <w:rPr>
                <w:sz w:val="17"/>
              </w:rPr>
              <w:t xml:space="preserve">−30.2%</w:t>
            </w:r>
          </w:p>
        </w:tc>
        <w:tc>
          <w:tcPr>
            <w:tcW w:type="dxa" w:w="1191"/>
          </w:tcPr>
          <w:p>
            <w:pPr>
              <w:pStyle w:val="Compact"/>
              <w:spacing w:after="0"/>
              <w:jc w:val="right"/>
            </w:pPr>
            <w:r>
              <w:rPr>
                <w:sz w:val="17"/>
              </w:rPr>
              <w:t xml:space="preserve">−15.0%</w:t>
            </w:r>
          </w:p>
        </w:tc>
        <w:tc>
          <w:tcPr>
            <w:tcW w:type="dxa" w:w="1191"/>
          </w:tcPr>
          <w:p>
            <w:pPr>
              <w:pStyle w:val="Compact"/>
              <w:spacing w:after="0"/>
              <w:jc w:val="right"/>
            </w:pPr>
            <w:r>
              <w:rPr>
                <w:sz w:val="17"/>
              </w:rPr>
              <w:t xml:space="preserve">−15.0%</w:t>
            </w:r>
          </w:p>
        </w:tc>
        <w:tc>
          <w:tcPr>
            <w:tcW w:type="dxa" w:w="1191"/>
          </w:tcPr>
          <w:p>
            <w:pPr>
              <w:pStyle w:val="Compact"/>
              <w:spacing w:after="0"/>
              <w:jc w:val="right"/>
            </w:pPr>
            <w:r>
              <w:rPr>
                <w:sz w:val="17"/>
              </w:rPr>
              <w:t xml:space="preserve">−30.2%</w:t>
            </w:r>
          </w:p>
        </w:tc>
        <w:tc>
          <w:tcPr>
            <w:tcW w:type="dxa" w:w="1191"/>
          </w:tcPr>
          <w:p>
            <w:pPr>
              <w:pStyle w:val="Compact"/>
              <w:spacing w:after="0"/>
              <w:jc w:val="right"/>
            </w:pPr>
            <w:r>
              <w:rPr>
                <w:sz w:val="17"/>
              </w:rPr>
              <w:t xml:space="preserve">0.0%</w:t>
            </w:r>
          </w:p>
        </w:tc>
        <w:tc>
          <w:tcPr>
            <w:tcW w:type="dxa" w:w="1191"/>
          </w:tcPr>
          <w:p>
            <w:pPr>
              <w:pStyle w:val="Compact"/>
              <w:spacing w:after="0"/>
              <w:jc w:val="right"/>
            </w:pPr>
            <w:r>
              <w:rPr>
                <w:sz w:val="17"/>
              </w:rPr>
              <w:t xml:space="preserve">−27.6%</w:t>
            </w:r>
          </w:p>
        </w:tc>
      </w:tr>
      <w:tr>
        <w:trPr>
          <w:cantSplit/>
        </w:trPr>
        <w:tc>
          <w:tcPr>
            <w:tcW w:type="dxa" w:w="2154"/>
          </w:tcPr>
          <w:p>
            <w:pPr>
              <w:pStyle w:val="Compact"/>
              <w:spacing w:after="0"/>
              <w:jc w:val="left"/>
            </w:pPr>
            <w:r>
              <w:rPr>
                <w:sz w:val="17"/>
              </w:rPr>
              <w:t xml:space="preserve">Premature deaths avoided in 2030</w:t>
            </w:r>
            <w:r>
              <w:rPr>
                <w:rStyle w:val="FootnoteReference"/>
                <w:sz w:val="17"/>
              </w:rPr>
              <w:footnoteReference w:id="26"/>
            </w:r>
          </w:p>
        </w:tc>
        <w:tc>
          <w:tcPr>
            <w:tcW w:type="dxa" w:w="1191"/>
          </w:tcPr>
          <w:p>
            <w:pPr>
              <w:pStyle w:val="Compact"/>
              <w:spacing w:after="0"/>
              <w:jc w:val="right"/>
            </w:pPr>
            <w:r>
              <w:rPr>
                <w:sz w:val="17"/>
              </w:rPr>
              <w:t xml:space="preserve">1,617</w:t>
            </w:r>
          </w:p>
        </w:tc>
        <w:tc>
          <w:tcPr>
            <w:tcW w:type="dxa" w:w="1191"/>
          </w:tcPr>
          <w:p>
            <w:pPr>
              <w:pStyle w:val="Compact"/>
              <w:spacing w:after="0"/>
              <w:jc w:val="right"/>
            </w:pPr>
            <w:r>
              <w:rPr>
                <w:sz w:val="17"/>
              </w:rPr>
              <w:t xml:space="preserve">1,597</w:t>
            </w:r>
          </w:p>
        </w:tc>
        <w:tc>
          <w:tcPr>
            <w:tcW w:type="dxa" w:w="1191"/>
          </w:tcPr>
          <w:p>
            <w:pPr>
              <w:pStyle w:val="Compact"/>
              <w:spacing w:after="0"/>
              <w:jc w:val="right"/>
            </w:pPr>
            <w:r>
              <w:rPr>
                <w:sz w:val="17"/>
              </w:rPr>
              <w:t xml:space="preserve">1,757</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38</w:t>
            </w:r>
          </w:p>
        </w:tc>
        <w:tc>
          <w:tcPr>
            <w:tcW w:type="dxa" w:w="1191"/>
          </w:tcPr>
          <w:p>
            <w:pPr>
              <w:pStyle w:val="Compact"/>
              <w:spacing w:after="0"/>
              <w:jc w:val="right"/>
            </w:pPr>
            <w:r>
              <w:rPr>
                <w:sz w:val="17"/>
              </w:rPr>
              <w:t xml:space="preserve">86</w:t>
            </w:r>
          </w:p>
        </w:tc>
      </w:tr>
    </w:tbl>
    <w:bookmarkStart w:id="27" w:name="how-the-results-are-worked-out"/>
    <w:p>
      <w:pPr>
        <w:pStyle w:val="Heading2"/>
        <w:pageBreakBefore/>
        <w:widowControl/>
      </w:pPr>
      <w:r>
        <w:t xml:space="preserve">How the results are worked out</w:t>
      </w:r>
    </w:p>
    <w:p>
      <w:pPr>
        <w:pStyle w:val="FirstParagraph"/>
        <w:widowControl/>
      </w:pPr>
      <w:r>
        <w:t xml:space="preserve">The World Bank’s Climate Policy Assessment Tool (CPAT) simulates each policy for the whole economy. It treats the CBAM products only roughly, so they are modeled separately (sections 5 and 6), and the EU border charge is computed per tonne exported (section 7). A carbon price affects each CBAM product in two ways:</w:t>
      </w:r>
    </w:p>
    <w:p>
      <w:pPr>
        <w:widowControl/>
        <w:numPr>
          <w:ilvl w:val="0"/>
          <w:numId w:val="1001"/>
        </w:numPr>
        <w:pStyle w:val="Compact"/>
      </w:pPr>
      <w:r>
        <w:rPr>
          <w:bCs/>
          <w:b/>
        </w:rPr>
        <w:t xml:space="preserve">Output falls a little.</w:t>
      </w:r>
      <w:r>
        <w:t xml:space="preserve"> </w:t>
      </w:r>
      <w:r>
        <w:t xml:space="preserve">The price elasticity of physical output is the percentage fall in output per 1% rise in price: −0.1 for cement, which is barely traded; −0.4 for steel and fertilizers; and −0.5 for aluminum, which is priced on world markets (Appendix C).</w:t>
      </w:r>
    </w:p>
    <w:p>
      <w:pPr>
        <w:widowControl/>
        <w:numPr>
          <w:ilvl w:val="0"/>
          <w:numId w:val="1001"/>
        </w:numPr>
        <w:pStyle w:val="Compact"/>
      </w:pPr>
      <w:r>
        <w:rPr>
          <w:bCs/>
          <w:b/>
        </w:rPr>
        <w:t xml:space="preserve">Each tonne gets cleaner.</w:t>
      </w:r>
      <w:r>
        <w:t xml:space="preserve"> </w:t>
      </w:r>
      <w:r>
        <w:t xml:space="preserve">Fuel emissions per tonne, for heat and as a reductant, fall about 0.58% per $1 of carbon price: CPAT’s industry fuel response less the block’s own output effect (Appendix B). Process emissions per tonne fall 0 to 0.8% per $1, from IPCC abatement cost data (Appendix C).</w:t>
      </w:r>
    </w:p>
    <w:p>
      <w:pPr>
        <w:pStyle w:val="FirstParagraph"/>
        <w:widowControl/>
      </w:pPr>
      <w:r>
        <w:rPr>
          <w:bCs/>
          <w:b/>
        </w:rPr>
        <w:t xml:space="preserve">Example: a downstream price of $20/t CO2 on fuel and process emissions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fill="D9E2F3"/>
          </w:tcPr>
          <w:p>
            <w:pPr>
              <w:pStyle w:val="Compact"/>
              <w:spacing w:after="0"/>
            </w:pPr>
          </w:p>
        </w:tc>
        <w:tc>
          <w:tcPr>
            <w:shd w:val="clear" w:fill="D9E2F3"/>
          </w:tcPr>
          <w:p>
            <w:pPr>
              <w:pStyle w:val="Compact"/>
              <w:spacing w:after="0"/>
              <w:jc w:val="right"/>
            </w:pPr>
            <w:r>
              <w:rPr>
                <w:b/>
                <w:sz w:val="18"/>
              </w:rPr>
              <w:t xml:space="preserve">DRI-EAF steel</w:t>
            </w:r>
          </w:p>
        </w:tc>
        <w:tc>
          <w:tcPr>
            <w:shd w:val="clear" w:fill="D9E2F3"/>
          </w:tcPr>
          <w:p>
            <w:pPr>
              <w:pStyle w:val="Compact"/>
              <w:spacing w:after="0"/>
              <w:jc w:val="right"/>
            </w:pPr>
            <w:r>
              <w:rPr>
                <w:b/>
                <w:sz w:val="18"/>
              </w:rPr>
              <w:t xml:space="preserve">Cement (clinker)</w:t>
            </w:r>
          </w:p>
        </w:tc>
      </w:tr>
      <w:tr>
        <w:trPr>
          <w:cantSplit/>
        </w:trPr>
        <w:tc>
          <w:tcPr/>
          <w:p>
            <w:pPr>
              <w:pStyle w:val="Compact"/>
              <w:spacing w:after="0"/>
              <w:jc w:val="left"/>
            </w:pPr>
            <w:r>
              <w:rPr>
                <w:sz w:val="18"/>
              </w:rPr>
              <w:t xml:space="preserve">Emissions intensity before the price, fuel + process (tCO2e/t)</w:t>
            </w:r>
          </w:p>
        </w:tc>
        <w:tc>
          <w:tcPr/>
          <w:p>
            <w:pPr>
              <w:pStyle w:val="Compact"/>
              <w:spacing w:after="0"/>
              <w:jc w:val="right"/>
            </w:pPr>
            <w:r>
              <w:rPr>
                <w:sz w:val="18"/>
              </w:rPr>
              <w:t xml:space="preserve">0.571 + 0.038</w:t>
            </w:r>
          </w:p>
        </w:tc>
        <w:tc>
          <w:tcPr/>
          <w:p>
            <w:pPr>
              <w:pStyle w:val="Compact"/>
              <w:spacing w:after="0"/>
              <w:jc w:val="right"/>
            </w:pPr>
            <w:r>
              <w:rPr>
                <w:sz w:val="18"/>
              </w:rPr>
              <w:t xml:space="preserve">0.314 + 0.537</w:t>
            </w:r>
          </w:p>
        </w:tc>
      </w:tr>
      <w:tr>
        <w:trPr>
          <w:cantSplit/>
        </w:trPr>
        <w:tc>
          <w:tcPr/>
          <w:p>
            <w:pPr>
              <w:pStyle w:val="Compact"/>
              <w:spacing w:after="0"/>
              <w:jc w:val="left"/>
            </w:pPr>
            <w:r>
              <w:rPr>
                <w:sz w:val="18"/>
              </w:rPr>
              <w:t xml:space="preserve">Carbon cost per tonne (share of price)</w:t>
            </w:r>
          </w:p>
        </w:tc>
        <w:tc>
          <w:tcPr/>
          <w:p>
            <w:pPr>
              <w:pStyle w:val="Compact"/>
              <w:spacing w:after="0"/>
              <w:jc w:val="right"/>
            </w:pPr>
            <w:r>
              <w:rPr>
                <w:sz w:val="18"/>
              </w:rPr>
              <w:t xml:space="preserve">$12 (2.3%)</w:t>
            </w:r>
          </w:p>
        </w:tc>
        <w:tc>
          <w:tcPr/>
          <w:p>
            <w:pPr>
              <w:pStyle w:val="Compact"/>
              <w:spacing w:after="0"/>
              <w:jc w:val="right"/>
            </w:pPr>
            <w:r>
              <w:rPr>
                <w:sz w:val="18"/>
              </w:rPr>
              <w:t xml:space="preserve">$17 (48.6%)</w:t>
            </w:r>
          </w:p>
        </w:tc>
      </w:tr>
      <w:tr>
        <w:trPr>
          <w:cantSplit/>
        </w:trPr>
        <w:tc>
          <w:tcPr/>
          <w:p>
            <w:pPr>
              <w:pStyle w:val="Compact"/>
              <w:spacing w:after="0"/>
              <w:jc w:val="left"/>
            </w:pPr>
            <w:r>
              <w:rPr>
                <w:sz w:val="18"/>
              </w:rPr>
              <w:t xml:space="preserve">Output</w:t>
            </w:r>
          </w:p>
        </w:tc>
        <w:tc>
          <w:tcPr/>
          <w:p>
            <w:pPr>
              <w:pStyle w:val="Compact"/>
              <w:spacing w:after="0"/>
              <w:jc w:val="right"/>
            </w:pPr>
            <w:r>
              <w:rPr>
                <w:sz w:val="18"/>
              </w:rPr>
              <w:t xml:space="preserve">−0.9% (</w:t>
            </w:r>
            <m:oMath>
              <m:sSub>
                <m:e>
                  <m:r>
                    <m:t>ε</m:t>
                  </m:r>
                </m:e>
                <m:sub>
                  <m:r>
                    <m:t>i</m:t>
                  </m:r>
                </m:sub>
              </m:sSub>
              <m:r>
                <m:rPr>
                  <m:sty m:val="p"/>
                </m:rPr>
                <m:t>=</m:t>
              </m:r>
              <m:r>
                <m:rPr>
                  <m:sty m:val="p"/>
                </m:rPr>
                <m:t>−</m:t>
              </m:r>
              <m:r>
                <m:t>0.4</m:t>
              </m:r>
            </m:oMath>
            <w:r>
              <w:rPr>
                <w:sz w:val="18"/>
              </w:rPr>
              <w:t xml:space="preserve">)</w:t>
            </w:r>
          </w:p>
        </w:tc>
        <w:tc>
          <w:tcPr/>
          <w:p>
            <w:pPr>
              <w:pStyle w:val="Compact"/>
              <w:spacing w:after="0"/>
              <w:jc w:val="right"/>
            </w:pPr>
            <w:r>
              <w:rPr>
                <w:sz w:val="18"/>
              </w:rPr>
              <w:t xml:space="preserve">−3.9% (</w:t>
            </w:r>
            <m:oMath>
              <m:sSub>
                <m:e>
                  <m:r>
                    <m:t>ε</m:t>
                  </m:r>
                </m:e>
                <m:sub>
                  <m:r>
                    <m:t>i</m:t>
                  </m:r>
                </m:sub>
              </m:sSub>
              <m:r>
                <m:rPr>
                  <m:sty m:val="p"/>
                </m:rPr>
                <m:t>=</m:t>
              </m:r>
              <m:r>
                <m:rPr>
                  <m:sty m:val="p"/>
                </m:rPr>
                <m:t>−</m:t>
              </m:r>
              <m:r>
                <m:t>0.1</m:t>
              </m:r>
            </m:oMath>
            <w:r>
              <w:rPr>
                <w:sz w:val="18"/>
              </w:rPr>
              <w:t xml:space="preserve">)</w:t>
            </w:r>
          </w:p>
        </w:tc>
      </w:tr>
      <w:tr>
        <w:trPr>
          <w:cantSplit/>
        </w:trPr>
        <w:tc>
          <w:tcPr/>
          <w:p>
            <w:pPr>
              <w:pStyle w:val="Compact"/>
              <w:spacing w:after="0"/>
              <w:jc w:val="left"/>
            </w:pPr>
            <w:r>
              <w:rPr>
                <w:sz w:val="18"/>
              </w:rPr>
              <w:t xml:space="preserve">Fuel emissions intensity</w:t>
            </w:r>
          </w:p>
        </w:tc>
        <w:tc>
          <w:tcPr/>
          <w:p>
            <w:pPr>
              <w:pStyle w:val="Compact"/>
              <w:spacing w:after="0"/>
              <w:jc w:val="right"/>
            </w:pPr>
            <w:r>
              <w:rPr>
                <w:sz w:val="18"/>
              </w:rPr>
              <w:t xml:space="preserve">−11.0% (</w:t>
            </w:r>
            <m:oMath>
              <m:sSup>
                <m:e>
                  <m:r>
                    <m:t>β</m:t>
                  </m:r>
                </m:e>
                <m:sup>
                  <m:r>
                    <m:t>f</m:t>
                  </m:r>
                </m:sup>
              </m:sSup>
              <m:r>
                <m:rPr>
                  <m:sty m:val="p"/>
                </m:rPr>
                <m:t>=</m:t>
              </m:r>
              <m:r>
                <m:t>0.0058</m:t>
              </m:r>
            </m:oMath>
            <w:r>
              <w:rPr>
                <w:sz w:val="18"/>
              </w:rPr>
              <w:t xml:space="preserve">)</w:t>
            </w:r>
          </w:p>
        </w:tc>
        <w:tc>
          <w:tcPr/>
          <w:p>
            <w:pPr>
              <w:pStyle w:val="Compact"/>
              <w:spacing w:after="0"/>
              <w:jc w:val="right"/>
            </w:pPr>
            <w:r>
              <w:rPr>
                <w:sz w:val="18"/>
              </w:rPr>
              <w:t xml:space="preserve">−11.0% (</w:t>
            </w:r>
            <m:oMath>
              <m:sSup>
                <m:e>
                  <m:r>
                    <m:t>β</m:t>
                  </m:r>
                </m:e>
                <m:sup>
                  <m:r>
                    <m:t>f</m:t>
                  </m:r>
                </m:sup>
              </m:sSup>
              <m:r>
                <m:rPr>
                  <m:sty m:val="p"/>
                </m:rPr>
                <m:t>=</m:t>
              </m:r>
              <m:r>
                <m:t>0.0058</m:t>
              </m:r>
            </m:oMath>
            <w:r>
              <w:rPr>
                <w:sz w:val="18"/>
              </w:rPr>
              <w:t xml:space="preserve">)</w:t>
            </w:r>
          </w:p>
        </w:tc>
      </w:tr>
      <w:tr>
        <w:trPr>
          <w:cantSplit/>
        </w:trPr>
        <w:tc>
          <w:tcPr/>
          <w:p>
            <w:pPr>
              <w:pStyle w:val="Compact"/>
              <w:spacing w:after="0"/>
              <w:jc w:val="left"/>
            </w:pPr>
            <w:r>
              <w:rPr>
                <w:sz w:val="18"/>
              </w:rPr>
              <w:t xml:space="preserve">Process emissions intensity</w:t>
            </w:r>
          </w:p>
        </w:tc>
        <w:tc>
          <w:tcPr/>
          <w:p>
            <w:pPr>
              <w:pStyle w:val="Compact"/>
              <w:spacing w:after="0"/>
              <w:jc w:val="right"/>
            </w:pPr>
            <w:r>
              <w:rPr>
                <w:sz w:val="18"/>
              </w:rPr>
              <w:t xml:space="preserve">−6.6% (</w:t>
            </w:r>
            <m:oMath>
              <m:sSubSup>
                <m:e>
                  <m:r>
                    <m:t>β</m:t>
                  </m:r>
                </m:e>
                <m:sub>
                  <m:r>
                    <m:t>i</m:t>
                  </m:r>
                </m:sub>
                <m:sup>
                  <m:r>
                    <m:rPr>
                      <m:sty m:val="p"/>
                    </m:rPr>
                    <m:t>n</m:t>
                  </m:r>
                  <m:r>
                    <m:rPr>
                      <m:sty m:val="p"/>
                    </m:rPr>
                    <m:t>p</m:t>
                  </m:r>
                </m:sup>
              </m:sSubSup>
              <m:r>
                <m:rPr>
                  <m:sty m:val="p"/>
                </m:rPr>
                <m:t>=</m:t>
              </m:r>
              <m:r>
                <m:t>0.0034</m:t>
              </m:r>
            </m:oMath>
            <w:r>
              <w:rPr>
                <w:sz w:val="18"/>
              </w:rPr>
              <w:t xml:space="preserve">)</w:t>
            </w:r>
          </w:p>
        </w:tc>
        <w:tc>
          <w:tcPr/>
          <w:p>
            <w:pPr>
              <w:pStyle w:val="Compact"/>
              <w:spacing w:after="0"/>
              <w:jc w:val="right"/>
            </w:pPr>
            <w:r>
              <w:rPr>
                <w:sz w:val="18"/>
              </w:rPr>
              <w:t xml:space="preserve">−6.4% (</w:t>
            </w:r>
            <m:oMath>
              <m:sSubSup>
                <m:e>
                  <m:r>
                    <m:t>β</m:t>
                  </m:r>
                </m:e>
                <m:sub>
                  <m:r>
                    <m:t>i</m:t>
                  </m:r>
                </m:sub>
                <m:sup>
                  <m:r>
                    <m:rPr>
                      <m:sty m:val="p"/>
                    </m:rPr>
                    <m:t>n</m:t>
                  </m:r>
                  <m:r>
                    <m:rPr>
                      <m:sty m:val="p"/>
                    </m:rPr>
                    <m:t>p</m:t>
                  </m:r>
                </m:sup>
              </m:sSubSup>
              <m:r>
                <m:rPr>
                  <m:sty m:val="p"/>
                </m:rPr>
                <m:t>=</m:t>
              </m:r>
              <m:r>
                <m:t>0.0033</m:t>
              </m:r>
            </m:oMath>
            <w:r>
              <w:rPr>
                <w:sz w:val="18"/>
              </w:rPr>
              <w:t xml:space="preserve">)</w:t>
            </w:r>
          </w:p>
        </w:tc>
      </w:tr>
      <w:tr>
        <w:trPr>
          <w:cantSplit/>
        </w:trPr>
        <w:tc>
          <w:tcPr/>
          <w:p>
            <w:pPr>
              <w:pStyle w:val="Compact"/>
              <w:spacing w:after="0"/>
              <w:jc w:val="left"/>
            </w:pPr>
            <w:r>
              <w:rPr>
                <w:sz w:val="18"/>
              </w:rPr>
              <w:t xml:space="preserve">Total emissions intensity</w:t>
            </w:r>
          </w:p>
        </w:tc>
        <w:tc>
          <w:tcPr/>
          <w:p>
            <w:pPr>
              <w:pStyle w:val="Compact"/>
              <w:spacing w:after="0"/>
              <w:jc w:val="right"/>
            </w:pPr>
            <w:r>
              <w:rPr>
                <w:sz w:val="18"/>
              </w:rPr>
              <w:t xml:space="preserve">−10.7%</w:t>
            </w:r>
          </w:p>
        </w:tc>
        <w:tc>
          <w:tcPr/>
          <w:p>
            <w:pPr>
              <w:pStyle w:val="Compact"/>
              <w:spacing w:after="0"/>
              <w:jc w:val="right"/>
            </w:pPr>
            <w:r>
              <w:rPr>
                <w:sz w:val="18"/>
              </w:rPr>
              <w:t xml:space="preserve">−8.1%</w:t>
            </w:r>
          </w:p>
        </w:tc>
      </w:tr>
      <w:tr>
        <w:trPr>
          <w:cantSplit/>
        </w:trPr>
        <w:tc>
          <w:tcPr/>
          <w:p>
            <w:pPr>
              <w:pStyle w:val="Compact"/>
              <w:spacing w:after="0"/>
              <w:jc w:val="left"/>
            </w:pPr>
            <w:r>
              <w:rPr>
                <w:sz w:val="18"/>
              </w:rPr>
              <w:t xml:space="preserve">Total emissions</w:t>
            </w:r>
          </w:p>
        </w:tc>
        <w:tc>
          <w:tcPr/>
          <w:p>
            <w:pPr>
              <w:pStyle w:val="Compact"/>
              <w:spacing w:after="0"/>
              <w:jc w:val="right"/>
            </w:pPr>
            <w:r>
              <w:rPr>
                <w:sz w:val="18"/>
              </w:rPr>
              <w:t xml:space="preserve">−11.5%</w:t>
            </w:r>
          </w:p>
        </w:tc>
        <w:tc>
          <w:tcPr/>
          <w:p>
            <w:pPr>
              <w:pStyle w:val="Compact"/>
              <w:spacing w:after="0"/>
              <w:jc w:val="right"/>
            </w:pPr>
            <w:r>
              <w:rPr>
                <w:sz w:val="18"/>
              </w:rPr>
              <w:t xml:space="preserve">−11.7%</w:t>
            </w:r>
          </w:p>
        </w:tc>
      </w:tr>
    </w:tbl>
    <w:p>
      <w:pPr>
        <w:pStyle w:val="BodyText"/>
        <w:widowControl/>
      </w:pPr>
      <w:r>
        <w:t xml:space="preserve">Most of the cut comes from cleaner production; output matters only for cement, where carbon is about half the clinker price. Levels for 3A to 3C can move by about 30% with the output data (Appendix E).</w:t>
      </w:r>
    </w:p>
    <w:bookmarkEnd w:id="27"/>
    <w:bookmarkStart w:id="28" w:name="what-the-results-say"/>
    <w:p>
      <w:pPr>
        <w:pStyle w:val="Heading2"/>
        <w:widowControl/>
      </w:pPr>
      <w:r>
        <w:t xml:space="preserve">What the results say</w:t>
      </w:r>
    </w:p>
    <w:p>
      <w:pPr>
        <w:widowControl/>
        <w:numPr>
          <w:ilvl w:val="0"/>
          <w:numId w:val="1002"/>
        </w:numPr>
        <w:pStyle w:val="Compact"/>
      </w:pPr>
      <w:r>
        <w:rPr>
          <w:bCs/>
          <w:b/>
        </w:rPr>
        <w:t xml:space="preserve">A broad price does most.</w:t>
      </w:r>
      <w:r>
        <w:t xml:space="preserve"> </w:t>
      </w:r>
      <w:r>
        <w:t xml:space="preserve">Pricing fuels across the economy cuts national emissions by about 9%, raises about $5 billion a year and avoids 1,600 to 1,760 early deaths. A price on heavy industry alone cuts 1 to 3% and raises about $1 billion.</w:t>
      </w:r>
    </w:p>
    <w:p>
      <w:pPr>
        <w:widowControl/>
        <w:numPr>
          <w:ilvl w:val="0"/>
          <w:numId w:val="1002"/>
        </w:numPr>
        <w:pStyle w:val="Compact"/>
      </w:pPr>
      <w:r>
        <w:rPr>
          <w:bCs/>
          <w:b/>
        </w:rPr>
        <w:t xml:space="preserve">Pricing process emissions adds to the cut.</w:t>
      </w:r>
      <w:r>
        <w:t xml:space="preserve"> </w:t>
      </w:r>
      <w:r>
        <w:t xml:space="preserve">Pricing them too (1A against 2A) adds about 7 points of coverage and 3.0 Mt.</w:t>
      </w:r>
    </w:p>
    <w:p>
      <w:pPr>
        <w:widowControl/>
        <w:numPr>
          <w:ilvl w:val="0"/>
          <w:numId w:val="1002"/>
        </w:numPr>
        <w:pStyle w:val="Compact"/>
      </w:pPr>
      <w:r>
        <w:rPr>
          <w:bCs/>
          <w:b/>
        </w:rPr>
        <w:t xml:space="preserve">Heavy industry gets cleaner.</w:t>
      </w:r>
      <w:r>
        <w:t xml:space="preserve"> </w:t>
      </w:r>
      <w:r>
        <w:t xml:space="preserve">At $20, its emissions intensity falls about 9%; an abatement fund (3C) roughly doubles that.</w:t>
      </w:r>
    </w:p>
    <w:p>
      <w:pPr>
        <w:widowControl/>
        <w:numPr>
          <w:ilvl w:val="0"/>
          <w:numId w:val="1002"/>
        </w:numPr>
        <w:pStyle w:val="Compact"/>
      </w:pPr>
      <w:r>
        <w:rPr>
          <w:bCs/>
          <w:b/>
        </w:rPr>
        <w:t xml:space="preserve">Refunding firms keeps most of the abatement.</w:t>
      </w:r>
      <w:r>
        <w:t xml:space="preserve"> </w:t>
      </w:r>
      <w:r>
        <w:t xml:space="preserve">In 3B output is protected and revenue is zero, but intensity falls as in 3A, so the cut is about a quarter smaller (5.1 against 6.9 Mt).</w:t>
      </w:r>
    </w:p>
    <w:p>
      <w:pPr>
        <w:widowControl/>
        <w:numPr>
          <w:ilvl w:val="0"/>
          <w:numId w:val="1002"/>
        </w:numPr>
        <w:pStyle w:val="Compact"/>
      </w:pPr>
      <w:r>
        <w:rPr>
          <w:bCs/>
          <w:b/>
        </w:rPr>
        <w:t xml:space="preserve">Crediting Egypt’s price matters most for the border charge.</w:t>
      </w:r>
      <w:r>
        <w:t xml:space="preserve"> </w:t>
      </w:r>
      <w:r>
        <w:t xml:space="preserve">Cleaner production trims the charge per tonne by about 9%; with Egypt’s carbon price credited, the fall is 38.7% in 1A. An output-based rebate (3B) earns no credit; an abatement fund (3C) neither adds to it nor cancels it.</w:t>
      </w:r>
    </w:p>
    <w:bookmarkEnd w:id="28"/>
    <w:bookmarkEnd w:id="29"/>
    <w:bookmarkStart w:id="30" w:name="purpose-and-approach"/>
    <w:p>
      <w:pPr>
        <w:pStyle w:val="Heading1"/>
        <w:pageBreakBefore/>
        <w:widowControl/>
      </w:pPr>
      <w:r>
        <w:t xml:space="preserve">2. Purpose and approach</w:t>
      </w:r>
    </w:p>
    <w:p>
      <w:pPr>
        <w:pStyle w:val="FirstParagraph"/>
        <w:widowControl/>
      </w:pPr>
      <w:r>
        <w:t xml:space="preserve">Each result is the CPAT answer plus a short, explicit list of adjustments for the seven CBAM products, which CPAT treats only roughly. All dollar figures are US dollars.</w:t>
      </w:r>
    </w:p>
    <w:p>
      <w:pPr>
        <w:pStyle w:val="BodyText"/>
        <w:widowControl/>
      </w:pPr>
      <w:r>
        <w:t xml:space="preserve">The study reports nine results for 2030 in each of six scenarios, written in sections 6 and 7 as: coverage of national GHG (</w:t>
      </w:r>
      <m:oMath>
        <m:r>
          <m:t>C</m:t>
        </m:r>
      </m:oMath>
      <w:r>
        <w:t xml:space="preserve">); carbon revenue (</w:t>
      </w:r>
      <m:oMath>
        <m:r>
          <m:t>R</m:t>
        </m:r>
      </m:oMath>
      <w:r>
        <w:t xml:space="preserve">); the change in national GHG (</w:t>
      </w:r>
      <m:oMath>
        <m:r>
          <m:t>Δ</m:t>
        </m:r>
        <m:sSub>
          <m:e>
            <m:r>
              <m:t>E</m:t>
            </m:r>
          </m:e>
          <m:sub>
            <m:r>
              <m:rPr>
                <m:sty m:val="p"/>
              </m:rPr>
              <m:t>t</m:t>
            </m:r>
            <m:r>
              <m:rPr>
                <m:sty m:val="p"/>
              </m:rPr>
              <m:t>o</m:t>
            </m:r>
            <m:r>
              <m:rPr>
                <m:sty m:val="p"/>
              </m:rPr>
              <m:t>t</m:t>
            </m:r>
          </m:sub>
        </m:sSub>
      </m:oMath>
      <w:r>
        <w:t xml:space="preserve">, so the emission cut is</w:t>
      </w:r>
      <w:r>
        <w:t xml:space="preserve"> </w:t>
      </w:r>
      <m:oMath>
        <m:r>
          <m:rPr>
            <m:sty m:val="p"/>
          </m:rPr>
          <m:t>−</m:t>
        </m:r>
        <m:r>
          <m:t>Δ</m:t>
        </m:r>
        <m:sSub>
          <m:e>
            <m:r>
              <m:t>E</m:t>
            </m:r>
          </m:e>
          <m:sub>
            <m:r>
              <m:rPr>
                <m:sty m:val="p"/>
              </m:rPr>
              <m:t>t</m:t>
            </m:r>
            <m:r>
              <m:rPr>
                <m:sty m:val="p"/>
              </m:rPr>
              <m:t>o</m:t>
            </m:r>
            <m:r>
              <m:rPr>
                <m:sty m:val="p"/>
              </m:rPr>
              <m:t>t</m:t>
            </m:r>
          </m:sub>
        </m:sSub>
      </m:oMath>
      <w:r>
        <w:t xml:space="preserve">) and its share of the baseline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the change in CBAM block emissions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in their emissions intensity (</w:t>
      </w:r>
      <m:oMath>
        <m:r>
          <m:t>I</m:t>
        </m:r>
      </m:oMath>
      <w:r>
        <w:t xml:space="preserve">) and their priced share (</w:t>
      </w:r>
      <m:oMath>
        <m:r>
          <m:t>S</m:t>
        </m:r>
      </m:oMath>
      <w:r>
        <w:t xml:space="preserve">); the change in the CBAM obligation per tonne exported (</w:t>
      </w:r>
      <m:oMath>
        <m:r>
          <m:t>Δ</m:t>
        </m:r>
        <m:r>
          <m:t>Ω</m:t>
        </m:r>
        <m:r>
          <m:rPr>
            <m:sty m:val="p"/>
          </m:rPr>
          <m:t>/</m:t>
        </m:r>
        <m:sSup>
          <m:e>
            <m:r>
              <m:t>Ω</m:t>
            </m:r>
          </m:e>
          <m:sup>
            <m:r>
              <m:t>0</m:t>
            </m:r>
          </m:sup>
        </m:sSup>
      </m:oMath>
      <w:r>
        <w:t xml:space="preserve">); and premature deaths avoided (</w:t>
      </w:r>
      <m:oMath>
        <m:r>
          <m:t>D</m:t>
        </m:r>
      </m:oMath>
      <w:r>
        <w:t xml:space="preserve">).</w:t>
      </w:r>
    </w:p>
    <w:p>
      <w:pPr>
        <w:pStyle w:val="BodyText"/>
        <w:widowControl/>
      </w:pPr>
      <w:r>
        <w:t xml:space="preserve">CPAT models the energy and health side of every scenario. It has no output, trade or process-emission response, so the CBAM block is calculated outside CPAT, in three steps.</w:t>
      </w:r>
    </w:p>
    <w:p>
      <w:pPr>
        <w:widowControl/>
        <w:numPr>
          <w:ilvl w:val="0"/>
          <w:numId w:val="1003"/>
        </w:numPr>
        <w:pStyle w:val="Compact"/>
      </w:pPr>
      <w:r>
        <w:t xml:space="preserve">Read the scenario’s CPAT results for 2030.</w:t>
      </w:r>
    </w:p>
    <w:p>
      <w:pPr>
        <w:widowControl/>
        <w:numPr>
          <w:ilvl w:val="0"/>
          <w:numId w:val="1003"/>
        </w:numPr>
        <w:pStyle w:val="Compact"/>
      </w:pPr>
      <w:r>
        <w:t xml:space="preserve">Calculate how the seven CBAM products respond to the carbon price: output, fuel emissions and process emissions, including any fund.</w:t>
      </w:r>
    </w:p>
    <w:p>
      <w:pPr>
        <w:widowControl/>
        <w:numPr>
          <w:ilvl w:val="0"/>
          <w:numId w:val="1003"/>
        </w:numPr>
        <w:pStyle w:val="Compact"/>
      </w:pPr>
      <w:r>
        <w:t xml:space="preserve">Walk from the CPAT result to each final result in a few labeled steps: remove CPAT’s own estimate for the CBAM block, then add the block calculation.</w:t>
      </w:r>
    </w:p>
    <w:p>
      <w:pPr>
        <w:pStyle w:val="FirstParagraph"/>
        <w:widowControl/>
      </w:pPr>
      <w:r>
        <w:t xml:space="preserve">Some terms and codes are used throughout, so they are introduced here.</w:t>
      </w:r>
    </w:p>
    <w:p>
      <w:pPr>
        <w:pStyle w:val="BodyText"/>
        <w:widowControl/>
      </w:pPr>
      <w:r>
        <w:rPr>
          <w:bCs/>
          <w:b/>
        </w:rPr>
        <w:t xml:space="preserve">Terms.</w:t>
      </w:r>
      <w:r>
        <w:t xml:space="preserve"> </w:t>
      </w:r>
      <w:r>
        <w:t xml:space="preserve">CPAT is the World Bank’s Climate Policy Assessment Tool. The CBAM block is the seven products named in section 3, which fall under the EU’s Carbon Border Adjustment Mechanism (CBAM). DRI-EAF steel is steel made from direct reduced iron in an electric arc furnace, scrap-EAF steel is made from scrap in the same furnace, and BF-BOF is blast furnace steel, which is not modeled. IPPU is CPAT’s industrial processes and product use category, which holds process emissions. CPAT Team (2024) is CPAT’s technical documentation.</w:t>
      </w:r>
    </w:p>
    <w:p>
      <w:pPr>
        <w:pStyle w:val="BodyText"/>
        <w:widowControl/>
      </w:pPr>
      <w:r>
        <w:rPr>
          <w:bCs/>
          <w:b/>
        </w:rPr>
        <w:t xml:space="preserve">Emission factor codes.</w:t>
      </w:r>
      <w:r>
        <w:t xml:space="preserve"> </w:t>
      </w:r>
      <w:r>
        <w:t xml:space="preserve">Each product has four emission factors, in tonnes of CO2-equivalent per tonne of product: fuel burned for heat (code fc,</w:t>
      </w:r>
      <w:r>
        <w:t xml:space="preserve"> </w:t>
      </w:r>
      <m:oMath>
        <m:sSup>
          <m:e>
            <m:r>
              <m:t>σ</m:t>
            </m:r>
          </m:e>
          <m:sup>
            <m:r>
              <m:rPr>
                <m:sty m:val="p"/>
              </m:rPr>
              <m:t>f</m:t>
            </m:r>
            <m:r>
              <m:rPr>
                <m:sty m:val="p"/>
              </m:rPr>
              <m:t>c</m:t>
            </m:r>
          </m:sup>
        </m:sSup>
      </m:oMath>
      <w:r>
        <w:t xml:space="preserve">); fuel carbon used as a reductant or feedstock, such as the reducing gas in DRI or the gas fed to an ammonia reformer (fp,</w:t>
      </w:r>
      <w:r>
        <w:t xml:space="preserve"> </w:t>
      </w:r>
      <m:oMath>
        <m:sSup>
          <m:e>
            <m:r>
              <m:t>σ</m:t>
            </m:r>
          </m:e>
          <m:sup>
            <m:r>
              <m:rPr>
                <m:sty m:val="p"/>
              </m:rPr>
              <m:t>f</m:t>
            </m:r>
            <m:r>
              <m:rPr>
                <m:sty m:val="p"/>
              </m:rPr>
              <m:t>p</m:t>
            </m:r>
          </m:sup>
        </m:sSup>
      </m:oMath>
      <w:r>
        <w:t xml:space="preserve">); non-fuel process CO2, mainly from limestone, electrodes and anodes (np,</w:t>
      </w:r>
      <w:r>
        <w:t xml:space="preserve"> </w:t>
      </w:r>
      <m:oMath>
        <m:sSup>
          <m:e>
            <m:r>
              <m:t>σ</m:t>
            </m:r>
          </m:e>
          <m:sup>
            <m:r>
              <m:rPr>
                <m:sty m:val="p"/>
              </m:rPr>
              <m:t>n</m:t>
            </m:r>
            <m:r>
              <m:rPr>
                <m:sty m:val="p"/>
              </m:rPr>
              <m:t>p</m:t>
            </m:r>
          </m:sup>
        </m:sSup>
      </m:oMath>
      <w:r>
        <w:t xml:space="preserve">); and non-CO2 process gases, N2O from nitric acid and PFCs from aluminum smelting (no,</w:t>
      </w:r>
      <w:r>
        <w:t xml:space="preserve"> </w:t>
      </w:r>
      <m:oMath>
        <m:sSup>
          <m:e>
            <m:r>
              <m:t>σ</m:t>
            </m:r>
          </m:e>
          <m:sup>
            <m:r>
              <m:rPr>
                <m:sty m:val="p"/>
              </m:rPr>
              <m:t>n</m:t>
            </m:r>
            <m:r>
              <m:rPr>
                <m:sty m:val="p"/>
              </m:rPr>
              <m:t>o</m:t>
            </m:r>
          </m:sup>
        </m:sSup>
      </m:oMath>
      <w:r>
        <w:t xml:space="preserve">). Fuel emissions per tonne are</w:t>
      </w:r>
      <w:r>
        <w:t xml:space="preserve"> </w:t>
      </w:r>
      <m:oMath>
        <m:sSup>
          <m:e>
            <m:r>
              <m:t>σ</m:t>
            </m:r>
          </m:e>
          <m:sup>
            <m:r>
              <m:t>f</m:t>
            </m:r>
          </m:sup>
        </m:sSup>
        <m:r>
          <m:rPr>
            <m:sty m:val="p"/>
          </m:rPr>
          <m:t>=</m:t>
        </m:r>
        <m:sSup>
          <m:e>
            <m:r>
              <m:t>σ</m:t>
            </m:r>
          </m:e>
          <m:sup>
            <m:r>
              <m:rPr>
                <m:sty m:val="p"/>
              </m:rPr>
              <m:t>f</m:t>
            </m:r>
            <m:r>
              <m:rPr>
                <m:sty m:val="p"/>
              </m:rPr>
              <m:t>c</m:t>
            </m:r>
          </m:sup>
        </m:sSup>
        <m:r>
          <m:rPr>
            <m:sty m:val="p"/>
          </m:rPr>
          <m:t>+</m:t>
        </m:r>
        <m:sSup>
          <m:e>
            <m:r>
              <m:t>σ</m:t>
            </m:r>
          </m:e>
          <m:sup>
            <m:r>
              <m:rPr>
                <m:sty m:val="p"/>
              </m:rPr>
              <m:t>f</m:t>
            </m:r>
            <m:r>
              <m:rPr>
                <m:sty m:val="p"/>
              </m:rPr>
              <m:t>p</m:t>
            </m:r>
          </m:sup>
        </m:sSup>
      </m:oMath>
      <w:r>
        <w:t xml:space="preserve"> </w:t>
      </w:r>
      <w:r>
        <w:t xml:space="preserve">and process emissions per tonne</w:t>
      </w:r>
      <w:r>
        <w:t xml:space="preserve"> </w:t>
      </w:r>
      <m:oMath>
        <m:sSup>
          <m:e>
            <m:r>
              <m:t>σ</m:t>
            </m:r>
          </m:e>
          <m:sup>
            <m:r>
              <m:t>p</m:t>
            </m:r>
          </m:sup>
        </m:sSup>
        <m:r>
          <m:rPr>
            <m:sty m:val="p"/>
          </m:rPr>
          <m:t>=</m:t>
        </m:r>
        <m:sSup>
          <m:e>
            <m:r>
              <m:t>σ</m:t>
            </m:r>
          </m:e>
          <m:sup>
            <m:r>
              <m:rPr>
                <m:sty m:val="p"/>
              </m:rPr>
              <m:t>n</m:t>
            </m:r>
            <m:r>
              <m:rPr>
                <m:sty m:val="p"/>
              </m:rPr>
              <m:t>p</m:t>
            </m:r>
          </m:sup>
        </m:sSup>
        <m:r>
          <m:rPr>
            <m:sty m:val="p"/>
          </m:rPr>
          <m:t>+</m:t>
        </m:r>
        <m:sSup>
          <m:e>
            <m:r>
              <m:t>σ</m:t>
            </m:r>
          </m:e>
          <m:sup>
            <m:r>
              <m:rPr>
                <m:sty m:val="p"/>
              </m:rPr>
              <m:t>n</m:t>
            </m:r>
            <m:r>
              <m:rPr>
                <m:sty m:val="p"/>
              </m:rPr>
              <m:t>o</m:t>
            </m:r>
          </m:sup>
        </m:sSup>
      </m:oMath>
      <w:r>
        <w:t xml:space="preserve">. Appendix D explains how they are derived.</w:t>
      </w:r>
    </w:p>
    <w:p>
      <w:pPr>
        <w:pStyle w:val="BodyText"/>
        <w:widowControl/>
      </w:pPr>
      <w:r>
        <w:rPr>
          <w:bCs/>
          <w:b/>
        </w:rPr>
        <w:t xml:space="preserve">Scenario settings.</w:t>
      </w:r>
      <w:r>
        <w:t xml:space="preserve"> </w:t>
      </w:r>
      <w:r>
        <w:t xml:space="preserve">The carbon price</w:t>
      </w:r>
      <w:r>
        <w:t xml:space="preserve"> </w:t>
      </w:r>
      <m:oMath>
        <m:r>
          <m:t>τ</m:t>
        </m:r>
      </m:oMath>
      <w:r>
        <w:t xml:space="preserve"> </w:t>
      </w:r>
      <w:r>
        <w:t xml:space="preserve">is $20 per tonne of CO2 in 2030. The process switch</w:t>
      </w:r>
      <w:r>
        <w:t xml:space="preserve"> </w:t>
      </w:r>
      <m:oMath>
        <m:r>
          <m:t>π</m:t>
        </m:r>
      </m:oMath>
      <w:r>
        <w:t xml:space="preserve"> </w:t>
      </w:r>
      <w:r>
        <w:t xml:space="preserve">is 1 when process emissions are priced. The rebate share</w:t>
      </w:r>
      <w:r>
        <w:t xml:space="preserve"> </w:t>
      </w:r>
      <m:oMath>
        <m:r>
          <m:t>θ</m:t>
        </m:r>
      </m:oMath>
      <w:r>
        <w:t xml:space="preserve"> </w:t>
      </w:r>
      <w:r>
        <w:t xml:space="preserve">is 1 when the cost is refunded in full per unit of output. The fund switch</w:t>
      </w:r>
      <w:r>
        <w:t xml:space="preserve"> </w:t>
      </w:r>
      <m:oMath>
        <m:r>
          <m:t>φ</m:t>
        </m:r>
      </m:oMath>
      <w:r>
        <w:t xml:space="preserve"> </w:t>
      </w:r>
      <w:r>
        <w:t xml:space="preserve">is 1 when a fund adds a shadow price</w:t>
      </w:r>
      <w:r>
        <w:t xml:space="preserve"> </w:t>
      </w:r>
      <m:oMath>
        <m:r>
          <m:t>ψ</m:t>
        </m:r>
      </m:oMath>
      <w:r>
        <w:t xml:space="preserve"> </w:t>
      </w:r>
      <w:r>
        <w:t xml:space="preserve">to efficiency decisions. Section 3 sets these for each scenario.</w:t>
      </w:r>
    </w:p>
    <w:p>
      <w:pPr>
        <w:pStyle w:val="BodyText"/>
        <w:widowControl/>
      </w:pPr>
      <w:r>
        <w:t xml:space="preserve">The workbook follows the same structure. Its Calculations sheet opens with the walks, followed by the inputs and supporting numbers; the Product detail sheet holds the seven-product calculation; and the Results sheet repeats the final line of each walk.</w:t>
      </w:r>
    </w:p>
    <w:bookmarkEnd w:id="30"/>
    <w:bookmarkStart w:id="31" w:name="scenarios-and-core-assumptions"/>
    <w:p>
      <w:pPr>
        <w:pStyle w:val="Heading1"/>
        <w:pageBreakBefore/>
        <w:widowControl/>
      </w:pPr>
      <w:r>
        <w:t xml:space="preserve">3. Scenarios and core assumptions</w:t>
      </w:r>
    </w:p>
    <w:p>
      <w:pPr>
        <w:pStyle w:val="FirstParagraph"/>
        <w:widowControl/>
      </w:pPr>
      <w:r>
        <w:t xml:space="preserve">Six scenarios are run. Each reads one CPAT run and sets a few switches in the block calculation.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907"/>
        <w:gridCol w:w="3061"/>
        <w:gridCol w:w="1134"/>
        <w:gridCol w:w="2154"/>
      </w:tblGrid>
      <w:tr>
        <w:trPr>
          <w:tblHeader w:val="true"/>
          <w:cantSplit/>
        </w:trPr>
        <w:tc>
          <w:tcPr>
            <w:tcW w:type="dxa" w:w="2041"/>
            <w:shd w:val="clear" w:fill="D9E2F3"/>
          </w:tcPr>
          <w:p>
            <w:pPr>
              <w:pStyle w:val="Compact"/>
              <w:spacing w:after="0"/>
              <w:jc w:val="left"/>
            </w:pPr>
            <w:r>
              <w:rPr>
                <w:b/>
                <w:sz w:val="18"/>
              </w:rPr>
              <w:t xml:space="preserve">Scenario</w:t>
            </w:r>
          </w:p>
        </w:tc>
        <w:tc>
          <w:tcPr>
            <w:tcW w:type="dxa" w:w="907"/>
            <w:shd w:val="clear" w:fill="D9E2F3"/>
          </w:tcPr>
          <w:p>
            <w:pPr>
              <w:pStyle w:val="Compact"/>
              <w:spacing w:after="0"/>
              <w:jc w:val="left"/>
            </w:pPr>
            <w:r>
              <w:rPr>
                <w:b/>
                <w:sz w:val="18"/>
              </w:rPr>
              <w:t xml:space="preserve">CPAT run</w:t>
            </w:r>
          </w:p>
        </w:tc>
        <w:tc>
          <w:tcPr>
            <w:tcW w:type="dxa" w:w="3061"/>
            <w:shd w:val="clear" w:fill="D9E2F3"/>
          </w:tcPr>
          <w:p>
            <w:pPr>
              <w:pStyle w:val="Compact"/>
              <w:spacing w:after="0"/>
              <w:jc w:val="left"/>
            </w:pPr>
            <w:r>
              <w:rPr>
                <w:b/>
                <w:sz w:val="18"/>
              </w:rPr>
              <w:t xml:space="preserve">What is priced</w:t>
            </w:r>
          </w:p>
        </w:tc>
        <w:tc>
          <w:tcPr>
            <w:tcW w:type="dxa" w:w="1134"/>
            <w:shd w:val="clear" w:fill="D9E2F3"/>
          </w:tcPr>
          <w:p>
            <w:pPr>
              <w:pStyle w:val="Compact"/>
              <w:spacing w:after="0"/>
              <w:jc w:val="left"/>
            </w:pPr>
            <w:r>
              <w:rPr>
                <w:b/>
                <w:sz w:val="18"/>
              </w:rPr>
              <w:t xml:space="preserve">Process emissions priced</w:t>
            </w:r>
          </w:p>
        </w:tc>
        <w:tc>
          <w:tcPr>
            <w:tcW w:type="dxa" w:w="2154"/>
            <w:shd w:val="clear" w:fill="D9E2F3"/>
          </w:tcPr>
          <w:p>
            <w:pPr>
              <w:pStyle w:val="Compact"/>
              <w:spacing w:after="0"/>
              <w:jc w:val="left"/>
            </w:pPr>
            <w:r>
              <w:rPr>
                <w:b/>
                <w:sz w:val="18"/>
              </w:rPr>
              <w:t xml:space="preserve">Use of revenue</w:t>
            </w:r>
          </w:p>
        </w:tc>
      </w:tr>
      <w:tr>
        <w:trPr>
          <w:cantSplit/>
        </w:trPr>
        <w:tc>
          <w:tcPr>
            <w:tcW w:type="dxa" w:w="2041"/>
          </w:tcPr>
          <w:p>
            <w:pPr>
              <w:pStyle w:val="Compact"/>
              <w:spacing w:after="0"/>
              <w:jc w:val="left"/>
            </w:pPr>
            <w:r>
              <w:rPr>
                <w:sz w:val="18"/>
              </w:rPr>
              <w:t xml:space="preserve">1A Comprehensive levy</w:t>
            </w:r>
          </w:p>
        </w:tc>
        <w:tc>
          <w:tcPr>
            <w:tcW w:type="dxa" w:w="907"/>
          </w:tcPr>
          <w:p>
            <w:pPr>
              <w:pStyle w:val="Compact"/>
              <w:spacing w:after="0"/>
              <w:jc w:val="left"/>
            </w:pPr>
            <w:r>
              <w:rPr>
                <w:sz w:val="18"/>
              </w:rPr>
              <w:t xml:space="preserve">EGY1A</w:t>
            </w:r>
          </w:p>
        </w:tc>
        <w:tc>
          <w:tcPr>
            <w:tcW w:type="dxa" w:w="3061"/>
          </w:tcPr>
          <w:p>
            <w:pPr>
              <w:pStyle w:val="Compact"/>
              <w:spacing w:after="0"/>
              <w:jc w:val="left"/>
            </w:pPr>
            <w:r>
              <w:rPr>
                <w:sz w:val="18"/>
              </w:rPr>
              <w:t xml:space="preserve">Energy CO2 in all sectors, plus CBAM process emissions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2A Upstream levy</w:t>
            </w:r>
          </w:p>
        </w:tc>
        <w:tc>
          <w:tcPr>
            <w:tcW w:type="dxa" w:w="907"/>
          </w:tcPr>
          <w:p>
            <w:pPr>
              <w:pStyle w:val="Compact"/>
              <w:spacing w:after="0"/>
              <w:jc w:val="left"/>
            </w:pPr>
            <w:r>
              <w:rPr>
                <w:sz w:val="18"/>
              </w:rPr>
              <w:t xml:space="preserve">EGY2A</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2B Upstream levy</w:t>
            </w:r>
          </w:p>
        </w:tc>
        <w:tc>
          <w:tcPr>
            <w:tcW w:type="dxa" w:w="907"/>
          </w:tcPr>
          <w:p>
            <w:pPr>
              <w:pStyle w:val="Compact"/>
              <w:spacing w:after="0"/>
              <w:jc w:val="left"/>
            </w:pPr>
            <w:r>
              <w:rPr>
                <w:sz w:val="18"/>
              </w:rPr>
              <w:t xml:space="preserve">EGY2B</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3A Downstream industry price</w:t>
            </w:r>
          </w:p>
        </w:tc>
        <w:tc>
          <w:tcPr>
            <w:tcW w:type="dxa" w:w="907"/>
          </w:tcPr>
          <w:p>
            <w:pPr>
              <w:pStyle w:val="Compact"/>
              <w:spacing w:after="0"/>
              <w:jc w:val="left"/>
            </w:pPr>
            <w:r>
              <w:rPr>
                <w:sz w:val="18"/>
              </w:rPr>
              <w:t xml:space="preserve">EGY3A</w:t>
            </w:r>
          </w:p>
        </w:tc>
        <w:tc>
          <w:tcPr>
            <w:tcW w:type="dxa" w:w="3061"/>
          </w:tcPr>
          <w:p>
            <w:pPr>
              <w:pStyle w:val="Compact"/>
              <w:spacing w:after="0"/>
              <w:jc w:val="left"/>
            </w:pPr>
            <w:r>
              <w:rPr>
                <w:sz w:val="18"/>
              </w:rPr>
              <w:t xml:space="preserve">Energy CO2 and process emissions of the CBAM products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3B 3A with feebate</w:t>
            </w:r>
          </w:p>
        </w:tc>
        <w:tc>
          <w:tcPr>
            <w:tcW w:type="dxa" w:w="907"/>
          </w:tcPr>
          <w:p>
            <w:pPr>
              <w:pStyle w:val="Compact"/>
              <w:spacing w:after="0"/>
              <w:jc w:val="left"/>
            </w:pPr>
            <w:r>
              <w:rPr>
                <w:sz w:val="18"/>
              </w:rPr>
              <w:t xml:space="preserve">EGY3B</w:t>
            </w:r>
          </w:p>
        </w:tc>
        <w:tc>
          <w:tcPr>
            <w:tcW w:type="dxa" w:w="3061"/>
          </w:tcPr>
          <w:p>
            <w:pPr>
              <w:pStyle w:val="Compact"/>
              <w:spacing w:after="0"/>
              <w:jc w:val="left"/>
            </w:pPr>
            <w:r>
              <w:rPr>
                <w:sz w:val="18"/>
              </w:rPr>
              <w:t xml:space="preserve">As 3A, with an output-based rebate (</w:t>
            </w:r>
            <m:oMath>
              <m:r>
                <m:t>θ</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Returned to firms per unit of output</w:t>
            </w:r>
          </w:p>
        </w:tc>
      </w:tr>
      <w:tr>
        <w:trPr>
          <w:cantSplit/>
        </w:trPr>
        <w:tc>
          <w:tcPr>
            <w:tcW w:type="dxa" w:w="2041"/>
          </w:tcPr>
          <w:p>
            <w:pPr>
              <w:pStyle w:val="Compact"/>
              <w:spacing w:after="0"/>
              <w:jc w:val="left"/>
            </w:pPr>
            <w:r>
              <w:rPr>
                <w:sz w:val="18"/>
              </w:rPr>
              <w:t xml:space="preserve">3C 3A with abatement fund</w:t>
            </w:r>
          </w:p>
        </w:tc>
        <w:tc>
          <w:tcPr>
            <w:tcW w:type="dxa" w:w="907"/>
          </w:tcPr>
          <w:p>
            <w:pPr>
              <w:pStyle w:val="Compact"/>
              <w:spacing w:after="0"/>
              <w:jc w:val="left"/>
            </w:pPr>
            <w:r>
              <w:rPr>
                <w:sz w:val="18"/>
              </w:rPr>
              <w:t xml:space="preserve">EGY3C</w:t>
            </w:r>
          </w:p>
        </w:tc>
        <w:tc>
          <w:tcPr>
            <w:tcW w:type="dxa" w:w="3061"/>
          </w:tcPr>
          <w:p>
            <w:pPr>
              <w:pStyle w:val="Compact"/>
              <w:spacing w:after="0"/>
              <w:jc w:val="left"/>
            </w:pPr>
            <w:r>
              <w:rPr>
                <w:sz w:val="18"/>
              </w:rPr>
              <w:t xml:space="preserve">As 3A, with a fund (</w:t>
            </w:r>
            <m:oMath>
              <m:r>
                <m:t>φ</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Abatement fund for industry</w:t>
            </w:r>
          </w:p>
        </w:tc>
      </w:tr>
    </w:tbl>
    <w:p>
      <w:pPr>
        <w:pStyle w:val="BodyText"/>
        <w:widowControl/>
      </w:pPr>
      <w:r>
        <w:t xml:space="preserve">The price is $20 per tonne of CO2 in 2030 in every scenario. In 3A to 3C, diesel and gasoline are excluded from the price; other oil products are priced.</w:t>
      </w:r>
    </w:p>
    <w:p>
      <w:pPr>
        <w:pStyle w:val="BodyText"/>
        <w:widowControl/>
      </w:pPr>
      <w:r>
        <w:t xml:space="preserve">The core assumptions are these.</w:t>
      </w:r>
    </w:p>
    <w:p>
      <w:pPr>
        <w:widowControl/>
        <w:numPr>
          <w:ilvl w:val="0"/>
          <w:numId w:val="1004"/>
        </w:numPr>
        <w:pStyle w:val="Compact"/>
      </w:pPr>
      <w:r>
        <w:t xml:space="preserve">The block covers seven products: DRI-EAF steel, scrap-EAF steel, gray clinker, ammonia, urea, ammonium nitrate and primary aluminum. BF-BOF steel is a reference only and has no output.</w:t>
      </w:r>
    </w:p>
    <w:p>
      <w:pPr>
        <w:widowControl/>
        <w:numPr>
          <w:ilvl w:val="0"/>
          <w:numId w:val="1004"/>
        </w:numPr>
        <w:pStyle w:val="Compact"/>
      </w:pPr>
      <w:r>
        <w:t xml:space="preserve">A priced scenario passes the carbon cost into the product price in full. A rebate returns a share</w:t>
      </w:r>
      <w:r>
        <w:t xml:space="preserve"> </w:t>
      </w:r>
      <m:oMath>
        <m:r>
          <m:t>θ</m:t>
        </m:r>
      </m:oMath>
      <w:r>
        <w:t xml:space="preserve"> </w:t>
      </w:r>
      <w:r>
        <w:t xml:space="preserve">of the cost per unit of output, so only the net cost reaches the output decision. The intensity response still sees the full price.</w:t>
      </w:r>
    </w:p>
    <w:p>
      <w:pPr>
        <w:widowControl/>
        <w:numPr>
          <w:ilvl w:val="0"/>
          <w:numId w:val="1004"/>
        </w:numPr>
        <w:pStyle w:val="Compact"/>
      </w:pPr>
      <w:r>
        <w:t xml:space="preserve">Output follows a constant-elasticity demand curve, with elasticities by product (Appendix C).</w:t>
      </w:r>
    </w:p>
    <w:p>
      <w:pPr>
        <w:widowControl/>
        <w:numPr>
          <w:ilvl w:val="0"/>
          <w:numId w:val="1004"/>
        </w:numPr>
        <w:pStyle w:val="Compact"/>
      </w:pPr>
      <w:r>
        <w:t xml:space="preserve">Fuel and process emissions per tonne fall with the carbon price along fixed semi-elastic curves (Appendices B and C).</w:t>
      </w:r>
    </w:p>
    <w:p>
      <w:pPr>
        <w:widowControl/>
        <w:numPr>
          <w:ilvl w:val="0"/>
          <w:numId w:val="1004"/>
        </w:numPr>
        <w:pStyle w:val="Compact"/>
      </w:pPr>
      <w:r>
        <w:t xml:space="preserve">The fund in 3C works as a shadow price on efficiency, added to the carbon price in the intensity responses only, as in CPAT (CPAT Team 2024, section 3.1.8.1). Its value is fixed at $20 per tonne.</w:t>
      </w:r>
    </w:p>
    <w:p>
      <w:pPr>
        <w:widowControl/>
        <w:numPr>
          <w:ilvl w:val="0"/>
          <w:numId w:val="1004"/>
        </w:numPr>
        <w:pStyle w:val="Compact"/>
      </w:pPr>
      <w:r>
        <w:t xml:space="preserve">Product prices, 2024 output, growth and EU exports are exogenous and identical in every scenario.</w:t>
      </w:r>
    </w:p>
    <w:p>
      <w:pPr>
        <w:widowControl/>
        <w:numPr>
          <w:ilvl w:val="0"/>
          <w:numId w:val="1004"/>
        </w:numPr>
        <w:pStyle w:val="Compact"/>
      </w:pPr>
      <w:r>
        <w:t xml:space="preserve">Emission factors per tonne are fixed technology values that change only through the responses above.</w:t>
      </w:r>
    </w:p>
    <w:p>
      <w:pPr>
        <w:widowControl/>
        <w:numPr>
          <w:ilvl w:val="0"/>
          <w:numId w:val="1004"/>
        </w:numPr>
        <w:pStyle w:val="Compact"/>
      </w:pPr>
      <w:r>
        <w:t xml:space="preserve">Under the CBAM rules, an explicit carbon price can be credited against the obligation; an output-based rebate (3B) makes it ineligible; a decarbonization fund (3C) neither adds to the price credited nor invalidates it.</w:t>
      </w:r>
    </w:p>
    <w:p>
      <w:pPr>
        <w:widowControl/>
        <w:numPr>
          <w:ilvl w:val="0"/>
          <w:numId w:val="1004"/>
        </w:numPr>
        <w:pStyle w:val="Compact"/>
      </w:pPr>
      <w:r>
        <w:t xml:space="preserve">The CBAM obligation never changes the emission results.</w:t>
      </w:r>
    </w:p>
    <w:bookmarkEnd w:id="31"/>
    <w:bookmarkStart w:id="32" w:name="notation"/>
    <w:p>
      <w:pPr>
        <w:pStyle w:val="Heading1"/>
        <w:pageBreakBefore/>
        <w:widowControl/>
      </w:pPr>
      <w:r>
        <w:t xml:space="preserve">4. Notation</w:t>
      </w:r>
    </w:p>
    <w:p>
      <w:pPr>
        <w:pStyle w:val="FirstParagraph"/>
        <w:widowControl/>
      </w:pPr>
      <w:r>
        <w:t xml:space="preserve">Table 4.1 lists the notation, grouped by kind; each symbol is also defined where it first appears. Emissions intensity is written</w:t>
      </w:r>
      <w:r>
        <w:t xml:space="preserve"> </w:t>
      </w:r>
      <m:oMath>
        <m:r>
          <m:t>σ</m:t>
        </m:r>
      </m:oMath>
      <w:r>
        <w:t xml:space="preserve">, as in Nordhaus’s DICE model.</w:t>
      </w:r>
    </w:p>
    <w:p>
      <w:pPr>
        <w:pStyle w:val="BodyText"/>
        <w:widowControl/>
      </w:pPr>
      <w:r>
        <w:rPr>
          <w:bCs/>
          <w:b/>
        </w:rPr>
        <w:t xml:space="preserve">Table 4.1 Notation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60"/>
        <w:gridCol w:w="3061"/>
        <w:gridCol w:w="170"/>
        <w:gridCol w:w="1814"/>
        <w:gridCol w:w="2891"/>
      </w:tblGrid>
      <w:tr>
        <w:trPr>
          <w:tblHeader w:val="true"/>
          <w:cantSplit/>
        </w:trPr>
        <w:tc>
          <w:tcPr>
            <w:tcW w:type="dxa" w:w="1361"/>
            <w:shd w:val="clear" w:fill="D9E2F3"/>
          </w:tcPr>
          <w:p>
            <w:pPr>
              <w:pStyle w:val="Compact"/>
              <w:spacing w:after="0"/>
              <w:jc w:val="left"/>
            </w:pPr>
            <w:r>
              <w:rPr>
                <w:b/>
                <w:sz w:val="17"/>
              </w:rPr>
              <w:t xml:space="preserve">Symbol</w:t>
            </w:r>
          </w:p>
        </w:tc>
        <w:tc>
          <w:tcPr>
            <w:tcW w:type="dxa" w:w="3061"/>
            <w:shd w:val="clear" w:fill="D9E2F3"/>
          </w:tcPr>
          <w:p>
            <w:pPr>
              <w:pStyle w:val="Compact"/>
              <w:spacing w:after="0"/>
              <w:jc w:val="left"/>
            </w:pPr>
            <w:r>
              <w:rPr>
                <w:b/>
                <w:sz w:val="17"/>
              </w:rPr>
              <w:t xml:space="preserve">Meaning</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D9E2F3"/>
          </w:tcPr>
          <w:p>
            <w:pPr>
              <w:pStyle w:val="Compact"/>
              <w:spacing w:after="0"/>
              <w:jc w:val="left"/>
            </w:pPr>
            <w:r>
              <w:rPr>
                <w:b/>
                <w:sz w:val="17"/>
              </w:rPr>
              <w:t xml:space="preserve">Symbol</w:t>
            </w:r>
          </w:p>
        </w:tc>
        <w:tc>
          <w:tcPr>
            <w:tcW w:type="dxa" w:w="2891"/>
            <w:shd w:val="clear" w:fill="D9E2F3"/>
          </w:tcPr>
          <w:p>
            <w:pPr>
              <w:pStyle w:val="Compact"/>
              <w:spacing w:after="0"/>
              <w:jc w:val="left"/>
            </w:pPr>
            <w:r>
              <w:rPr>
                <w:b/>
                <w:sz w:val="17"/>
              </w:rPr>
              <w:t xml:space="preserve">Meaning</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Conventions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 intensity</w:t>
            </w:r>
            <w:r>
              <w:rPr>
                <w:sz w:val="17"/>
              </w:rPr>
              <w:t xml:space="preserve"> </w:t>
            </w:r>
            <w:r>
              <w:rPr>
                <w:sz w:val="17"/>
              </w:rPr>
              <w:t xml:space="preserve">(tCO2e/t)</w:t>
            </w:r>
          </w:p>
        </w:tc>
      </w:tr>
      <w:tr>
        <w:trPr>
          <w:cantSplit/>
        </w:trPr>
        <w:tc>
          <w:tcPr>
            <w:tcW w:type="dxa" w:w="1361"/>
          </w:tcPr>
          <w:p>
            <w:pPr>
              <w:pStyle w:val="Compact"/>
              <w:spacing w:after="0"/>
              <w:jc w:val="left"/>
            </w:pPr>
            <m:oMath>
              <m:r>
                <m:t>i</m:t>
              </m:r>
            </m:oMath>
          </w:p>
        </w:tc>
        <w:tc>
          <w:tcPr>
            <w:tcW w:type="dxa" w:w="3061"/>
          </w:tcPr>
          <w:p>
            <w:pPr>
              <w:pStyle w:val="Compact"/>
              <w:spacing w:after="0"/>
              <w:jc w:val="left"/>
            </w:pPr>
            <w:r>
              <w:rPr>
                <w:sz w:val="17"/>
              </w:rPr>
              <w:t xml:space="preserve">One of the seven CBAM products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f</m:t>
                  </m:r>
                  <m:r>
                    <m:rPr>
                      <m:sty m:val="p"/>
                    </m:rPr>
                    <m:t>c</m:t>
                  </m:r>
                </m:sup>
              </m:sSubSup>
            </m:oMath>
            <w:r>
              <w:rPr>
                <w:sz w:val="17"/>
              </w:rPr>
              <w:t xml:space="preserve">,</w:t>
            </w:r>
            <w:r>
              <w:rPr>
                <w:sz w:val="17"/>
              </w:rPr>
              <w:t xml:space="preserve"> </w:t>
            </w:r>
            <m:oMath>
              <m:sSubSup>
                <m:e>
                  <m:r>
                    <m:t>σ</m:t>
                  </m:r>
                </m:e>
                <m:sub>
                  <m:r>
                    <m:t>i</m:t>
                  </m:r>
                </m:sub>
                <m:sup>
                  <m:r>
                    <m:rPr>
                      <m:sty m:val="p"/>
                    </m:rPr>
                    <m:t>f</m:t>
                  </m:r>
                  <m:r>
                    <m:rPr>
                      <m:sty m:val="p"/>
                    </m:rPr>
                    <m:t>p</m:t>
                  </m:r>
                </m:sup>
              </m:sSubSup>
            </m:oMath>
            <w:r>
              <w:rPr>
                <w:sz w:val="17"/>
              </w:rPr>
              <w:t xml:space="preserve">,</w:t>
            </w:r>
            <w:r>
              <w:rPr>
                <w:sz w:val="17"/>
              </w:rPr>
              <w:t xml:space="preserve"> </w:t>
            </w:r>
            <m:oMath>
              <m:sSubSup>
                <m:e>
                  <m:r>
                    <m:t>σ</m:t>
                  </m:r>
                </m:e>
                <m:sub>
                  <m:r>
                    <m:t>i</m:t>
                  </m:r>
                </m:sub>
                <m:sup>
                  <m:r>
                    <m:t>f</m:t>
                  </m:r>
                </m:sup>
              </m:sSubSup>
            </m:oMath>
          </w:p>
        </w:tc>
        <w:tc>
          <w:tcPr>
            <w:tcW w:type="dxa" w:w="2891"/>
          </w:tcPr>
          <w:p>
            <w:pPr>
              <w:pStyle w:val="Compact"/>
              <w:spacing w:after="0"/>
              <w:jc w:val="left"/>
            </w:pPr>
            <w:r>
              <w:rPr>
                <w:sz w:val="17"/>
              </w:rPr>
              <w:t xml:space="preserve">Fuel: heat; reductant; total</w:t>
            </w:r>
          </w:p>
        </w:tc>
      </w:tr>
      <w:tr>
        <w:trPr>
          <w:cantSplit/>
        </w:trPr>
        <w:tc>
          <w:tcPr>
            <w:tcW w:type="dxa" w:w="1361"/>
          </w:tcPr>
          <w:p>
            <w:pPr>
              <w:pStyle w:val="Compact"/>
              <w:spacing w:after="0"/>
              <w:jc w:val="left"/>
            </w:pPr>
            <m:oMath>
              <m:sSub>
                <m:e>
                  <m:r>
                    <m:t>x</m:t>
                  </m:r>
                </m:e>
                <m:sub>
                  <m:r>
                    <m:rPr>
                      <m:sty m:val="p"/>
                    </m:rPr>
                    <m:t>t</m:t>
                  </m:r>
                  <m:r>
                    <m:rPr>
                      <m:sty m:val="p"/>
                    </m:rPr>
                    <m:t>o</m:t>
                  </m:r>
                  <m:r>
                    <m:rPr>
                      <m:sty m:val="p"/>
                    </m:rPr>
                    <m:t>t</m:t>
                  </m:r>
                </m:sub>
              </m:sSub>
            </m:oMath>
            <w:r>
              <w:rPr>
                <w:sz w:val="17"/>
              </w:rPr>
              <w:t xml:space="preserve">,</w:t>
            </w:r>
            <w:r>
              <w:rPr>
                <w:sz w:val="17"/>
              </w:rPr>
              <w:t xml:space="preserve"> </w:t>
            </w:r>
            <m:oMath>
              <m:sSub>
                <m:e>
                  <m:r>
                    <m:t>x</m:t>
                  </m:r>
                </m:e>
                <m:sub>
                  <m:r>
                    <m:rPr>
                      <m:sty m:val="p"/>
                    </m:rPr>
                    <m:t>C</m:t>
                  </m:r>
                  <m:r>
                    <m:rPr>
                      <m:sty m:val="p"/>
                    </m:rPr>
                    <m:t>B</m:t>
                  </m:r>
                  <m:r>
                    <m:rPr>
                      <m:sty m:val="p"/>
                    </m:rPr>
                    <m:t>A</m:t>
                  </m:r>
                  <m:r>
                    <m:rPr>
                      <m:sty m:val="p"/>
                    </m:rPr>
                    <m:t>M</m:t>
                  </m:r>
                </m:sub>
              </m:sSub>
            </m:oMath>
          </w:p>
        </w:tc>
        <w:tc>
          <w:tcPr>
            <w:tcW w:type="dxa" w:w="3061"/>
          </w:tcPr>
          <w:p>
            <w:pPr>
              <w:pStyle w:val="Compact"/>
              <w:spacing w:after="0"/>
              <w:jc w:val="left"/>
            </w:pPr>
            <w:r>
              <w:rPr>
                <w:sz w:val="17"/>
              </w:rPr>
              <w:t xml:space="preserve">Scope: national total, energy (en), industry (ind), CBAM block</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n</m:t>
                  </m:r>
                  <m:r>
                    <m:rPr>
                      <m:sty m:val="p"/>
                    </m:rPr>
                    <m:t>p</m:t>
                  </m:r>
                </m:sup>
              </m:sSubSup>
            </m:oMath>
            <w:r>
              <w:rPr>
                <w:sz w:val="17"/>
              </w:rPr>
              <w:t xml:space="preserve">,</w:t>
            </w:r>
            <w:r>
              <w:rPr>
                <w:sz w:val="17"/>
              </w:rPr>
              <w:t xml:space="preserve"> </w:t>
            </w:r>
            <m:oMath>
              <m:sSubSup>
                <m:e>
                  <m:r>
                    <m:t>σ</m:t>
                  </m:r>
                </m:e>
                <m:sub>
                  <m:r>
                    <m:t>i</m:t>
                  </m:r>
                </m:sub>
                <m:sup>
                  <m:r>
                    <m:rPr>
                      <m:sty m:val="p"/>
                    </m:rPr>
                    <m:t>n</m:t>
                  </m:r>
                  <m:r>
                    <m:rPr>
                      <m:sty m:val="p"/>
                    </m:rPr>
                    <m:t>o</m:t>
                  </m:r>
                </m:sup>
              </m:sSubSup>
            </m:oMath>
            <w:r>
              <w:rPr>
                <w:sz w:val="17"/>
              </w:rPr>
              <w:t xml:space="preserve">,</w:t>
            </w:r>
            <w:r>
              <w:rPr>
                <w:sz w:val="17"/>
              </w:rPr>
              <w:t xml:space="preserve"> </w:t>
            </w:r>
            <m:oMath>
              <m:sSubSup>
                <m:e>
                  <m:r>
                    <m:t>σ</m:t>
                  </m:r>
                </m:e>
                <m:sub>
                  <m:r>
                    <m:t>i</m:t>
                  </m:r>
                </m:sub>
                <m:sup>
                  <m:r>
                    <m:t>p</m:t>
                  </m:r>
                </m:sup>
              </m:sSubSup>
            </m:oMath>
          </w:p>
        </w:tc>
        <w:tc>
          <w:tcPr>
            <w:tcW w:type="dxa" w:w="2891"/>
          </w:tcPr>
          <w:p>
            <w:pPr>
              <w:pStyle w:val="Compact"/>
              <w:spacing w:after="0"/>
              <w:jc w:val="left"/>
            </w:pPr>
            <w:r>
              <w:rPr>
                <w:sz w:val="17"/>
              </w:rPr>
              <w:t xml:space="preserve">Process: CO2; non-CO2; total</w:t>
            </w:r>
          </w:p>
        </w:tc>
      </w:tr>
      <w:tr>
        <w:trPr>
          <w:cantSplit/>
        </w:trPr>
        <w:tc>
          <w:tcPr>
            <w:tcW w:type="dxa" w:w="1361"/>
          </w:tcPr>
          <w:p>
            <w:pPr>
              <w:pStyle w:val="Compact"/>
              <w:spacing w:after="0"/>
              <w:jc w:val="left"/>
            </w:pPr>
            <m:oMath>
              <m:sSup>
                <m:e>
                  <m:r>
                    <m:t>x</m:t>
                  </m:r>
                </m:e>
                <m:sup>
                  <m:r>
                    <m:t>0</m:t>
                  </m:r>
                </m:sup>
              </m:sSup>
            </m:oMath>
            <w:r>
              <w:rPr>
                <w:sz w:val="17"/>
              </w:rPr>
              <w:t xml:space="preserve">,</w:t>
            </w:r>
            <w:r>
              <w:rPr>
                <w:sz w:val="17"/>
              </w:rPr>
              <w:t xml:space="preserve"> </w:t>
            </w:r>
            <m:oMath>
              <m:r>
                <m:t>Δ</m:t>
              </m:r>
              <m:r>
                <m:t>x</m:t>
              </m:r>
            </m:oMath>
          </w:p>
        </w:tc>
        <w:tc>
          <w:tcPr>
            <w:tcW w:type="dxa" w:w="3061"/>
          </w:tcPr>
          <w:p>
            <w:pPr>
              <w:pStyle w:val="Compact"/>
              <w:spacing w:after="0"/>
              <w:jc w:val="left"/>
            </w:pPr>
            <w:r>
              <w:rPr>
                <w:sz w:val="17"/>
              </w:rPr>
              <w:t xml:space="preserve">Baseline value; change from baseline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σ</m:t>
                  </m:r>
                </m:e>
                <m:sub>
                  <m:r>
                    <m:t>i</m:t>
                  </m:r>
                </m:sub>
              </m:sSub>
            </m:oMath>
          </w:p>
        </w:tc>
        <w:tc>
          <w:tcPr>
            <w:tcW w:type="dxa" w:w="2891"/>
          </w:tcPr>
          <w:p>
            <w:pPr>
              <w:pStyle w:val="Compact"/>
              <w:spacing w:after="0"/>
              <w:jc w:val="left"/>
            </w:pPr>
            <w:r>
              <w:rPr>
                <w:sz w:val="17"/>
              </w:rPr>
              <w:t xml:space="preserve">Total emissions intensity</w:t>
            </w:r>
          </w:p>
        </w:tc>
      </w:tr>
      <w:tr>
        <w:trPr>
          <w:cantSplit/>
        </w:trPr>
        <w:tc>
          <w:tcPr>
            <w:tcW w:type="dxa" w:w="1361"/>
          </w:tcPr>
          <w:p>
            <w:pPr>
              <w:pStyle w:val="Compact"/>
              <w:spacing w:after="0"/>
              <w:jc w:val="left"/>
            </w:pPr>
            <m:oMath>
              <m:acc>
                <m:accPr>
                  <m:chr m:val="̂"/>
                </m:accPr>
                <m:e>
                  <m:r>
                    <m:t>x</m:t>
                  </m:r>
                </m:e>
              </m:acc>
            </m:oMath>
          </w:p>
        </w:tc>
        <w:tc>
          <w:tcPr>
            <w:tcW w:type="dxa" w:w="3061"/>
          </w:tcPr>
          <w:p>
            <w:pPr>
              <w:pStyle w:val="Compact"/>
              <w:spacing w:after="0"/>
              <w:jc w:val="left"/>
            </w:pPr>
            <w:r>
              <w:rPr>
                <w:sz w:val="17"/>
              </w:rPr>
              <w:t xml:space="preserve">CPAT’s own value, before adjustment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σ</m:t>
                  </m:r>
                </m:e>
              </m:acc>
            </m:oMath>
            <w:r>
              <w:rPr>
                <w:sz w:val="17"/>
              </w:rPr>
              <w:t xml:space="preserve">,</w:t>
            </w:r>
            <w:r>
              <w:rPr>
                <w:sz w:val="17"/>
              </w:rPr>
              <w:t xml:space="preserve"> </w:t>
            </w:r>
            <m:oMath>
              <m:r>
                <m:t>r</m:t>
              </m:r>
            </m:oMath>
          </w:p>
        </w:tc>
        <w:tc>
          <w:tcPr>
            <w:tcW w:type="dxa" w:w="2891"/>
          </w:tcPr>
          <w:p>
            <w:pPr>
              <w:pStyle w:val="Compact"/>
              <w:spacing w:after="0"/>
              <w:jc w:val="left"/>
            </w:pPr>
            <w:r>
              <w:rPr>
                <w:sz w:val="17"/>
              </w:rPr>
              <w:t xml:space="preserve">EU-export average; its fall</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Policy settings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w:t>
            </w:r>
            <w:r>
              <w:rPr>
                <w:sz w:val="17"/>
              </w:rPr>
              <w:t xml:space="preserve"> </w:t>
            </w:r>
            <w:r>
              <w:rPr>
                <w:sz w:val="17"/>
              </w:rPr>
              <w:t xml:space="preserve">(Mt CO2e)</w:t>
            </w:r>
          </w:p>
        </w:tc>
      </w:tr>
      <w:tr>
        <w:trPr>
          <w:cantSplit/>
        </w:trPr>
        <w:tc>
          <w:tcPr>
            <w:tcW w:type="dxa" w:w="1361"/>
          </w:tcPr>
          <w:p>
            <w:pPr>
              <w:pStyle w:val="Compact"/>
              <w:spacing w:after="0"/>
              <w:jc w:val="left"/>
            </w:pPr>
            <m:oMath>
              <m:r>
                <m:t>τ</m:t>
              </m:r>
            </m:oMath>
          </w:p>
        </w:tc>
        <w:tc>
          <w:tcPr>
            <w:tcW w:type="dxa" w:w="3061"/>
          </w:tcPr>
          <w:p>
            <w:pPr>
              <w:pStyle w:val="Compact"/>
              <w:spacing w:after="0"/>
              <w:jc w:val="left"/>
            </w:pPr>
            <w:r>
              <w:rPr>
                <w:sz w:val="17"/>
              </w:rPr>
              <w:t xml:space="preserve">Carbon price ($20/t in 2030)</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t>i</m:t>
                  </m:r>
                </m:sub>
                <m:sup>
                  <m:r>
                    <m:t>f</m:t>
                  </m:r>
                </m:sup>
              </m:sSubSup>
            </m:oMath>
            <w:r>
              <w:rPr>
                <w:sz w:val="17"/>
              </w:rPr>
              <w:t xml:space="preserve">,</w:t>
            </w:r>
            <w:r>
              <w:rPr>
                <w:sz w:val="17"/>
              </w:rPr>
              <w:t xml:space="preserve"> </w:t>
            </w:r>
            <m:oMath>
              <m:sSubSup>
                <m:e>
                  <m:r>
                    <m:t>E</m:t>
                  </m:r>
                </m:e>
                <m:sub>
                  <m:r>
                    <m:t>i</m:t>
                  </m:r>
                </m:sub>
                <m:sup>
                  <m:r>
                    <m:t>p</m:t>
                  </m:r>
                </m:sup>
              </m:sSubSup>
            </m:oMath>
          </w:p>
        </w:tc>
        <w:tc>
          <w:tcPr>
            <w:tcW w:type="dxa" w:w="2891"/>
          </w:tcPr>
          <w:p>
            <w:pPr>
              <w:pStyle w:val="Compact"/>
              <w:spacing w:after="0"/>
              <w:jc w:val="left"/>
            </w:pPr>
            <w:r>
              <w:rPr>
                <w:sz w:val="17"/>
              </w:rPr>
              <w:t xml:space="preserve">Fuel and process, by product</w:t>
            </w:r>
          </w:p>
        </w:tc>
      </w:tr>
      <w:tr>
        <w:trPr>
          <w:cantSplit/>
        </w:trPr>
        <w:tc>
          <w:tcPr>
            <w:tcW w:type="dxa" w:w="1361"/>
          </w:tcPr>
          <w:p>
            <w:pPr>
              <w:pStyle w:val="Compact"/>
              <w:spacing w:after="0"/>
              <w:jc w:val="left"/>
            </w:pPr>
            <m:oMath>
              <m:r>
                <m:t>π</m:t>
              </m:r>
            </m:oMath>
          </w:p>
        </w:tc>
        <w:tc>
          <w:tcPr>
            <w:tcW w:type="dxa" w:w="3061"/>
          </w:tcPr>
          <w:p>
            <w:pPr>
              <w:pStyle w:val="Compact"/>
              <w:spacing w:after="0"/>
              <w:jc w:val="left"/>
            </w:pPr>
            <w:r>
              <w:rPr>
                <w:sz w:val="17"/>
              </w:rPr>
              <w:t xml:space="preserve">1 if process emissions are priced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rPr>
                      <m:sty m:val="p"/>
                    </m:rPr>
                    <m:t>C</m:t>
                  </m:r>
                  <m:r>
                    <m:rPr>
                      <m:sty m:val="p"/>
                    </m:rPr>
                    <m:t>B</m:t>
                  </m:r>
                  <m:r>
                    <m:rPr>
                      <m:sty m:val="p"/>
                    </m:rPr>
                    <m:t>A</m:t>
                  </m:r>
                  <m:r>
                    <m:rPr>
                      <m:sty m:val="p"/>
                    </m:rPr>
                    <m:t>M</m:t>
                  </m:r>
                </m:sub>
                <m:sup>
                  <m:r>
                    <m:t>f</m:t>
                  </m:r>
                </m:sup>
              </m:sSubSup>
            </m:oMath>
            <w:r>
              <w:rPr>
                <w:sz w:val="17"/>
              </w:rPr>
              <w:t xml:space="preserve">,</w:t>
            </w:r>
            <w:r>
              <w:rPr>
                <w:sz w:val="17"/>
              </w:rPr>
              <w:t xml:space="preserve"> </w:t>
            </w:r>
            <m:oMath>
              <m:sSubSup>
                <m:e>
                  <m:r>
                    <m:t>E</m:t>
                  </m:r>
                </m:e>
                <m:sub>
                  <m:r>
                    <m:rPr>
                      <m:sty m:val="p"/>
                    </m:rPr>
                    <m:t>C</m:t>
                  </m:r>
                  <m:r>
                    <m:rPr>
                      <m:sty m:val="p"/>
                    </m:rPr>
                    <m:t>B</m:t>
                  </m:r>
                  <m:r>
                    <m:rPr>
                      <m:sty m:val="p"/>
                    </m:rPr>
                    <m:t>A</m:t>
                  </m:r>
                  <m:r>
                    <m:rPr>
                      <m:sty m:val="p"/>
                    </m:rPr>
                    <m:t>M</m:t>
                  </m:r>
                </m:sub>
                <m:sup>
                  <m:r>
                    <m:t>p</m:t>
                  </m:r>
                </m:sup>
              </m:sSubSup>
            </m:oMath>
          </w:p>
        </w:tc>
        <w:tc>
          <w:tcPr>
            <w:tcW w:type="dxa" w:w="2891"/>
          </w:tcPr>
          <w:p>
            <w:pPr>
              <w:pStyle w:val="Compact"/>
              <w:spacing w:after="0"/>
              <w:jc w:val="left"/>
            </w:pPr>
            <w:r>
              <w:rPr>
                <w:sz w:val="17"/>
              </w:rPr>
              <w:t xml:space="preserve">CBAM block: fuel, process</w:t>
            </w:r>
          </w:p>
        </w:tc>
      </w:tr>
      <w:tr>
        <w:trPr>
          <w:cantSplit/>
        </w:trPr>
        <w:tc>
          <w:tcPr>
            <w:tcW w:type="dxa" w:w="1361"/>
          </w:tcPr>
          <w:p>
            <w:pPr>
              <w:pStyle w:val="Compact"/>
              <w:spacing w:after="0"/>
              <w:jc w:val="left"/>
            </w:pPr>
            <m:oMath>
              <m:r>
                <m:t>θ</m:t>
              </m:r>
            </m:oMath>
          </w:p>
        </w:tc>
        <w:tc>
          <w:tcPr>
            <w:tcW w:type="dxa" w:w="3061"/>
          </w:tcPr>
          <w:p>
            <w:pPr>
              <w:pStyle w:val="Compact"/>
              <w:spacing w:after="0"/>
              <w:jc w:val="left"/>
            </w:pPr>
            <w:r>
              <w:rPr>
                <w:sz w:val="17"/>
              </w:rPr>
              <w:t xml:space="preserve">Rebate share (1 in 3B)</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C</m:t>
                  </m:r>
                  <m:r>
                    <m:rPr>
                      <m:sty m:val="p"/>
                    </m:rPr>
                    <m:t>B</m:t>
                  </m:r>
                  <m:r>
                    <m:rPr>
                      <m:sty m:val="p"/>
                    </m:rPr>
                    <m:t>A</m:t>
                  </m:r>
                  <m:r>
                    <m:rPr>
                      <m:sty m:val="p"/>
                    </m:rPr>
                    <m:t>M</m:t>
                  </m:r>
                </m:sub>
              </m:sSub>
            </m:oMath>
            <w:r>
              <w:rPr>
                <w:sz w:val="17"/>
              </w:rPr>
              <w:t xml:space="preserve">,</w:t>
            </w:r>
            <w:r>
              <w:rPr>
                <w:sz w:val="17"/>
              </w:rPr>
              <w:t xml:space="preserve"> </w:t>
            </w:r>
            <m:oMath>
              <m:sSub>
                <m:e>
                  <m:acc>
                    <m:accPr>
                      <m:chr m:val="̃"/>
                    </m:accPr>
                    <m:e>
                      <m:r>
                        <m:t>E</m:t>
                      </m:r>
                    </m:e>
                  </m:acc>
                </m:e>
                <m:sub>
                  <m:r>
                    <m:rPr>
                      <m:sty m:val="p"/>
                    </m:rPr>
                    <m:t>C</m:t>
                  </m:r>
                  <m:r>
                    <m:rPr>
                      <m:sty m:val="p"/>
                    </m:rPr>
                    <m:t>B</m:t>
                  </m:r>
                  <m:r>
                    <m:rPr>
                      <m:sty m:val="p"/>
                    </m:rPr>
                    <m:t>A</m:t>
                  </m:r>
                  <m:r>
                    <m:rPr>
                      <m:sty m:val="p"/>
                    </m:rPr>
                    <m:t>M</m:t>
                  </m:r>
                </m:sub>
              </m:sSub>
            </m:oMath>
          </w:p>
        </w:tc>
        <w:tc>
          <w:tcPr>
            <w:tcW w:type="dxa" w:w="2891"/>
          </w:tcPr>
          <w:p>
            <w:pPr>
              <w:pStyle w:val="Compact"/>
              <w:spacing w:after="0"/>
              <w:jc w:val="left"/>
            </w:pPr>
            <w:r>
              <w:rPr>
                <w:sz w:val="17"/>
              </w:rPr>
              <w:t xml:space="preserve">Block total; at baseline intensity</w:t>
            </w:r>
          </w:p>
        </w:tc>
      </w:tr>
      <w:tr>
        <w:trPr>
          <w:cantSplit/>
        </w:trPr>
        <w:tc>
          <w:tcPr>
            <w:tcW w:type="dxa" w:w="1361"/>
          </w:tcPr>
          <w:p>
            <w:pPr>
              <w:pStyle w:val="Compact"/>
              <w:spacing w:after="0"/>
              <w:jc w:val="left"/>
            </w:pPr>
            <m:oMath>
              <m:r>
                <m:t>φ</m:t>
              </m:r>
            </m:oMath>
          </w:p>
        </w:tc>
        <w:tc>
          <w:tcPr>
            <w:tcW w:type="dxa" w:w="3061"/>
          </w:tcPr>
          <w:p>
            <w:pPr>
              <w:pStyle w:val="Compact"/>
              <w:spacing w:after="0"/>
              <w:jc w:val="left"/>
            </w:pPr>
            <w:r>
              <w:rPr>
                <w:sz w:val="17"/>
              </w:rPr>
              <w:t xml:space="preserve">1 if revenue goes to a fund (3C)</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National GHG</w:t>
            </w:r>
          </w:p>
        </w:tc>
      </w:tr>
      <w:tr>
        <w:trPr>
          <w:cantSplit/>
        </w:trPr>
        <w:tc>
          <w:tcPr>
            <w:tcW w:type="dxa" w:w="1361"/>
          </w:tcPr>
          <w:p>
            <w:pPr>
              <w:pStyle w:val="Compact"/>
              <w:spacing w:after="0"/>
              <w:jc w:val="left"/>
            </w:pPr>
            <m:oMath>
              <m:r>
                <m:t>ψ</m:t>
              </m:r>
            </m:oMath>
          </w:p>
        </w:tc>
        <w:tc>
          <w:tcPr>
            <w:tcW w:type="dxa" w:w="3061"/>
          </w:tcPr>
          <w:p>
            <w:pPr>
              <w:pStyle w:val="Compact"/>
              <w:spacing w:after="0"/>
              <w:jc w:val="left"/>
            </w:pPr>
            <w:r>
              <w:rPr>
                <w:sz w:val="17"/>
              </w:rPr>
              <w:t xml:space="preserve">Fund shadow price ($20/t)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e</m:t>
                  </m:r>
                  <m:r>
                    <m:rPr>
                      <m:sty m:val="p"/>
                    </m:rPr>
                    <m:t>n</m:t>
                  </m:r>
                </m:sub>
              </m:sSub>
            </m:oMath>
            <w:r>
              <w:rPr>
                <w:sz w:val="17"/>
              </w:rPr>
              <w:t xml:space="preserve">,</w:t>
            </w:r>
            <w:r>
              <w:rPr>
                <w:sz w:val="17"/>
              </w:rPr>
              <w:t xml:space="preserve"> </w:t>
            </w:r>
            <m:oMath>
              <m:sSub>
                <m:e>
                  <m:r>
                    <m:t>E</m:t>
                  </m:r>
                </m:e>
                <m:sub>
                  <m:r>
                    <m:rPr>
                      <m:sty m:val="p"/>
                    </m:rPr>
                    <m:t>i</m:t>
                  </m:r>
                  <m:r>
                    <m:rPr>
                      <m:sty m:val="p"/>
                    </m:rPr>
                    <m:t>n</m:t>
                  </m:r>
                  <m:r>
                    <m:rPr>
                      <m:sty m:val="p"/>
                    </m:rPr>
                    <m:t>d</m:t>
                  </m:r>
                </m:sub>
              </m:sSub>
            </m:oMath>
          </w:p>
        </w:tc>
        <w:tc>
          <w:tcPr>
            <w:tcW w:type="dxa" w:w="2891"/>
          </w:tcPr>
          <w:p>
            <w:pPr>
              <w:pStyle w:val="Compact"/>
              <w:spacing w:after="0"/>
              <w:jc w:val="left"/>
            </w:pPr>
            <w:r>
              <w:rPr>
                <w:sz w:val="17"/>
              </w:rPr>
              <w:t xml:space="preserve">National, industry energy CO2</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Prices and carbon paid</w:t>
            </w:r>
            <w:r>
              <w:rPr>
                <w:sz w:val="17"/>
              </w:rPr>
              <w:t xml:space="preserve"> </w:t>
            </w:r>
            <w:r>
              <w:rPr>
                <w:sz w:val="17"/>
              </w:rPr>
              <w:t xml:space="preserve">($/t)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p>
                <m:e>
                  <m:r>
                    <m:t>a</m:t>
                  </m:r>
                </m:e>
                <m:sup>
                  <m:r>
                    <m:t>f</m:t>
                  </m:r>
                </m:sup>
              </m:sSup>
            </m:oMath>
          </w:p>
        </w:tc>
        <w:tc>
          <w:tcPr>
            <w:tcW w:type="dxa" w:w="2891"/>
          </w:tcPr>
          <w:p>
            <w:pPr>
              <w:pStyle w:val="Compact"/>
              <w:spacing w:after="0"/>
              <w:jc w:val="left"/>
            </w:pPr>
            <w:r>
              <w:rPr>
                <w:sz w:val="17"/>
              </w:rPr>
              <w:t xml:space="preserve">Fuel adjustment,</w:t>
            </w:r>
            <w:r>
              <w:rPr>
                <w:sz w:val="17"/>
              </w:rPr>
              <w:t xml:space="preserve"> </w:t>
            </w:r>
            <m:oMath>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p>
        </w:tc>
      </w:tr>
      <w:tr>
        <w:trPr>
          <w:cantSplit/>
        </w:trPr>
        <w:tc>
          <w:tcPr>
            <w:tcW w:type="dxa" w:w="1361"/>
          </w:tcPr>
          <w:p>
            <w:pPr>
              <w:pStyle w:val="Compact"/>
              <w:spacing w:after="0"/>
              <w:jc w:val="left"/>
            </w:pPr>
            <m:oMath>
              <m:sSub>
                <m:e>
                  <m:r>
                    <m:t>p</m:t>
                  </m:r>
                </m:e>
                <m:sub>
                  <m:r>
                    <m:t>i</m:t>
                  </m:r>
                </m:sub>
              </m:sSub>
            </m:oMath>
          </w:p>
        </w:tc>
        <w:tc>
          <w:tcPr>
            <w:tcW w:type="dxa" w:w="3061"/>
          </w:tcPr>
          <w:p>
            <w:pPr>
              <w:pStyle w:val="Compact"/>
              <w:spacing w:after="0"/>
              <w:jc w:val="left"/>
            </w:pPr>
            <w:r>
              <w:rPr>
                <w:sz w:val="17"/>
              </w:rPr>
              <w:t xml:space="preserve">Product price before the policy</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CPAT priced share, energy CO2</w:t>
            </w:r>
          </w:p>
        </w:tc>
      </w:tr>
      <w:tr>
        <w:trPr>
          <w:cantSplit/>
        </w:trPr>
        <w:tc>
          <w:tcPr>
            <w:tcW w:type="dxa" w:w="1361"/>
          </w:tcPr>
          <w:p>
            <w:pPr>
              <w:pStyle w:val="Compact"/>
              <w:spacing w:after="0"/>
              <w:jc w:val="left"/>
            </w:pPr>
            <m:oMath>
              <m:sSub>
                <m:e>
                  <m:r>
                    <m:t>δ</m:t>
                  </m:r>
                </m:e>
                <m:sub>
                  <m:r>
                    <m:t>i</m:t>
                  </m:r>
                </m:sub>
              </m:sSub>
            </m:oMath>
          </w:p>
        </w:tc>
        <w:tc>
          <w:tcPr>
            <w:tcW w:type="dxa" w:w="3061"/>
          </w:tcPr>
          <w:p>
            <w:pPr>
              <w:pStyle w:val="Compact"/>
              <w:spacing w:after="0"/>
              <w:jc w:val="left"/>
            </w:pPr>
            <w:r>
              <w:rPr>
                <w:sz w:val="17"/>
              </w:rPr>
              <w:t xml:space="preserve">Net carbon cost as a share of</w:t>
            </w:r>
            <w:r>
              <w:rPr>
                <w:sz w:val="17"/>
              </w:rPr>
              <w:t xml:space="preserve"> </w:t>
            </w:r>
            <m:oMath>
              <m:sSub>
                <m:e>
                  <m:r>
                    <m:t>p</m:t>
                  </m:r>
                </m:e>
                <m:sub>
                  <m:r>
                    <m:t>i</m:t>
                  </m:r>
                </m:sub>
              </m:sSub>
            </m:oMath>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Revenue, health and obligations</w:t>
            </w:r>
          </w:p>
        </w:tc>
      </w:tr>
      <w:tr>
        <w:trPr>
          <w:cantSplit/>
        </w:trPr>
        <w:tc>
          <w:tcPr>
            <w:tcW w:type="dxa" w:w="1361"/>
          </w:tcPr>
          <w:p>
            <w:pPr>
              <w:pStyle w:val="Compact"/>
              <w:spacing w:after="0"/>
              <w:jc w:val="left"/>
            </w:pPr>
            <m:oMath>
              <m:sSub>
                <m:e>
                  <m:r>
                    <m:t>d</m:t>
                  </m:r>
                </m:e>
                <m:sub>
                  <m:r>
                    <m:t>i</m:t>
                  </m:r>
                </m:sub>
              </m:sSub>
            </m:oMath>
            <w:r>
              <w:rPr>
                <w:sz w:val="17"/>
              </w:rPr>
              <w:t xml:space="preserve">,</w:t>
            </w:r>
            <w:r>
              <w:rPr>
                <w:sz w:val="17"/>
              </w:rPr>
              <w:t xml:space="preserve"> </w:t>
            </w:r>
            <m:oMath>
              <m:acc>
                <m:accPr>
                  <m:chr m:val="‾"/>
                </m:accPr>
                <m:e>
                  <m:r>
                    <m:t>d</m:t>
                  </m:r>
                </m:e>
              </m:acc>
            </m:oMath>
          </w:p>
        </w:tc>
        <w:tc>
          <w:tcPr>
            <w:tcW w:type="dxa" w:w="3061"/>
          </w:tcPr>
          <w:p>
            <w:pPr>
              <w:pStyle w:val="Compact"/>
              <w:spacing w:after="0"/>
              <w:jc w:val="left"/>
            </w:pPr>
            <w:r>
              <w:rPr>
                <w:sz w:val="17"/>
              </w:rPr>
              <w:t xml:space="preserve">Carbon paid per tonne; export average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R</m:t>
                  </m:r>
                </m:e>
              </m:acc>
            </m:oMath>
            <w:r>
              <w:rPr>
                <w:sz w:val="17"/>
              </w:rPr>
              <w:t xml:space="preserve">,</w:t>
            </w:r>
            <w:r>
              <w:rPr>
                <w:sz w:val="17"/>
              </w:rPr>
              <w:t xml:space="preserve"> </w:t>
            </w:r>
            <m:oMath>
              <m:sSup>
                <m:e>
                  <m:r>
                    <m:t>R</m:t>
                  </m:r>
                </m:e>
                <m:sup>
                  <m:r>
                    <m:t>B</m:t>
                  </m:r>
                </m:sup>
              </m:sSup>
            </m:oMath>
          </w:p>
        </w:tc>
        <w:tc>
          <w:tcPr>
            <w:tcW w:type="dxa" w:w="2891"/>
          </w:tcPr>
          <w:p>
            <w:pPr>
              <w:pStyle w:val="Compact"/>
              <w:spacing w:after="0"/>
              <w:jc w:val="left"/>
            </w:pPr>
            <w:r>
              <w:rPr>
                <w:sz w:val="17"/>
              </w:rPr>
              <w:t xml:space="preserve">CPAT receipts; block payments ($m)</w:t>
            </w:r>
          </w:p>
        </w:tc>
      </w:tr>
      <w:tr>
        <w:trPr>
          <w:cantSplit/>
        </w:trPr>
        <w:tc>
          <w:tcPr>
            <w:tcW w:type="dxa" w:w="1361"/>
          </w:tcPr>
          <w:p>
            <w:pPr>
              <w:pStyle w:val="Compact"/>
              <w:spacing w:after="0"/>
              <w:jc w:val="left"/>
            </w:pPr>
            <m:oMath>
              <m:sSup>
                <m:e>
                  <m:r>
                    <m:t>p</m:t>
                  </m:r>
                </m:e>
                <m:sup>
                  <m:r>
                    <m:rPr>
                      <m:sty m:val="p"/>
                    </m:rPr>
                    <m:t>E</m:t>
                  </m:r>
                  <m:r>
                    <m:rPr>
                      <m:sty m:val="p"/>
                    </m:rPr>
                    <m:t>U</m:t>
                  </m:r>
                </m:sup>
              </m:sSup>
            </m:oMath>
            <w:r>
              <w:rPr>
                <w:sz w:val="17"/>
              </w:rPr>
              <w:t xml:space="preserve">,</w:t>
            </w:r>
            <w:r>
              <w:rPr>
                <w:sz w:val="17"/>
              </w:rPr>
              <w:t xml:space="preserve"> </w:t>
            </w:r>
            <m:oMath>
              <m:r>
                <m:t>γ</m:t>
              </m:r>
            </m:oMath>
          </w:p>
        </w:tc>
        <w:tc>
          <w:tcPr>
            <w:tcW w:type="dxa" w:w="3061"/>
          </w:tcPr>
          <w:p>
            <w:pPr>
              <w:pStyle w:val="Compact"/>
              <w:spacing w:after="0"/>
              <w:jc w:val="left"/>
            </w:pPr>
            <w:r>
              <w:rPr>
                <w:sz w:val="17"/>
              </w:rPr>
              <w:t xml:space="preserve">EU certificate price; phase-in factor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D</m:t>
                  </m:r>
                </m:e>
              </m:acc>
            </m:oMath>
          </w:p>
        </w:tc>
        <w:tc>
          <w:tcPr>
            <w:tcW w:type="dxa" w:w="2891"/>
          </w:tcPr>
          <w:p>
            <w:pPr>
              <w:pStyle w:val="Compact"/>
              <w:spacing w:after="0"/>
              <w:jc w:val="left"/>
            </w:pPr>
            <w:r>
              <w:rPr>
                <w:sz w:val="17"/>
              </w:rPr>
              <w:t xml:space="preserve">Deaths avoided (CPAT)</w:t>
            </w:r>
          </w:p>
        </w:tc>
      </w:tr>
      <w:tr>
        <w:trPr>
          <w:cantSplit/>
        </w:trPr>
        <w:tc>
          <w:tcPr>
            <w:tcW w:type="dxa" w:w="1361"/>
          </w:tcPr>
          <w:p>
            <w:pPr>
              <w:pStyle w:val="Compact"/>
              <w:spacing w:after="0"/>
              <w:jc w:val="left"/>
            </w:pPr>
            <m:oMath>
              <m:sSup>
                <m:e>
                  <m:r>
                    <m:t>τ</m:t>
                  </m:r>
                </m:e>
                <m:sup>
                  <m:r>
                    <m:rPr>
                      <m:sty m:val="p"/>
                    </m:rPr>
                    <m:t>E</m:t>
                  </m:r>
                  <m:r>
                    <m:rPr>
                      <m:sty m:val="p"/>
                    </m:rPr>
                    <m:t>U</m:t>
                  </m:r>
                </m:sup>
              </m:sSup>
            </m:oMath>
            <w:r>
              <w:rPr>
                <w:sz w:val="17"/>
              </w:rPr>
              <w:t xml:space="preserve">,</w:t>
            </w:r>
            <w:r>
              <w:rPr>
                <w:sz w:val="17"/>
              </w:rPr>
              <w:t xml:space="preserve"> </w:t>
            </w:r>
            <m:oMath>
              <m:sSup>
                <m:e>
                  <m:r>
                    <m:t>τ</m:t>
                  </m:r>
                </m:e>
                <m:sup>
                  <m:r>
                    <m:rPr>
                      <m:sty m:val="p"/>
                    </m:rPr>
                    <m:t>E</m:t>
                  </m:r>
                  <m:r>
                    <m:rPr>
                      <m:sty m:val="p"/>
                    </m:rPr>
                    <m:t>G</m:t>
                  </m:r>
                  <m:r>
                    <m:rPr>
                      <m:sty m:val="p"/>
                    </m:rPr>
                    <m:t>Y</m:t>
                  </m:r>
                </m:sup>
              </m:sSup>
            </m:oMath>
          </w:p>
        </w:tc>
        <w:tc>
          <w:tcPr>
            <w:tcW w:type="dxa" w:w="3061"/>
          </w:tcPr>
          <w:p>
            <w:pPr>
              <w:pStyle w:val="Compact"/>
              <w:spacing w:after="0"/>
              <w:jc w:val="left"/>
            </w:pPr>
            <w:r>
              <w:rPr>
                <w:sz w:val="17"/>
              </w:rPr>
              <w:t xml:space="preserve">EU price after phase-in; Egyptian price credited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Obligation per tonne exported ($/t)</w:t>
            </w:r>
          </w:p>
        </w:tc>
      </w:tr>
      <w:tr>
        <w:trPr>
          <w:cantSplit/>
        </w:trPr>
        <w:tc>
          <w:tcPr>
            <w:tcW w:type="dxa" w:w="1361"/>
          </w:tcPr>
          <w:p>
            <w:pPr>
              <w:pStyle w:val="Compact"/>
              <w:spacing w:after="0"/>
              <w:jc w:val="left"/>
            </w:pPr>
            <m:oMath>
              <m:r>
                <m:t>κ</m:t>
              </m:r>
            </m:oMath>
          </w:p>
        </w:tc>
        <w:tc>
          <w:tcPr>
            <w:tcW w:type="dxa" w:w="3061"/>
          </w:tcPr>
          <w:p>
            <w:pPr>
              <w:pStyle w:val="Compact"/>
              <w:spacing w:after="0"/>
              <w:jc w:val="left"/>
            </w:pPr>
            <w:r>
              <w:rPr>
                <w:sz w:val="17"/>
              </w:rPr>
              <w:t xml:space="preserve">Deduction scaling (1 = full credit)</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Results</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Responses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C</m:t>
              </m:r>
            </m:oMath>
          </w:p>
        </w:tc>
        <w:tc>
          <w:tcPr>
            <w:tcW w:type="dxa" w:w="2891"/>
          </w:tcPr>
          <w:p>
            <w:pPr>
              <w:pStyle w:val="Compact"/>
              <w:spacing w:after="0"/>
              <w:jc w:val="left"/>
            </w:pPr>
            <w:r>
              <w:rPr>
                <w:sz w:val="17"/>
              </w:rPr>
              <w:t xml:space="preserve">Coverage of national GHG</w:t>
            </w:r>
          </w:p>
        </w:tc>
      </w:tr>
      <w:tr>
        <w:trPr>
          <w:cantSplit/>
        </w:trPr>
        <w:tc>
          <w:tcPr>
            <w:tcW w:type="dxa" w:w="1361"/>
          </w:tcPr>
          <w:p>
            <w:pPr>
              <w:pStyle w:val="Compact"/>
              <w:spacing w:after="0"/>
              <w:jc w:val="left"/>
            </w:pPr>
            <m:oMath>
              <m:sSub>
                <m:e>
                  <m:r>
                    <m:t>ε</m:t>
                  </m:r>
                </m:e>
                <m:sub>
                  <m:r>
                    <m:t>i</m:t>
                  </m:r>
                </m:sub>
              </m:sSub>
            </m:oMath>
          </w:p>
        </w:tc>
        <w:tc>
          <w:tcPr>
            <w:tcW w:type="dxa" w:w="3061"/>
          </w:tcPr>
          <w:p>
            <w:pPr>
              <w:pStyle w:val="Compact"/>
              <w:spacing w:after="0"/>
              <w:jc w:val="left"/>
            </w:pPr>
            <w:r>
              <w:rPr>
                <w:sz w:val="17"/>
              </w:rPr>
              <w:t xml:space="preserve">Price elasticity of physical output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R</m:t>
              </m:r>
            </m:oMath>
          </w:p>
        </w:tc>
        <w:tc>
          <w:tcPr>
            <w:tcW w:type="dxa" w:w="2891"/>
          </w:tcPr>
          <w:p>
            <w:pPr>
              <w:pStyle w:val="Compact"/>
              <w:spacing w:after="0"/>
              <w:jc w:val="left"/>
            </w:pPr>
            <w:r>
              <w:rPr>
                <w:sz w:val="17"/>
              </w:rPr>
              <w:t xml:space="preserve">Carbon revenue ($m; $bn in section 1)</w:t>
            </w:r>
          </w:p>
        </w:tc>
      </w:tr>
      <w:tr>
        <w:trPr>
          <w:cantSplit/>
        </w:trPr>
        <w:tc>
          <w:tcPr>
            <w:tcW w:type="dxa" w:w="1361"/>
          </w:tcPr>
          <w:p>
            <w:pPr>
              <w:pStyle w:val="Compact"/>
              <w:spacing w:after="0"/>
              <w:jc w:val="left"/>
            </w:pPr>
            <m:oMath>
              <m:sSup>
                <m:e>
                  <m:r>
                    <m:t>β</m:t>
                  </m:r>
                </m:e>
                <m:sup>
                  <m:r>
                    <m:t>f</m:t>
                  </m:r>
                </m:sup>
              </m:sSup>
            </m:oMath>
          </w:p>
        </w:tc>
        <w:tc>
          <w:tcPr>
            <w:tcW w:type="dxa" w:w="3061"/>
          </w:tcPr>
          <w:p>
            <w:pPr>
              <w:pStyle w:val="Compact"/>
              <w:spacing w:after="0"/>
              <w:jc w:val="left"/>
            </w:pPr>
            <w:r>
              <w:rPr>
                <w:sz w:val="17"/>
              </w:rPr>
              <w:t xml:space="preserve">Fuel-intensity semi-elasticity (0.0058)</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rPr>
                  <m:sty m:val="p"/>
                </m:rPr>
                <m:t>−</m:t>
              </m:r>
              <m:r>
                <m:t>Δ</m:t>
              </m:r>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Emission cut (Mt)</w:t>
            </w:r>
          </w:p>
        </w:tc>
      </w:tr>
      <w:tr>
        <w:trPr>
          <w:cantSplit/>
        </w:trPr>
        <w:tc>
          <w:tcPr>
            <w:tcW w:type="dxa" w:w="1361"/>
          </w:tcPr>
          <w:p>
            <w:pPr>
              <w:pStyle w:val="Compact"/>
              <w:spacing w:after="0"/>
              <w:jc w:val="left"/>
            </w:pPr>
            <m:oMath>
              <m:sSubSup>
                <m:e>
                  <m:r>
                    <m:t>β</m:t>
                  </m:r>
                </m:e>
                <m:sub>
                  <m:r>
                    <m:t>i</m:t>
                  </m:r>
                </m:sub>
                <m:sup>
                  <m:r>
                    <m:rPr>
                      <m:sty m:val="p"/>
                    </m:rPr>
                    <m:t>n</m:t>
                  </m:r>
                  <m:r>
                    <m:rPr>
                      <m:sty m:val="p"/>
                    </m:rPr>
                    <m:t>p</m:t>
                  </m:r>
                </m:sup>
              </m:sSubSup>
            </m:oMath>
            <w:r>
              <w:rPr>
                <w:sz w:val="17"/>
              </w:rPr>
              <w:t xml:space="preserve">,</w:t>
            </w:r>
            <w:r>
              <w:rPr>
                <w:sz w:val="17"/>
              </w:rPr>
              <w:t xml:space="preserve"> </w:t>
            </w:r>
            <m:oMath>
              <m:sSubSup>
                <m:e>
                  <m:r>
                    <m:t>β</m:t>
                  </m:r>
                </m:e>
                <m:sub>
                  <m:r>
                    <m:t>i</m:t>
                  </m:r>
                </m:sub>
                <m:sup>
                  <m:r>
                    <m:rPr>
                      <m:sty m:val="p"/>
                    </m:rPr>
                    <m:t>n</m:t>
                  </m:r>
                  <m:r>
                    <m:rPr>
                      <m:sty m:val="p"/>
                    </m:rPr>
                    <m:t>o</m:t>
                  </m:r>
                </m:sup>
              </m:sSubSup>
            </m:oMath>
          </w:p>
        </w:tc>
        <w:tc>
          <w:tcPr>
            <w:tcW w:type="dxa" w:w="3061"/>
          </w:tcPr>
          <w:p>
            <w:pPr>
              <w:pStyle w:val="Compact"/>
              <w:spacing w:after="0"/>
              <w:jc w:val="left"/>
            </w:pPr>
            <w:r>
              <w:rPr>
                <w:sz w:val="17"/>
              </w:rPr>
              <w:t xml:space="preserve">Process semi-elasticities (0 to 0.0079)</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p>
        </w:tc>
        <w:tc>
          <w:tcPr>
            <w:tcW w:type="dxa" w:w="2891"/>
          </w:tcPr>
          <w:p>
            <w:pPr>
              <w:pStyle w:val="Compact"/>
              <w:spacing w:after="0"/>
              <w:jc w:val="left"/>
            </w:pPr>
            <w:r>
              <w:rPr>
                <w:sz w:val="17"/>
              </w:rPr>
              <w:t xml:space="preserve">National GHG change</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Output and trade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p>
        </w:tc>
        <w:tc>
          <w:tcPr>
            <w:tcW w:type="dxa" w:w="2891"/>
          </w:tcPr>
          <w:p>
            <w:pPr>
              <w:pStyle w:val="Compact"/>
              <w:spacing w:after="0"/>
              <w:jc w:val="left"/>
            </w:pPr>
            <w:r>
              <w:rPr>
                <w:sz w:val="17"/>
              </w:rPr>
              <w:t xml:space="preserve">Block emissions change</w:t>
            </w:r>
          </w:p>
        </w:tc>
      </w:tr>
      <w:tr>
        <w:trPr>
          <w:cantSplit/>
        </w:trPr>
        <w:tc>
          <w:tcPr>
            <w:tcW w:type="dxa" w:w="1361"/>
          </w:tcPr>
          <w:p>
            <w:pPr>
              <w:pStyle w:val="Compact"/>
              <w:spacing w:after="0"/>
              <w:jc w:val="left"/>
            </w:pPr>
            <m:oMath>
              <m:sSub>
                <m:e>
                  <m:r>
                    <m:t>Y</m:t>
                  </m:r>
                </m:e>
                <m:sub>
                  <m:r>
                    <m:t>i</m:t>
                  </m:r>
                </m:sub>
              </m:sSub>
            </m:oMath>
            <w:r>
              <w:rPr>
                <w:sz w:val="17"/>
              </w:rPr>
              <w:t xml:space="preserve">,</w:t>
            </w:r>
            <w:r>
              <w:rPr>
                <w:sz w:val="17"/>
              </w:rPr>
              <w:t xml:space="preserve"> </w:t>
            </w:r>
            <m:oMath>
              <m:sSubSup>
                <m:e>
                  <m:r>
                    <m:t>Y</m:t>
                  </m:r>
                </m:e>
                <m:sub>
                  <m:r>
                    <m:t>i</m:t>
                  </m:r>
                </m:sub>
                <m:sup>
                  <m:r>
                    <m:t>2024</m:t>
                  </m:r>
                </m:sup>
              </m:sSubSup>
            </m:oMath>
          </w:p>
        </w:tc>
        <w:tc>
          <w:tcPr>
            <w:tcW w:type="dxa" w:w="3061"/>
          </w:tcPr>
          <w:p>
            <w:pPr>
              <w:pStyle w:val="Compact"/>
              <w:spacing w:after="0"/>
              <w:jc w:val="left"/>
            </w:pPr>
            <w:r>
              <w:rPr>
                <w:sz w:val="17"/>
              </w:rPr>
              <w:t xml:space="preserve">Output in 2030 and in 2024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I</m:t>
              </m:r>
            </m:oMath>
          </w:p>
        </w:tc>
        <w:tc>
          <w:tcPr>
            <w:tcW w:type="dxa" w:w="2891"/>
          </w:tcPr>
          <w:p>
            <w:pPr>
              <w:pStyle w:val="Compact"/>
              <w:spacing w:after="0"/>
              <w:jc w:val="left"/>
            </w:pPr>
            <w:r>
              <w:rPr>
                <w:sz w:val="17"/>
              </w:rPr>
              <w:t xml:space="preserve">Block intensity change</w:t>
            </w:r>
          </w:p>
        </w:tc>
      </w:tr>
      <w:tr>
        <w:trPr>
          <w:cantSplit/>
        </w:trPr>
        <w:tc>
          <w:tcPr>
            <w:tcW w:type="dxa" w:w="1361"/>
          </w:tcPr>
          <w:p>
            <w:pPr>
              <w:pStyle w:val="Compact"/>
              <w:spacing w:after="0"/>
              <w:jc w:val="left"/>
            </w:pPr>
            <m:oMath>
              <m:sSub>
                <m:e>
                  <m:r>
                    <m:t>g</m:t>
                  </m:r>
                </m:e>
                <m:sub>
                  <m:r>
                    <m:t>i</m:t>
                  </m:r>
                </m:sub>
              </m:sSub>
            </m:oMath>
          </w:p>
        </w:tc>
        <w:tc>
          <w:tcPr>
            <w:tcW w:type="dxa" w:w="3061"/>
          </w:tcPr>
          <w:p>
            <w:pPr>
              <w:pStyle w:val="Compact"/>
              <w:spacing w:after="0"/>
              <w:jc w:val="left"/>
            </w:pPr>
            <w:r>
              <w:rPr>
                <w:sz w:val="17"/>
              </w:rPr>
              <w:t xml:space="preserve">Output growth (% a year)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S</m:t>
              </m:r>
            </m:oMath>
          </w:p>
        </w:tc>
        <w:tc>
          <w:tcPr>
            <w:tcW w:type="dxa" w:w="2891"/>
          </w:tcPr>
          <w:p>
            <w:pPr>
              <w:pStyle w:val="Compact"/>
              <w:spacing w:after="0"/>
              <w:jc w:val="left"/>
            </w:pPr>
            <w:r>
              <w:rPr>
                <w:sz w:val="17"/>
              </w:rPr>
              <w:t xml:space="preserve">Priced share, block emissions</w:t>
            </w:r>
          </w:p>
        </w:tc>
      </w:tr>
      <w:tr>
        <w:trPr>
          <w:cantSplit/>
        </w:trPr>
        <w:tc>
          <w:tcPr>
            <w:tcW w:type="dxa" w:w="1361"/>
          </w:tcPr>
          <w:p>
            <w:pPr>
              <w:pStyle w:val="Compact"/>
              <w:spacing w:after="0"/>
              <w:jc w:val="left"/>
            </w:pPr>
            <m:oMath>
              <m:sSub>
                <m:e>
                  <m:r>
                    <m:t>X</m:t>
                  </m:r>
                </m:e>
                <m:sub>
                  <m:r>
                    <m:t>i</m:t>
                  </m:r>
                </m:sub>
              </m:sSub>
            </m:oMath>
          </w:p>
        </w:tc>
        <w:tc>
          <w:tcPr>
            <w:tcW w:type="dxa" w:w="3061"/>
          </w:tcPr>
          <w:p>
            <w:pPr>
              <w:pStyle w:val="Compact"/>
              <w:spacing w:after="0"/>
              <w:jc w:val="left"/>
            </w:pPr>
            <w:r>
              <w:rPr>
                <w:sz w:val="17"/>
              </w:rPr>
              <w:t xml:space="preserve">EU exports by product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r>
                <m:t>Ω</m:t>
              </m:r>
              <m:r>
                <m:rPr>
                  <m:sty m:val="p"/>
                </m:rPr>
                <m:t>/</m:t>
              </m:r>
              <m:sSup>
                <m:e>
                  <m:r>
                    <m:t>Ω</m:t>
                  </m:r>
                </m:e>
                <m:sup>
                  <m:r>
                    <m:t>0</m:t>
                  </m:r>
                </m:sup>
              </m:sSup>
            </m:oMath>
          </w:p>
        </w:tc>
        <w:tc>
          <w:tcPr>
            <w:tcW w:type="dxa" w:w="2891"/>
          </w:tcPr>
          <w:p>
            <w:pPr>
              <w:pStyle w:val="Compact"/>
              <w:spacing w:after="0"/>
              <w:jc w:val="left"/>
            </w:pPr>
            <w:r>
              <w:rPr>
                <w:sz w:val="17"/>
              </w:rPr>
              <w:t xml:space="preserve">Obligation change per tonne</w:t>
            </w:r>
          </w:p>
        </w:tc>
      </w:tr>
      <w:tr>
        <w:trPr>
          <w:cantSplit/>
        </w:trPr>
        <w:tc>
          <w:tcPr>
            <w:tcW w:type="dxa" w:w="1361"/>
          </w:tcPr>
          <w:p>
            <w:pPr>
              <w:pStyle w:val="Compact"/>
              <w:spacing w:after="0"/>
            </w:pPr>
          </w:p>
        </w:tc>
        <w:tc>
          <w:tcPr>
            <w:tcW w:type="dxa" w:w="3061"/>
          </w:tcPr>
          <w:p>
            <w:pPr>
              <w:pStyle w:val="Compact"/>
              <w:spacing w:after="0"/>
            </w:pP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D</m:t>
              </m:r>
            </m:oMath>
          </w:p>
        </w:tc>
        <w:tc>
          <w:tcPr>
            <w:tcW w:type="dxa" w:w="2891"/>
          </w:tcPr>
          <w:p>
            <w:pPr>
              <w:pStyle w:val="Compact"/>
              <w:spacing w:after="0"/>
              <w:jc w:val="left"/>
            </w:pPr>
            <w:r>
              <w:rPr>
                <w:sz w:val="17"/>
              </w:rPr>
              <w:t xml:space="preserve">Premature deaths avoided in 2030</w:t>
            </w:r>
          </w:p>
        </w:tc>
      </w:tr>
    </w:tbl>
    <w:bookmarkEnd w:id="32"/>
    <w:bookmarkStart w:id="33" w:name="the-cbam-block-model"/>
    <w:p>
      <w:pPr>
        <w:pStyle w:val="Heading1"/>
        <w:pageBreakBefore/>
        <w:widowControl/>
      </w:pPr>
      <w:r>
        <w:t xml:space="preserve">5. The CBAM block model</w:t>
      </w:r>
    </w:p>
    <w:p>
      <w:pPr>
        <w:pStyle w:val="FirstParagraph"/>
        <w:widowControl/>
      </w:pPr>
      <w:r>
        <w:t xml:space="preserve">The block is calculated product by product in six steps, then added up. Output and emissions are in Mt and prices in $/t, so emissions are output times intensity, and carbon payments come out in $ million.</w:t>
      </w:r>
    </w:p>
    <w:p>
      <w:pPr>
        <w:pStyle w:val="BodyText"/>
        <w:widowControl/>
      </w:pPr>
      <w:r>
        <w:rPr>
          <w:bCs/>
          <w:b/>
        </w:rPr>
        <w:t xml:space="preserve">Step 1. Net cost increase,</w:t>
      </w:r>
      <w:r>
        <w:t xml:space="preserve"> </w:t>
      </w:r>
      <w:r>
        <w:t xml:space="preserve">as a share of the price, after any rebate (</w:t>
      </w:r>
      <m:oMath>
        <m:sSub>
          <m:e>
            <m:r>
              <m:t>δ</m:t>
            </m:r>
          </m:e>
          <m:sub>
            <m:r>
              <m:t>i</m:t>
            </m:r>
          </m:sub>
        </m:sSub>
      </m:oMath>
      <w:r>
        <w:t xml:space="preserve"> </w:t>
      </w:r>
      <w:r>
        <w:t xml:space="preserve">is the net carbon cost for product</w:t>
      </w:r>
      <w:r>
        <w:t xml:space="preserve"> </w:t>
      </w:r>
      <m:oMath>
        <m:r>
          <m:t>i</m:t>
        </m:r>
      </m:oMath>
      <w:r>
        <w:t xml:space="preserve"> </w:t>
      </w:r>
      <w:r>
        <w:t xml:space="preserve">as a share of its price</w:t>
      </w:r>
      <w:r>
        <w:t xml:space="preserve"> </w:t>
      </w:r>
      <m:oMath>
        <m:sSub>
          <m:e>
            <m:r>
              <m:t>p</m:t>
            </m:r>
          </m:e>
          <m:sub>
            <m:r>
              <m:t>i</m:t>
            </m:r>
          </m:sub>
        </m:sSub>
      </m:oMath>
      <w:r>
        <w:t xml:space="preserve">;</w:t>
      </w:r>
      <w:r>
        <w:t xml:space="preserve"> </w:t>
      </w:r>
      <m:oMath>
        <m:r>
          <m:t>θ</m:t>
        </m:r>
      </m:oMath>
      <w:r>
        <w:t xml:space="preserve"> </w:t>
      </w:r>
      <w:r>
        <w:t xml:space="preserve">the rebate share;</w:t>
      </w:r>
      <w:r>
        <w:t xml:space="preserve"> </w:t>
      </w:r>
      <m:oMath>
        <m:r>
          <m:t>τ</m:t>
        </m:r>
      </m:oMath>
      <w:r>
        <w:t xml:space="preserve"> </w:t>
      </w:r>
      <w:r>
        <w:t xml:space="preserve">the carbon price;</w:t>
      </w:r>
      <w:r>
        <w:t xml:space="preserve"> </w:t>
      </w:r>
      <m:oMath>
        <m:sSubSup>
          <m:e>
            <m:r>
              <m:t>σ</m:t>
            </m:r>
          </m:e>
          <m:sub>
            <m:r>
              <m:t>i</m:t>
            </m:r>
          </m:sub>
          <m:sup>
            <m:r>
              <m:t>f</m:t>
            </m:r>
          </m:sup>
        </m:sSubSup>
      </m:oMath>
      <w:r>
        <w:t xml:space="preserve"> </w:t>
      </w:r>
      <w:r>
        <w:t xml:space="preserve">and</w:t>
      </w:r>
      <w:r>
        <w:t xml:space="preserve"> </w:t>
      </w:r>
      <m:oMath>
        <m:sSubSup>
          <m:e>
            <m:r>
              <m:t>σ</m:t>
            </m:r>
          </m:e>
          <m:sub>
            <m:r>
              <m:t>i</m:t>
            </m:r>
          </m:sub>
          <m:sup>
            <m:r>
              <m:t>p</m:t>
            </m:r>
          </m:sup>
        </m:sSubSup>
      </m:oMath>
      <w:r>
        <w:t xml:space="preserve"> </w:t>
      </w:r>
      <w:r>
        <w:t xml:space="preserve">fuel and process emissions per tonne;</w:t>
      </w:r>
      <w:r>
        <w:t xml:space="preserve"> </w:t>
      </w:r>
      <m:oMath>
        <m:r>
          <m:t>π</m:t>
        </m:r>
      </m:oMath>
      <w:r>
        <w:t xml:space="preserve"> </w:t>
      </w:r>
      <w:r>
        <w:t xml:space="preserve">the process switch):</w:t>
      </w:r>
    </w:p>
    <w:p>
      <w:pPr>
        <w:pStyle w:val="BodyText"/>
        <w:widowControl/>
      </w:pPr>
      <m:oMathPara>
        <m:oMathParaPr>
          <m:jc m:val="center"/>
        </m:oMathParaPr>
        <m:oMath>
          <m:sSub>
            <m:e>
              <m:r>
                <m:t>δ</m:t>
              </m:r>
            </m:e>
            <m:sub>
              <m:r>
                <m:t>i</m:t>
              </m:r>
            </m:sub>
          </m:sSub>
          <m:r>
            <m:rPr>
              <m:sty m:val="p"/>
            </m:rPr>
            <m:t>=</m:t>
          </m:r>
          <m:f>
            <m:fPr>
              <m:type m:val="bar"/>
            </m:fPr>
            <m:num>
              <m:d>
                <m:dPr>
                  <m:begChr m:val="("/>
                  <m:endChr m:val=")"/>
                  <m:sepChr m:val=""/>
                  <m:grow/>
                </m:dPr>
                <m:e>
                  <m:r>
                    <m:t>1</m:t>
                  </m:r>
                  <m:r>
                    <m:rPr>
                      <m:sty m:val="p"/>
                    </m:rPr>
                    <m:t>−</m:t>
                  </m:r>
                  <m:r>
                    <m:t>θ</m:t>
                  </m:r>
                </m:e>
              </m:d>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num>
            <m:den>
              <m:sSub>
                <m:e>
                  <m:r>
                    <m:t>p</m:t>
                  </m:r>
                </m:e>
                <m:sub>
                  <m:r>
                    <m:t>i</m:t>
                  </m:r>
                </m:sub>
              </m:sSub>
            </m:den>
          </m:f>
        </m:oMath>
      </m:oMathPara>
    </w:p>
    <w:p>
      <w:pPr>
        <w:pStyle w:val="FirstParagraph"/>
        <w:widowControl/>
      </w:pPr>
      <w:r>
        <w:rPr>
          <w:bCs/>
          <w:b/>
        </w:rPr>
        <w:t xml:space="preserve">Step 2. Output.</w:t>
      </w:r>
      <w:r>
        <w:t xml:space="preserve"> </w:t>
      </w:r>
      <w:r>
        <w:t xml:space="preserve">Baseline output grows from 2024 for six years, and the net cost moves it along a constant-elasticity curve (</w:t>
      </w:r>
      <m:oMath>
        <m:sSub>
          <m:e>
            <m:r>
              <m:t>Y</m:t>
            </m:r>
          </m:e>
          <m:sub>
            <m:r>
              <m:t>i</m:t>
            </m:r>
          </m:sub>
        </m:sSub>
      </m:oMath>
      <w:r>
        <w:t xml:space="preserve"> </w:t>
      </w:r>
      <w:r>
        <w:t xml:space="preserve">is output;</w:t>
      </w:r>
      <w:r>
        <w:t xml:space="preserve"> </w:t>
      </w:r>
      <m:oMath>
        <m:sSub>
          <m:e>
            <m:r>
              <m:t>g</m:t>
            </m:r>
          </m:e>
          <m:sub>
            <m:r>
              <m:t>i</m:t>
            </m:r>
          </m:sub>
        </m:sSub>
      </m:oMath>
      <w:r>
        <w:t xml:space="preserve"> </w:t>
      </w:r>
      <w:r>
        <w:t xml:space="preserve">its growth rate;</w:t>
      </w:r>
      <w:r>
        <w:t xml:space="preserve"> </w:t>
      </w:r>
      <m:oMath>
        <m:sSub>
          <m:e>
            <m:r>
              <m:t>ε</m:t>
            </m:r>
          </m:e>
          <m:sub>
            <m:r>
              <m:t>i</m:t>
            </m:r>
          </m:sub>
        </m:sSub>
      </m:oMath>
      <w:r>
        <w:t xml:space="preserve"> </w:t>
      </w:r>
      <w:r>
        <w:t xml:space="preserve">the price elasticity of physical output; superscript 0 the baseline):</w:t>
      </w:r>
    </w:p>
    <w:p>
      <w:pPr>
        <w:pStyle w:val="BodyText"/>
        <w:widowControl/>
      </w:pPr>
      <m:oMathPara>
        <m:oMathParaPr>
          <m:jc m:val="center"/>
        </m:oMathParaPr>
        <m:oMath>
          <m:sSubSup>
            <m:e>
              <m:r>
                <m:t>Y</m:t>
              </m:r>
            </m:e>
            <m:sub>
              <m:r>
                <m:t>i</m:t>
              </m:r>
            </m:sub>
            <m:sup>
              <m:r>
                <m:t>0</m:t>
              </m:r>
            </m:sup>
          </m:sSubSup>
          <m:r>
            <m:rPr>
              <m:sty m:val="p"/>
            </m:rPr>
            <m:t>=</m:t>
          </m:r>
          <m:sSubSup>
            <m:e>
              <m:r>
                <m:t>Y</m:t>
              </m:r>
            </m:e>
            <m:sub>
              <m:r>
                <m:t>i</m:t>
              </m:r>
            </m:sub>
            <m:sup>
              <m:r>
                <m:t>2024</m:t>
              </m:r>
            </m:sup>
          </m:sSubSup>
          <m:sSup>
            <m:e>
              <m:d>
                <m:dPr>
                  <m:begChr m:val="("/>
                  <m:endChr m:val=")"/>
                  <m:sepChr m:val=""/>
                  <m:grow/>
                </m:dPr>
                <m:e>
                  <m:r>
                    <m:t>1</m:t>
                  </m:r>
                  <m:r>
                    <m:rPr>
                      <m:sty m:val="p"/>
                    </m:rPr>
                    <m:t>+</m:t>
                  </m:r>
                  <m:sSub>
                    <m:e>
                      <m:r>
                        <m:t>g</m:t>
                      </m:r>
                    </m:e>
                    <m:sub>
                      <m:r>
                        <m:t>i</m:t>
                      </m:r>
                    </m:sub>
                  </m:sSub>
                </m:e>
              </m:d>
            </m:e>
            <m:sup>
              <m:r>
                <m:t>6</m:t>
              </m:r>
            </m:sup>
          </m:sSup>
          <m:r>
            <m:rPr>
              <m:sty m:val="p"/>
            </m:rPr>
            <m:t>,</m:t>
          </m:r>
          <m:r>
            <m:t>  </m:t>
          </m:r>
          <m:sSub>
            <m:e>
              <m:r>
                <m:t>Y</m:t>
              </m:r>
            </m:e>
            <m:sub>
              <m:r>
                <m:t>i</m:t>
              </m:r>
            </m:sub>
          </m:sSub>
          <m:r>
            <m:rPr>
              <m:sty m:val="p"/>
            </m:rPr>
            <m:t>=</m:t>
          </m:r>
          <m:sSubSup>
            <m:e>
              <m:r>
                <m:t>Y</m:t>
              </m:r>
            </m:e>
            <m:sub>
              <m:r>
                <m:t>i</m:t>
              </m:r>
            </m:sub>
            <m:sup>
              <m:r>
                <m:t>0</m:t>
              </m:r>
            </m:sup>
          </m:sSubSup>
          <m:r>
            <m:t> </m:t>
          </m:r>
          <m:sSup>
            <m:e>
              <m:d>
                <m:dPr>
                  <m:begChr m:val="("/>
                  <m:endChr m:val=")"/>
                  <m:sepChr m:val=""/>
                  <m:grow/>
                </m:dPr>
                <m:e>
                  <m:r>
                    <m:t>1</m:t>
                  </m:r>
                  <m:r>
                    <m:rPr>
                      <m:sty m:val="p"/>
                    </m:rPr>
                    <m:t>+</m:t>
                  </m:r>
                  <m:sSub>
                    <m:e>
                      <m:r>
                        <m:t>δ</m:t>
                      </m:r>
                    </m:e>
                    <m:sub>
                      <m:r>
                        <m:t>i</m:t>
                      </m:r>
                    </m:sub>
                  </m:sSub>
                </m:e>
              </m:d>
            </m:e>
            <m:sup>
              <m:sSub>
                <m:e>
                  <m:r>
                    <m:t>ε</m:t>
                  </m:r>
                </m:e>
                <m:sub>
                  <m:r>
                    <m:t>i</m:t>
                  </m:r>
                </m:sub>
              </m:sSub>
            </m:sup>
          </m:sSup>
        </m:oMath>
      </m:oMathPara>
    </w:p>
    <w:p>
      <w:pPr>
        <w:pStyle w:val="FirstParagraph"/>
        <w:widowControl/>
      </w:pPr>
      <w:r>
        <w:rPr>
          <w:bCs/>
          <w:b/>
        </w:rPr>
        <w:t xml:space="preserve">Step 3. Fuel emissions</w:t>
      </w:r>
      <w:r>
        <w:t xml:space="preserve"> </w:t>
      </w:r>
      <w:r>
        <w:t xml:space="preserve">fall with the full price plus any fund shadow price (</w:t>
      </w:r>
      <m:oMath>
        <m:sSubSup>
          <m:e>
            <m:r>
              <m:t>E</m:t>
            </m:r>
          </m:e>
          <m:sub>
            <m:r>
              <m:t>i</m:t>
            </m:r>
          </m:sub>
          <m:sup>
            <m:r>
              <m:t>f</m:t>
            </m:r>
          </m:sup>
        </m:sSubSup>
      </m:oMath>
      <w:r>
        <w:t xml:space="preserve"> </w:t>
      </w:r>
      <w:r>
        <w:t xml:space="preserve">is fuel emissions in Mt;</w:t>
      </w:r>
      <w:r>
        <w:t xml:space="preserve"> </w:t>
      </w:r>
      <m:oMath>
        <m:sSubSup>
          <m:e>
            <m:r>
              <m:t>σ</m:t>
            </m:r>
          </m:e>
          <m:sub>
            <m:r>
              <m:t>i</m:t>
            </m:r>
          </m:sub>
          <m:sup>
            <m:r>
              <m:rPr>
                <m:sty m:val="p"/>
              </m:rPr>
              <m:t>f</m:t>
            </m:r>
            <m:r>
              <m:rPr>
                <m:sty m:val="p"/>
              </m:rPr>
              <m:t>c</m:t>
            </m:r>
          </m:sup>
        </m:sSubSup>
      </m:oMath>
      <w:r>
        <w:t xml:space="preserve"> </w:t>
      </w:r>
      <w:r>
        <w:t xml:space="preserve">and</w:t>
      </w:r>
      <w:r>
        <w:t xml:space="preserve"> </w:t>
      </w:r>
      <m:oMath>
        <m:sSubSup>
          <m:e>
            <m:r>
              <m:t>σ</m:t>
            </m:r>
          </m:e>
          <m:sub>
            <m:r>
              <m:t>i</m:t>
            </m:r>
          </m:sub>
          <m:sup>
            <m:r>
              <m:rPr>
                <m:sty m:val="p"/>
              </m:rPr>
              <m:t>f</m:t>
            </m:r>
            <m:r>
              <m:rPr>
                <m:sty m:val="p"/>
              </m:rPr>
              <m:t>p</m:t>
            </m:r>
          </m:sup>
        </m:sSubSup>
      </m:oMath>
      <w:r>
        <w:t xml:space="preserve"> </w:t>
      </w:r>
      <w:r>
        <w:t xml:space="preserve">fuel burned for heat and fuel used as reductant or feedstock, per tonne;</w:t>
      </w:r>
      <w:r>
        <w:t xml:space="preserve"> </w:t>
      </w:r>
      <m:oMath>
        <m:sSup>
          <m:e>
            <m:r>
              <m:t>β</m:t>
            </m:r>
          </m:e>
          <m:sup>
            <m:r>
              <m:t>f</m:t>
            </m:r>
          </m:sup>
        </m:sSup>
      </m:oMath>
      <w:r>
        <w:t xml:space="preserve"> </w:t>
      </w:r>
      <w:r>
        <w:t xml:space="preserve">the fuel-intensity semi-elasticity;</w:t>
      </w:r>
      <w:r>
        <w:t xml:space="preserve"> </w:t>
      </w:r>
      <m:oMath>
        <m:r>
          <m:t>φ</m:t>
        </m:r>
      </m:oMath>
      <w:r>
        <w:t xml:space="preserve"> </w:t>
      </w:r>
      <w:r>
        <w:t xml:space="preserve">the fund switch;</w:t>
      </w:r>
      <w:r>
        <w:t xml:space="preserve"> </w:t>
      </w:r>
      <m:oMath>
        <m:r>
          <m:t>ψ</m:t>
        </m:r>
      </m:oMath>
      <w:r>
        <w:t xml:space="preserve"> </w:t>
      </w:r>
      <w:r>
        <w:t xml:space="preserve">the fund shadow price):</w:t>
      </w:r>
    </w:p>
    <w:p>
      <w:pPr>
        <w:pStyle w:val="BodyText"/>
        <w:widowControl/>
      </w:pPr>
      <m:oMathPara>
        <m:oMathParaPr>
          <m:jc m:val="center"/>
        </m:oMathParaPr>
        <m:oMath>
          <m:sSubSup>
            <m:e>
              <m:r>
                <m:t>E</m:t>
              </m:r>
            </m:e>
            <m:sub>
              <m:r>
                <m:t>i</m:t>
              </m:r>
            </m:sub>
            <m:sup>
              <m:r>
                <m:t>f</m:t>
              </m:r>
            </m:sup>
          </m:sSubSup>
          <m:r>
            <m:rPr>
              <m:sty m:val="p"/>
            </m:rPr>
            <m:t>=</m:t>
          </m:r>
          <m:sSub>
            <m:e>
              <m:r>
                <m:t>Y</m:t>
              </m:r>
            </m:e>
            <m:sub>
              <m:r>
                <m:t>i</m:t>
              </m:r>
            </m:sub>
          </m:sSub>
          <m:r>
            <m:t> </m:t>
          </m:r>
          <m:d>
            <m:dPr>
              <m:begChr m:val="("/>
              <m:endChr m:val=")"/>
              <m:sepChr m:val=""/>
              <m:grow/>
            </m:dPr>
            <m:e>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e>
          </m:d>
          <m:r>
            <m:t> </m:t>
          </m:r>
          <m:sSup>
            <m:e>
              <m:r>
                <m:t>e</m:t>
              </m:r>
            </m:e>
            <m:sup>
              <m:r>
                <m:rPr>
                  <m:sty m:val="p"/>
                </m:rPr>
                <m:t>−</m:t>
              </m:r>
              <m:sSup>
                <m:e>
                  <m:r>
                    <m:t>β</m:t>
                  </m:r>
                </m:e>
                <m:sup>
                  <m:r>
                    <m:t>f</m:t>
                  </m:r>
                </m:sup>
              </m:sSup>
              <m:d>
                <m:dPr>
                  <m:begChr m:val="("/>
                  <m:endChr m:val=")"/>
                  <m:sepChr m:val=""/>
                  <m:grow/>
                </m:dPr>
                <m:e>
                  <m:r>
                    <m:t>τ</m:t>
                  </m:r>
                  <m:r>
                    <m:rPr>
                      <m:sty m:val="p"/>
                    </m:rPr>
                    <m:t>+</m:t>
                  </m:r>
                  <m:r>
                    <m:t>φ</m:t>
                  </m:r>
                  <m:r>
                    <m:t>ψ</m:t>
                  </m:r>
                </m:e>
              </m:d>
            </m:sup>
          </m:sSup>
        </m:oMath>
      </m:oMathPara>
    </w:p>
    <w:p>
      <w:pPr>
        <w:pStyle w:val="FirstParagraph"/>
        <w:widowControl/>
      </w:pPr>
      <w:r>
        <w:rPr>
          <w:bCs/>
          <w:b/>
        </w:rPr>
        <w:t xml:space="preserve">Step 4. Process emissions</w:t>
      </w:r>
      <w:r>
        <w:t xml:space="preserve"> </w:t>
      </w:r>
      <w:r>
        <w:t xml:space="preserve">fall if they are priced, or with the fund (</w:t>
      </w:r>
      <m:oMath>
        <m:sSubSup>
          <m:e>
            <m:r>
              <m:t>E</m:t>
            </m:r>
          </m:e>
          <m:sub>
            <m:r>
              <m:t>i</m:t>
            </m:r>
          </m:sub>
          <m:sup>
            <m:r>
              <m:t>p</m:t>
            </m:r>
          </m:sup>
        </m:sSubSup>
      </m:oMath>
      <w:r>
        <w:t xml:space="preserve"> </w:t>
      </w:r>
      <w:r>
        <w:t xml:space="preserve">is process emissions;</w:t>
      </w:r>
      <w:r>
        <w:t xml:space="preserve"> </w:t>
      </w:r>
      <m:oMath>
        <m:sSubSup>
          <m:e>
            <m:r>
              <m:t>σ</m:t>
            </m:r>
          </m:e>
          <m:sub>
            <m:r>
              <m:t>i</m:t>
            </m:r>
          </m:sub>
          <m:sup>
            <m:r>
              <m:rPr>
                <m:sty m:val="p"/>
              </m:rPr>
              <m:t>n</m:t>
            </m:r>
            <m:r>
              <m:rPr>
                <m:sty m:val="p"/>
              </m:rPr>
              <m:t>p</m:t>
            </m:r>
          </m:sup>
        </m:sSubSup>
      </m:oMath>
      <w:r>
        <w:t xml:space="preserve"> </w:t>
      </w:r>
      <w:r>
        <w:t xml:space="preserve">and</w:t>
      </w:r>
      <w:r>
        <w:t xml:space="preserve"> </w:t>
      </w:r>
      <m:oMath>
        <m:sSubSup>
          <m:e>
            <m:r>
              <m:t>σ</m:t>
            </m:r>
          </m:e>
          <m:sub>
            <m:r>
              <m:t>i</m:t>
            </m:r>
          </m:sub>
          <m:sup>
            <m:r>
              <m:rPr>
                <m:sty m:val="p"/>
              </m:rPr>
              <m:t>n</m:t>
            </m:r>
            <m:r>
              <m:rPr>
                <m:sty m:val="p"/>
              </m:rPr>
              <m:t>o</m:t>
            </m:r>
          </m:sup>
        </m:sSubSup>
      </m:oMath>
      <w:r>
        <w:t xml:space="preserve"> </w:t>
      </w:r>
      <w:r>
        <w:t xml:space="preserve">process CO2 and non-CO2 per tonne;</w:t>
      </w:r>
      <w:r>
        <w:t xml:space="preserve"> </w:t>
      </w:r>
      <m:oMath>
        <m:sSubSup>
          <m:e>
            <m:r>
              <m:t>β</m:t>
            </m:r>
          </m:e>
          <m:sub>
            <m:r>
              <m:t>i</m:t>
            </m:r>
          </m:sub>
          <m:sup>
            <m:r>
              <m:rPr>
                <m:sty m:val="p"/>
              </m:rPr>
              <m:t>n</m:t>
            </m:r>
            <m:r>
              <m:rPr>
                <m:sty m:val="p"/>
              </m:rPr>
              <m:t>p</m:t>
            </m:r>
          </m:sup>
        </m:sSubSup>
      </m:oMath>
      <w:r>
        <w:t xml:space="preserve"> </w:t>
      </w:r>
      <w:r>
        <w:t xml:space="preserve">and</w:t>
      </w:r>
      <w:r>
        <w:t xml:space="preserve"> </w:t>
      </w:r>
      <m:oMath>
        <m:sSubSup>
          <m:e>
            <m:r>
              <m:t>β</m:t>
            </m:r>
          </m:e>
          <m:sub>
            <m:r>
              <m:t>i</m:t>
            </m:r>
          </m:sub>
          <m:sup>
            <m:r>
              <m:rPr>
                <m:sty m:val="p"/>
              </m:rPr>
              <m:t>n</m:t>
            </m:r>
            <m:r>
              <m:rPr>
                <m:sty m:val="p"/>
              </m:rPr>
              <m:t>o</m:t>
            </m:r>
          </m:sup>
        </m:sSubSup>
      </m:oMath>
      <w:r>
        <w:t xml:space="preserve"> </w:t>
      </w:r>
      <w:r>
        <w:t xml:space="preserve">their semi-elasticities):</w:t>
      </w:r>
    </w:p>
    <w:p>
      <w:pPr>
        <w:pStyle w:val="BodyText"/>
        <w:widowControl/>
      </w:pPr>
      <m:oMathPara>
        <m:oMathParaPr>
          <m:jc m:val="center"/>
        </m:oMathParaPr>
        <m:oMath>
          <m:sSubSup>
            <m:e>
              <m:r>
                <m:t>E</m:t>
              </m:r>
            </m:e>
            <m:sub>
              <m:r>
                <m:t>i</m:t>
              </m:r>
            </m:sub>
            <m:sup>
              <m:r>
                <m:t>p</m:t>
              </m:r>
            </m:sup>
          </m:sSubSup>
          <m:r>
            <m:rPr>
              <m:sty m:val="p"/>
            </m:rPr>
            <m:t>=</m:t>
          </m:r>
          <m:sSub>
            <m:e>
              <m:r>
                <m:t>Y</m:t>
              </m:r>
            </m:e>
            <m:sub>
              <m:r>
                <m:t>i</m:t>
              </m:r>
            </m:sub>
          </m:sSub>
          <m:d>
            <m:dPr>
              <m:begChr m:val="("/>
              <m:endChr m:val=")"/>
              <m:sepChr m:val=""/>
              <m:grow/>
            </m:dPr>
            <m:e>
              <m:sSubSup>
                <m:e>
                  <m:r>
                    <m:t>σ</m:t>
                  </m:r>
                </m:e>
                <m:sub>
                  <m:r>
                    <m:t>i</m:t>
                  </m:r>
                </m:sub>
                <m:sup>
                  <m:r>
                    <m:rPr>
                      <m:sty m:val="p"/>
                    </m:rPr>
                    <m:t>n</m:t>
                  </m:r>
                  <m:r>
                    <m:rPr>
                      <m:sty m:val="p"/>
                    </m:rPr>
                    <m:t>p</m:t>
                  </m:r>
                </m:sup>
              </m:sSubSup>
              <m:sSup>
                <m:e>
                  <m:r>
                    <m:t>e</m:t>
                  </m:r>
                </m:e>
                <m:sup>
                  <m:r>
                    <m:rPr>
                      <m:sty m:val="p"/>
                    </m:rPr>
                    <m:t>−</m:t>
                  </m:r>
                  <m:sSubSup>
                    <m:e>
                      <m:r>
                        <m:t>β</m:t>
                      </m:r>
                    </m:e>
                    <m:sub>
                      <m:r>
                        <m:t>i</m:t>
                      </m:r>
                    </m:sub>
                    <m:sup>
                      <m:r>
                        <m:rPr>
                          <m:sty m:val="p"/>
                        </m:rPr>
                        <m:t>n</m:t>
                      </m:r>
                      <m:r>
                        <m:rPr>
                          <m:sty m:val="p"/>
                        </m:rPr>
                        <m:t>p</m:t>
                      </m:r>
                    </m:sup>
                  </m:sSubSup>
                  <m:d>
                    <m:dPr>
                      <m:begChr m:val="("/>
                      <m:endChr m:val=")"/>
                      <m:sepChr m:val=""/>
                      <m:grow/>
                    </m:dPr>
                    <m:e>
                      <m:r>
                        <m:t>π</m:t>
                      </m:r>
                      <m:r>
                        <m:t>τ</m:t>
                      </m:r>
                      <m:r>
                        <m:rPr>
                          <m:sty m:val="p"/>
                        </m:rPr>
                        <m:t>+</m:t>
                      </m:r>
                      <m:r>
                        <m:t>φ</m:t>
                      </m:r>
                      <m:r>
                        <m:t>ψ</m:t>
                      </m:r>
                    </m:e>
                  </m:d>
                </m:sup>
              </m:sSup>
              <m:r>
                <m:rPr>
                  <m:sty m:val="p"/>
                </m:rPr>
                <m:t>+</m:t>
              </m:r>
              <m:sSubSup>
                <m:e>
                  <m:r>
                    <m:t>σ</m:t>
                  </m:r>
                </m:e>
                <m:sub>
                  <m:r>
                    <m:t>i</m:t>
                  </m:r>
                </m:sub>
                <m:sup>
                  <m:r>
                    <m:rPr>
                      <m:sty m:val="p"/>
                    </m:rPr>
                    <m:t>n</m:t>
                  </m:r>
                  <m:r>
                    <m:rPr>
                      <m:sty m:val="p"/>
                    </m:rPr>
                    <m:t>o</m:t>
                  </m:r>
                </m:sup>
              </m:sSubSup>
              <m:sSup>
                <m:e>
                  <m:r>
                    <m:t>e</m:t>
                  </m:r>
                </m:e>
                <m:sup>
                  <m:r>
                    <m:rPr>
                      <m:sty m:val="p"/>
                    </m:rPr>
                    <m:t>−</m:t>
                  </m:r>
                  <m:sSubSup>
                    <m:e>
                      <m:r>
                        <m:t>β</m:t>
                      </m:r>
                    </m:e>
                    <m:sub>
                      <m:r>
                        <m:t>i</m:t>
                      </m:r>
                    </m:sub>
                    <m:sup>
                      <m:r>
                        <m:rPr>
                          <m:sty m:val="p"/>
                        </m:rPr>
                        <m:t>n</m:t>
                      </m:r>
                      <m:r>
                        <m:rPr>
                          <m:sty m:val="p"/>
                        </m:rPr>
                        <m:t>o</m:t>
                      </m:r>
                    </m:sup>
                  </m:sSubSup>
                  <m:d>
                    <m:dPr>
                      <m:begChr m:val="("/>
                      <m:endChr m:val=")"/>
                      <m:sepChr m:val=""/>
                      <m:grow/>
                    </m:dPr>
                    <m:e>
                      <m:r>
                        <m:t>π</m:t>
                      </m:r>
                      <m:r>
                        <m:t>τ</m:t>
                      </m:r>
                      <m:r>
                        <m:rPr>
                          <m:sty m:val="p"/>
                        </m:rPr>
                        <m:t>+</m:t>
                      </m:r>
                      <m:r>
                        <m:t>φ</m:t>
                      </m:r>
                      <m:r>
                        <m:t>ψ</m:t>
                      </m:r>
                    </m:e>
                  </m:d>
                </m:sup>
              </m:sSup>
            </m:e>
          </m:d>
        </m:oMath>
      </m:oMathPara>
    </w:p>
    <w:p>
      <w:pPr>
        <w:pStyle w:val="FirstParagraph"/>
        <w:widowControl/>
      </w:pPr>
      <w:r>
        <w:rPr>
          <w:bCs/>
          <w:b/>
        </w:rPr>
        <w:t xml:space="preserve">Step 5. Emissions intensity</w:t>
      </w:r>
      <w:r>
        <w:t xml:space="preserve"> </w:t>
      </w:r>
      <w:r>
        <w:t xml:space="preserve">(</w:t>
      </w:r>
      <m:oMath>
        <m:sSub>
          <m:e>
            <m:r>
              <m:t>σ</m:t>
            </m:r>
          </m:e>
          <m:sub>
            <m:r>
              <m:t>i</m:t>
            </m:r>
          </m:sub>
        </m:sSub>
      </m:oMath>
      <w:r>
        <w:t xml:space="preserve">), emissions per tonne:</w:t>
      </w:r>
    </w:p>
    <w:p>
      <w:pPr>
        <w:pStyle w:val="BodyText"/>
        <w:widowControl/>
      </w:pPr>
      <m:oMathPara>
        <m:oMathParaPr>
          <m:jc m:val="center"/>
        </m:oMathParaPr>
        <m:oMath>
          <m:sSub>
            <m:e>
              <m:r>
                <m:t>σ</m:t>
              </m:r>
            </m:e>
            <m:sub>
              <m:r>
                <m:t>i</m:t>
              </m:r>
            </m:sub>
          </m:sSub>
          <m:r>
            <m:rPr>
              <m:sty m:val="p"/>
            </m:rPr>
            <m:t>=</m:t>
          </m:r>
          <m:f>
            <m:fPr>
              <m:type m:val="bar"/>
            </m:fPr>
            <m:num>
              <m:sSubSup>
                <m:e>
                  <m:r>
                    <m:t>E</m:t>
                  </m:r>
                </m:e>
                <m:sub>
                  <m:r>
                    <m:t>i</m:t>
                  </m:r>
                </m:sub>
                <m:sup>
                  <m:r>
                    <m:t>f</m:t>
                  </m:r>
                </m:sup>
              </m:sSubSup>
              <m:r>
                <m:rPr>
                  <m:sty m:val="p"/>
                </m:rPr>
                <m:t>+</m:t>
              </m:r>
              <m:sSubSup>
                <m:e>
                  <m:r>
                    <m:t>E</m:t>
                  </m:r>
                </m:e>
                <m:sub>
                  <m:r>
                    <m:t>i</m:t>
                  </m:r>
                </m:sub>
                <m:sup>
                  <m:r>
                    <m:t>p</m:t>
                  </m:r>
                </m:sup>
              </m:sSubSup>
            </m:num>
            <m:den>
              <m:sSub>
                <m:e>
                  <m:r>
                    <m:t>Y</m:t>
                  </m:r>
                </m:e>
                <m:sub>
                  <m:r>
                    <m:t>i</m:t>
                  </m:r>
                </m:sub>
              </m:sSub>
            </m:den>
          </m:f>
        </m:oMath>
      </m:oMathPara>
    </w:p>
    <w:p>
      <w:pPr>
        <w:pStyle w:val="FirstParagraph"/>
        <w:widowControl/>
      </w:pPr>
      <w:r>
        <w:rPr>
          <w:bCs/>
          <w:b/>
        </w:rPr>
        <w:t xml:space="preserve">Step 6. Carbon paid per tonne,</w:t>
      </w:r>
      <w:r>
        <w:t xml:space="preserve"> </w:t>
      </w:r>
      <w:r>
        <w:t xml:space="preserve">net of any refund, the basis for a CBAM credit (</w:t>
      </w:r>
      <m:oMath>
        <m:sSub>
          <m:e>
            <m:r>
              <m:t>d</m:t>
            </m:r>
          </m:e>
          <m:sub>
            <m:r>
              <m:t>i</m:t>
            </m:r>
          </m:sub>
        </m:sSub>
      </m:oMath>
      <w:r>
        <w:t xml:space="preserve">):</w:t>
      </w:r>
    </w:p>
    <w:p>
      <w:pPr>
        <w:pStyle w:val="BodyText"/>
        <w:widowControl/>
      </w:pPr>
      <m:oMathPara>
        <m:oMathParaPr>
          <m:jc m:val="center"/>
        </m:oMathParaPr>
        <m:oMath>
          <m:sSub>
            <m:e>
              <m:r>
                <m:t>d</m:t>
              </m:r>
            </m:e>
            <m:sub>
              <m:r>
                <m:t>i</m:t>
              </m:r>
            </m:sub>
          </m:sSub>
          <m:r>
            <m:rPr>
              <m:sty m:val="p"/>
            </m:rPr>
            <m:t>=</m:t>
          </m:r>
          <m:f>
            <m:fPr>
              <m:type m:val="bar"/>
            </m:fPr>
            <m:num>
              <m:r>
                <m:t>τ</m:t>
              </m:r>
              <m:r>
                <m:t> </m:t>
              </m:r>
              <m:d>
                <m:dPr>
                  <m:begChr m:val="("/>
                  <m:endChr m:val=")"/>
                  <m:sepChr m:val=""/>
                  <m:grow/>
                </m:dPr>
                <m:e>
                  <m:sSubSup>
                    <m:e>
                      <m:r>
                        <m:t>E</m:t>
                      </m:r>
                    </m:e>
                    <m:sub>
                      <m:r>
                        <m:t>i</m:t>
                      </m:r>
                    </m:sub>
                    <m:sup>
                      <m:r>
                        <m:t>f</m:t>
                      </m:r>
                    </m:sup>
                  </m:sSubSup>
                  <m:r>
                    <m:rPr>
                      <m:sty m:val="p"/>
                    </m:rPr>
                    <m:t>+</m:t>
                  </m:r>
                  <m:r>
                    <m:t>π</m:t>
                  </m:r>
                  <m:sSubSup>
                    <m:e>
                      <m:r>
                        <m:t>E</m:t>
                      </m:r>
                    </m:e>
                    <m:sub>
                      <m:r>
                        <m:t>i</m:t>
                      </m:r>
                    </m:sub>
                    <m:sup>
                      <m:r>
                        <m:t>p</m:t>
                      </m:r>
                    </m:sup>
                  </m:sSubSup>
                </m:e>
              </m:d>
            </m:num>
            <m:den>
              <m:sSub>
                <m:e>
                  <m:r>
                    <m:t>Y</m:t>
                  </m:r>
                </m:e>
                <m:sub>
                  <m:r>
                    <m:t>i</m:t>
                  </m:r>
                </m:sub>
              </m:sSub>
            </m:den>
          </m:f>
          <m:r>
            <m:rPr>
              <m:sty m:val="p"/>
            </m:rPr>
            <m:t>−</m:t>
          </m:r>
          <m:r>
            <m:t>θ</m:t>
          </m:r>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oMath>
      </m:oMathPara>
    </w:p>
    <w:p>
      <w:pPr>
        <w:pStyle w:val="FirstParagraph"/>
        <w:widowControl/>
      </w:pPr>
      <w:r>
        <w:t xml:space="preserve">Output responds to the net price, fuel intensity to the full price and the fund, and process intensity to the process price and the fund, so nothing is counted twice. The products are then added up into block totals,</w:t>
      </w:r>
      <w:r>
        <w:t xml:space="preserve"> </w:t>
      </w:r>
      <m:oMath>
        <m:sSubSup>
          <m:e>
            <m:r>
              <m:t>E</m:t>
            </m:r>
          </m:e>
          <m:sub>
            <m:r>
              <m:rPr>
                <m:sty m:val="p"/>
              </m:rPr>
              <m:t>C</m:t>
            </m:r>
            <m:r>
              <m:rPr>
                <m:sty m:val="p"/>
              </m:rPr>
              <m:t>B</m:t>
            </m:r>
            <m:r>
              <m:rPr>
                <m:sty m:val="p"/>
              </m:rPr>
              <m:t>A</m:t>
            </m:r>
            <m:r>
              <m:rPr>
                <m:sty m:val="p"/>
              </m:rPr>
              <m:t>M</m:t>
            </m:r>
          </m:sub>
          <m:sup>
            <m:r>
              <m:t>f</m:t>
            </m:r>
          </m:sup>
        </m:sSubSup>
        <m:r>
          <m:rPr>
            <m:sty m:val="p"/>
          </m:rPr>
          <m:t>=</m:t>
        </m:r>
        <m:nary>
          <m:naryPr>
            <m:chr m:val="∑"/>
            <m:limLoc m:val="undOvr"/>
            <m:subHide m:val="off"/>
            <m:supHide m:val="on"/>
          </m:naryPr>
          <m:sub>
            <m:r>
              <m:t>i</m:t>
            </m:r>
          </m:sub>
          <m:sup>
            <m:r>
              <m:t>​</m:t>
            </m:r>
          </m:sup>
          <m:e>
            <m:sSubSup>
              <m:e>
                <m:r>
                  <m:t>E</m:t>
                </m:r>
              </m:e>
              <m:sub>
                <m:r>
                  <m:t>i</m:t>
                </m:r>
              </m:sub>
              <m:sup>
                <m:r>
                  <m:t>f</m:t>
                </m:r>
              </m:sup>
            </m:sSubSup>
          </m:e>
        </m:nary>
      </m:oMath>
      <w:r>
        <w:t xml:space="preserve"> </w:t>
      </w:r>
      <w:r>
        <w:t xml:space="preserve">and</w:t>
      </w:r>
      <w:r>
        <w:t xml:space="preserve"> </w:t>
      </w:r>
      <m:oMath>
        <m:sSubSup>
          <m:e>
            <m:r>
              <m:t>E</m:t>
            </m:r>
          </m:e>
          <m:sub>
            <m:r>
              <m:rPr>
                <m:sty m:val="p"/>
              </m:rPr>
              <m:t>C</m:t>
            </m:r>
            <m:r>
              <m:rPr>
                <m:sty m:val="p"/>
              </m:rPr>
              <m:t>B</m:t>
            </m:r>
            <m:r>
              <m:rPr>
                <m:sty m:val="p"/>
              </m:rPr>
              <m:t>A</m:t>
            </m:r>
            <m:r>
              <m:rPr>
                <m:sty m:val="p"/>
              </m:rPr>
              <m:t>M</m:t>
            </m:r>
          </m:sub>
          <m:sup>
            <m:r>
              <m:t>p</m:t>
            </m:r>
          </m:sup>
        </m:sSubSup>
        <m:r>
          <m:rPr>
            <m:sty m:val="p"/>
          </m:rPr>
          <m:t>=</m:t>
        </m:r>
        <m:nary>
          <m:naryPr>
            <m:chr m:val="∑"/>
            <m:limLoc m:val="undOvr"/>
            <m:subHide m:val="off"/>
            <m:supHide m:val="on"/>
          </m:naryPr>
          <m:sub>
            <m:r>
              <m:t>i</m:t>
            </m:r>
          </m:sub>
          <m:sup>
            <m:r>
              <m:t>​</m:t>
            </m:r>
          </m:sup>
          <m:e>
            <m:sSubSup>
              <m:e>
                <m:r>
                  <m:t>E</m:t>
                </m:r>
              </m:e>
              <m:sub>
                <m:r>
                  <m:t>i</m:t>
                </m:r>
              </m:sub>
              <m:sup>
                <m:r>
                  <m:t>p</m:t>
                </m:r>
              </m:sup>
            </m:sSubSup>
          </m:e>
        </m:nary>
      </m:oMath>
      <w:r>
        <w:t xml:space="preserve">, and export-weighted averages.</w:t>
      </w:r>
    </w:p>
    <w:bookmarkEnd w:id="33"/>
    <w:bookmarkStart w:id="34" w:name="the-walks-from-cpat-to-each-result"/>
    <w:p>
      <w:pPr>
        <w:pStyle w:val="Heading1"/>
        <w:pageBreakBefore/>
        <w:widowControl/>
      </w:pPr>
      <w:r>
        <w:t xml:space="preserve">6. The walks: from CPAT to each result</w:t>
      </w:r>
    </w:p>
    <w:p>
      <w:pPr>
        <w:pStyle w:val="FirstParagraph"/>
        <w:widowControl/>
      </w:pPr>
      <w:r>
        <w:t xml:space="preserve">Each result starts from CPAT and makes a few signed adjustments. Emissions are written</w:t>
      </w:r>
      <w:r>
        <w:t xml:space="preserve"> </w:t>
      </w:r>
      <m:oMath>
        <m:r>
          <m:t>E</m:t>
        </m:r>
      </m:oMath>
      <w:r>
        <w:t xml:space="preserve">, with a subscript for scope and a superscript for fuel (</w:t>
      </w:r>
      <m:oMath>
        <m:r>
          <m:t>f</m:t>
        </m:r>
      </m:oMath>
      <w:r>
        <w:t xml:space="preserve">) or process (</w:t>
      </w:r>
      <m:oMath>
        <m:r>
          <m:t>p</m:t>
        </m:r>
      </m:oMath>
      <w:r>
        <w:t xml:space="preserve">); a hat marks CPAT’s own value (Table 4.1). The workbook’s Calculations sheet shows each walk line by line.</w:t>
      </w:r>
    </w:p>
    <w:p>
      <w:pPr>
        <w:pStyle w:val="BodyText"/>
        <w:widowControl/>
      </w:pPr>
      <w:r>
        <w:rPr>
          <w:bCs/>
          <w:b/>
        </w:rPr>
        <w:t xml:space="preserve">CPAT’s own change for the CBAM products</w:t>
      </w:r>
      <w:r>
        <w:t xml:space="preserve"> </w:t>
      </w:r>
      <w:r>
        <w:t xml:space="preserve">(</w:t>
      </w:r>
      <m:oMath>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w:t>
      </w:r>
      <w:r>
        <w:t xml:space="preserve"> </w:t>
      </w:r>
      <m:oMath>
        <m:r>
          <m:t>Δ</m:t>
        </m:r>
        <m:sSubSup>
          <m:e>
            <m:acc>
              <m:accPr>
                <m:chr m:val="̂"/>
              </m:accPr>
              <m:e>
                <m:r>
                  <m:t>E</m:t>
                </m:r>
              </m:e>
            </m:acc>
          </m:e>
          <m:sub>
            <m:r>
              <m:rPr>
                <m:sty m:val="p"/>
              </m:rPr>
              <m:t>C</m:t>
            </m:r>
            <m:r>
              <m:rPr>
                <m:sty m:val="p"/>
              </m:rPr>
              <m:t>B</m:t>
            </m:r>
            <m:r>
              <m:rPr>
                <m:sty m:val="p"/>
              </m:rPr>
              <m:t>A</m:t>
            </m:r>
            <m:r>
              <m:rPr>
                <m:sty m:val="p"/>
              </m:rPr>
              <m:t>M</m:t>
            </m:r>
          </m:sub>
          <m:sup>
            <m:r>
              <m:t>p</m:t>
            </m:r>
          </m:sup>
        </m:sSubSup>
      </m:oMath>
      <w:r>
        <w:t xml:space="preserve">) is its change in industry energy CO2 and IPPU in a run pricing only those sectors: each run’s own in 3A to 3C, and 3A’s in 1A to 2B.</w:t>
      </w:r>
    </w:p>
    <w:p>
      <w:pPr>
        <w:pStyle w:val="BodyText"/>
        <w:widowControl/>
      </w:pPr>
      <w:r>
        <w:rPr>
          <w:bCs/>
          <w:b/>
        </w:rPr>
        <w:t xml:space="preserve">Walk 1. Emission change,</w:t>
      </w:r>
      <w:r>
        <w:rPr>
          <w:bCs/>
          <w:b/>
        </w:rPr>
        <w:t xml:space="preserve"> </w:t>
      </w:r>
      <m:oMath>
        <m:r>
          <m:t>Δ</m:t>
        </m:r>
        <m:sSub>
          <m:e>
            <m:r>
              <m:t>E</m:t>
            </m:r>
          </m:e>
          <m:sub>
            <m:r>
              <m:rPr>
                <m:sty m:val="p"/>
              </m:rPr>
              <m:t>t</m:t>
            </m:r>
            <m:r>
              <m:rPr>
                <m:sty m:val="p"/>
              </m:rPr>
              <m:t>o</m:t>
            </m:r>
            <m:r>
              <m:rPr>
                <m:sty m:val="p"/>
              </m:rPr>
              <m:t>t</m:t>
            </m:r>
          </m:sub>
        </m:sSub>
      </m:oMath>
      <w:r>
        <w:rPr>
          <w:bCs/>
          <w:b/>
        </w:rPr>
        <w:t xml:space="preserve">.</w:t>
      </w:r>
      <w:r>
        <w:t xml:space="preserve"> </w:t>
      </w:r>
      <w:r>
        <w:t xml:space="preserve">CPAT’s change in national GHG,</w:t>
      </w:r>
      <w:r>
        <w:t xml:space="preserve"> </w:t>
      </w:r>
      <m:oMath>
        <m:r>
          <m:t>Δ</m:t>
        </m:r>
        <m:sSub>
          <m:e>
            <m:acc>
              <m:accPr>
                <m:chr m:val="̂"/>
              </m:accPr>
              <m:e>
                <m:r>
                  <m:t>E</m:t>
                </m:r>
              </m:e>
            </m:acc>
          </m:e>
          <m:sub>
            <m:r>
              <m:rPr>
                <m:sty m:val="p"/>
              </m:rPr>
              <m:t>t</m:t>
            </m:r>
            <m:r>
              <m:rPr>
                <m:sty m:val="p"/>
              </m:rPr>
              <m:t>o</m:t>
            </m:r>
            <m:r>
              <m:rPr>
                <m:sty m:val="p"/>
              </m:rPr>
              <m:t>t</m:t>
            </m:r>
          </m:sub>
        </m:sSub>
      </m:oMath>
      <w:r>
        <w:t xml:space="preserve">, less its own change for the CBAM products, plus the block’s own changes. The emission cut in section 1 is</w:t>
      </w:r>
      <w:r>
        <w:t xml:space="preserve"> </w:t>
      </w:r>
      <m:oMath>
        <m:r>
          <m:rPr>
            <m:sty m:val="p"/>
          </m:rPr>
          <m:t>−</m:t>
        </m:r>
        <m:r>
          <m:t>Δ</m:t>
        </m:r>
        <m:sSub>
          <m:e>
            <m:r>
              <m:t>E</m:t>
            </m:r>
          </m:e>
          <m:sub>
            <m:r>
              <m:rPr>
                <m:sty m:val="p"/>
              </m:rPr>
              <m:t>t</m:t>
            </m:r>
            <m:r>
              <m:rPr>
                <m:sty m:val="p"/>
              </m:rPr>
              <m:t>o</m:t>
            </m:r>
            <m:r>
              <m:rPr>
                <m:sty m:val="p"/>
              </m:rPr>
              <m:t>t</m:t>
            </m:r>
          </m:sub>
        </m:sSub>
      </m:oMath>
      <w:r>
        <w:t xml:space="preserve">:</w:t>
      </w:r>
    </w:p>
    <w:p>
      <w:pPr>
        <w:pStyle w:val="BodyText"/>
        <w:widowControl/>
      </w:pPr>
      <m:oMathPara>
        <m:oMathParaPr>
          <m:jc m:val="center"/>
        </m:oMathParaPr>
        <m:oMath>
          <m:r>
            <m:t>Δ</m:t>
          </m:r>
          <m:sSub>
            <m:e>
              <m:r>
                <m:t>E</m:t>
              </m:r>
            </m:e>
            <m:sub>
              <m:r>
                <m:rPr>
                  <m:sty m:val="p"/>
                </m:rPr>
                <m:t>t</m:t>
              </m:r>
              <m:r>
                <m:rPr>
                  <m:sty m:val="p"/>
                </m:rPr>
                <m:t>o</m:t>
              </m:r>
              <m:r>
                <m:rPr>
                  <m:sty m:val="p"/>
                </m:rPr>
                <m:t>t</m:t>
              </m:r>
            </m:sub>
          </m:sSub>
          <m:r>
            <m:rPr>
              <m:sty m:val="p"/>
            </m:rPr>
            <m:t>=</m:t>
          </m:r>
          <m:r>
            <m:t>Δ</m:t>
          </m:r>
          <m:sSub>
            <m:e>
              <m:acc>
                <m:accPr>
                  <m:chr m:val="̂"/>
                </m:accPr>
                <m:e>
                  <m:r>
                    <m:t>E</m:t>
                  </m:r>
                </m:e>
              </m:acc>
            </m:e>
            <m:sub>
              <m:r>
                <m:rPr>
                  <m:sty m:val="p"/>
                </m:rPr>
                <m:t>t</m:t>
              </m:r>
              <m:r>
                <m:rPr>
                  <m:sty m:val="p"/>
                </m:rPr>
                <m:t>o</m:t>
              </m:r>
              <m:r>
                <m:rPr>
                  <m:sty m:val="p"/>
                </m:rPr>
                <m:t>t</m:t>
              </m:r>
            </m:sub>
          </m:sSub>
          <m:r>
            <m:rPr>
              <m:sty m:val="p"/>
            </m:rPr>
            <m:t>−</m:t>
          </m:r>
          <m:d>
            <m:dPr>
              <m:begChr m:val="("/>
              <m:endChr m:val=")"/>
              <m:sepChr m:val=""/>
              <m:grow/>
            </m:dPr>
            <m:e>
              <m:r>
                <m:t>Δ</m:t>
              </m:r>
              <m:sSubSup>
                <m:e>
                  <m:acc>
                    <m:accPr>
                      <m:chr m:val="̂"/>
                    </m:accPr>
                    <m:e>
                      <m:r>
                        <m:t>E</m:t>
                      </m:r>
                    </m:e>
                  </m:acc>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p</m:t>
                  </m:r>
                </m:sup>
              </m:sSubSup>
            </m:e>
          </m:d>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r>
                <m:t>E</m:t>
              </m:r>
            </m:e>
            <m:sub>
              <m:r>
                <m:rPr>
                  <m:sty m:val="p"/>
                </m:rPr>
                <m:t>C</m:t>
              </m:r>
              <m:r>
                <m:rPr>
                  <m:sty m:val="p"/>
                </m:rPr>
                <m:t>B</m:t>
              </m:r>
              <m:r>
                <m:rPr>
                  <m:sty m:val="p"/>
                </m:rPr>
                <m:t>A</m:t>
              </m:r>
              <m:r>
                <m:rPr>
                  <m:sty m:val="p"/>
                </m:rPr>
                <m:t>M</m:t>
              </m:r>
            </m:sub>
            <m:sup>
              <m:r>
                <m:t>p</m:t>
              </m:r>
            </m:sup>
          </m:sSubSup>
        </m:oMath>
      </m:oMathPara>
    </w:p>
    <w:p>
      <w:pPr>
        <w:pStyle w:val="FirstParagraph"/>
        <w:widowControl/>
      </w:pPr>
      <w:r>
        <w:rPr>
          <w:bCs/>
          <w:b/>
        </w:rPr>
        <w:t xml:space="preserve">Walk 2. Share of national GHG.</w:t>
      </w:r>
      <w:r>
        <w:t xml:space="preserve"> </w:t>
      </w:r>
      <w:r>
        <w:t xml:space="preserve">The change as a share of baseline national GHG is</w:t>
      </w:r>
      <w:r>
        <w:t xml:space="preserv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It uses the 2022 inventory’s energy share:</w:t>
      </w:r>
      <w:r>
        <w:t xml:space="preserve"> </w:t>
      </w:r>
      <m:oMath>
        <m:sSubSup>
          <m:e>
            <m:r>
              <m:t>E</m:t>
            </m:r>
          </m:e>
          <m:sub>
            <m:r>
              <m:rPr>
                <m:sty m:val="p"/>
              </m:rPr>
              <m:t>t</m:t>
            </m:r>
            <m:r>
              <m:rPr>
                <m:sty m:val="p"/>
              </m:rPr>
              <m:t>o</m:t>
            </m:r>
            <m:r>
              <m:rPr>
                <m:sty m:val="p"/>
              </m:rPr>
              <m:t>t</m:t>
            </m:r>
          </m:sub>
          <m:sup>
            <m:r>
              <m:t>0</m:t>
            </m:r>
          </m:sup>
        </m:sSubSup>
        <m:r>
          <m:rPr>
            <m:sty m:val="p"/>
          </m:rPr>
          <m:t>=</m:t>
        </m:r>
        <m:sSubSup>
          <m:e>
            <m:r>
              <m:t>E</m:t>
            </m:r>
          </m:e>
          <m:sub>
            <m:r>
              <m:rPr>
                <m:sty m:val="p"/>
              </m:rPr>
              <m:t>e</m:t>
            </m:r>
            <m:r>
              <m:rPr>
                <m:sty m:val="p"/>
              </m:rPr>
              <m:t>n</m:t>
            </m:r>
          </m:sub>
          <m:sup>
            <m:r>
              <m:t>0</m:t>
            </m:r>
          </m:sup>
        </m:sSubSup>
        <m:r>
          <m:rPr>
            <m:sty m:val="p"/>
          </m:rPr>
          <m:t>/</m:t>
        </m:r>
        <m:r>
          <m:t>0.65</m:t>
        </m:r>
      </m:oMath>
      <w:r>
        <w:t xml:space="preserve"> </w:t>
      </w:r>
      <w:r>
        <w:t xml:space="preserve">= 435 Mt (CPAT: 536 Mt).</w:t>
      </w:r>
    </w:p>
    <w:p>
      <w:pPr>
        <w:pStyle w:val="BodyText"/>
        <w:widowControl/>
      </w:pPr>
      <w:r>
        <w:rPr>
          <w:bCs/>
          <w:b/>
        </w:rPr>
        <w:t xml:space="preserve">Walk 3. Carbon revenue,</w:t>
      </w:r>
      <w:r>
        <w:rPr>
          <w:bCs/>
          <w:b/>
        </w:rPr>
        <w:t xml:space="preserve"> </w:t>
      </w:r>
      <m:oMath>
        <m:r>
          <m:t>R</m:t>
        </m:r>
      </m:oMath>
      <w:r>
        <w:rPr>
          <w:bCs/>
          <w:b/>
        </w:rPr>
        <w:t xml:space="preserve">.</w:t>
      </w:r>
      <w:r>
        <w:t xml:space="preserve"> </w:t>
      </w:r>
      <w:r>
        <w:t xml:space="preserve">CPAT’s receipts, corrected for the CBAM products, plus process fees, less refunds and fund outlays (</w:t>
      </w:r>
      <m:oMath>
        <m:acc>
          <m:accPr>
            <m:chr m:val="̂"/>
          </m:accPr>
          <m:e>
            <m:r>
              <m:t>R</m:t>
            </m:r>
          </m:e>
        </m:acc>
      </m:oMath>
      <w:r>
        <w:t xml:space="preserve"> </w:t>
      </w:r>
      <w:r>
        <w:t xml:space="preserve">is CPAT’s carbon receipts;</w:t>
      </w:r>
      <w:r>
        <w:t xml:space="preserve"> </w:t>
      </w:r>
      <m:oMath>
        <m:sSup>
          <m:e>
            <m:r>
              <m:t>a</m:t>
            </m:r>
          </m:e>
          <m:sup>
            <m:r>
              <m:t>f</m:t>
            </m:r>
          </m:sup>
        </m:sSup>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 </w:t>
      </w:r>
      <w:r>
        <w:t xml:space="preserve">the fuel adjustment;</w:t>
      </w:r>
      <w:r>
        <w:t xml:space="preserve"> </w:t>
      </w:r>
      <m:oMath>
        <m:sSup>
          <m:e>
            <m:r>
              <m:t>R</m:t>
            </m:r>
          </m:e>
          <m:sup>
            <m:r>
              <m:t>B</m:t>
            </m:r>
          </m:sup>
        </m:sSup>
      </m:oMath>
      <w:r>
        <w:t xml:space="preserve"> </w:t>
      </w:r>
      <w:r>
        <w:t xml:space="preserve">the block’s carbon payments):</w:t>
      </w:r>
    </w:p>
    <w:p>
      <w:pPr>
        <w:pStyle w:val="BodyText"/>
        <w:widowControl/>
      </w:pPr>
      <m:oMathPara>
        <m:oMathParaPr>
          <m:jc m:val="center"/>
        </m:oMathParaPr>
        <m:oMath>
          <m:r>
            <m:t>R</m:t>
          </m:r>
          <m:r>
            <m:rPr>
              <m:sty m:val="p"/>
            </m:rPr>
            <m:t>=</m:t>
          </m:r>
          <m:acc>
            <m:accPr>
              <m:chr m:val="̂"/>
            </m:accPr>
            <m:e>
              <m:r>
                <m:t>R</m:t>
              </m:r>
            </m:e>
          </m:acc>
          <m:r>
            <m:rPr>
              <m:sty m:val="p"/>
            </m:rPr>
            <m:t>+</m:t>
          </m:r>
          <m:d>
            <m:dPr>
              <m:begChr m:val="{"/>
              <m:endChr m:val=""/>
              <m:sepChr m:val=""/>
              <m:grow/>
            </m:dPr>
            <m:e>
              <m:m>
                <m:mPr>
                  <m:baseJc m:val="center"/>
                  <m:plcHide m:val="on"/>
                  <m:mcs>
                    <m:mc>
                      <m:mcPr>
                        <m:mcJc m:val="left"/>
                        <m:count m:val="1"/>
                      </m:mcPr>
                    </m:mc>
                    <m:mc>
                      <m:mcPr>
                        <m:mcJc m:val="left"/>
                        <m:count m:val="1"/>
                      </m:mcPr>
                    </m:mc>
                  </m:mcs>
                </m:mPr>
                <m:mr>
                  <m:e>
                    <m:r>
                      <m:t>τ</m:t>
                    </m:r>
                    <m:r>
                      <m:t> </m:t>
                    </m:r>
                    <m:sSup>
                      <m:e>
                        <m:r>
                          <m:t>a</m:t>
                        </m:r>
                      </m:e>
                      <m:sup>
                        <m:r>
                          <m:t>f</m:t>
                        </m:r>
                      </m:sup>
                    </m:sSup>
                  </m:e>
                  <m:e>
                    <m:r>
                      <m:rPr>
                        <m:nor/>
                        <m:sty m:val="p"/>
                      </m:rPr>
                      <m:t>1A to 2B</m:t>
                    </m:r>
                  </m:e>
                </m:mr>
                <m:mr>
                  <m:e>
                    <m:r>
                      <m:t>τ</m:t>
                    </m:r>
                    <m:sSubSup>
                      <m:e>
                        <m:r>
                          <m:t>E</m:t>
                        </m:r>
                      </m:e>
                      <m:sub>
                        <m:r>
                          <m:rPr>
                            <m:sty m:val="p"/>
                          </m:rPr>
                          <m:t>C</m:t>
                        </m:r>
                        <m:r>
                          <m:rPr>
                            <m:sty m:val="p"/>
                          </m:rPr>
                          <m:t>B</m:t>
                        </m:r>
                        <m:r>
                          <m:rPr>
                            <m:sty m:val="p"/>
                          </m:rPr>
                          <m:t>A</m:t>
                        </m:r>
                        <m:r>
                          <m:rPr>
                            <m:sty m:val="p"/>
                          </m:rPr>
                          <m:t>M</m:t>
                        </m:r>
                      </m:sub>
                      <m:sup>
                        <m:r>
                          <m:t>f</m:t>
                        </m:r>
                      </m:sup>
                    </m:sSubSup>
                    <m:r>
                      <m:rPr>
                        <m:sty m:val="p"/>
                      </m:rPr>
                      <m:t>−</m:t>
                    </m:r>
                    <m:acc>
                      <m:accPr>
                        <m:chr m:val="̂"/>
                      </m:accPr>
                      <m:e>
                        <m:r>
                          <m:t>R</m:t>
                        </m:r>
                      </m:e>
                    </m:acc>
                  </m:e>
                  <m:e>
                    <m:r>
                      <m:rPr>
                        <m:nor/>
                        <m:sty m:val="p"/>
                      </m:rPr>
                      <m:t>3A to 3C</m:t>
                    </m:r>
                  </m:e>
                </m:mr>
              </m:m>
            </m:e>
          </m:d>
          <m:r>
            <m:rPr>
              <m:sty m:val="p"/>
            </m:rPr>
            <m:t>+</m:t>
          </m:r>
          <m:r>
            <m:t>π</m:t>
          </m:r>
          <m:r>
            <m:t>τ</m:t>
          </m:r>
          <m:sSubSup>
            <m:e>
              <m:r>
                <m:t>E</m:t>
              </m:r>
            </m:e>
            <m:sub>
              <m:r>
                <m:rPr>
                  <m:sty m:val="p"/>
                </m:rPr>
                <m:t>C</m:t>
              </m:r>
              <m:r>
                <m:rPr>
                  <m:sty m:val="p"/>
                </m:rPr>
                <m:t>B</m:t>
              </m:r>
              <m:r>
                <m:rPr>
                  <m:sty m:val="p"/>
                </m:rPr>
                <m:t>A</m:t>
              </m:r>
              <m:r>
                <m:rPr>
                  <m:sty m:val="p"/>
                </m:rPr>
                <m:t>M</m:t>
              </m:r>
            </m:sub>
            <m:sup>
              <m:r>
                <m:t>p</m:t>
              </m:r>
            </m:sup>
          </m:sSubSup>
          <m:r>
            <m:rPr>
              <m:sty m:val="p"/>
            </m:rPr>
            <m:t>−</m:t>
          </m:r>
          <m:d>
            <m:dPr>
              <m:begChr m:val="("/>
              <m:endChr m:val=")"/>
              <m:sepChr m:val=""/>
              <m:grow/>
            </m:dPr>
            <m:e>
              <m:r>
                <m:t>θ</m:t>
              </m:r>
              <m:r>
                <m:rPr>
                  <m:sty m:val="p"/>
                </m:rPr>
                <m:t>+</m:t>
              </m:r>
              <m:r>
                <m:t>φ</m:t>
              </m:r>
            </m:e>
          </m:d>
          <m:r>
            <m:t> </m:t>
          </m:r>
          <m:sSup>
            <m:e>
              <m:r>
                <m:t>R</m:t>
              </m:r>
            </m:e>
            <m:sup>
              <m:r>
                <m:t>B</m:t>
              </m:r>
            </m:sup>
          </m:sSup>
        </m:oMath>
      </m:oMathPara>
    </w:p>
    <w:p>
      <w:pPr>
        <w:pStyle w:val="FirstParagraph"/>
        <w:widowControl/>
      </w:pPr>
      <w:r>
        <w:rPr>
          <w:bCs/>
          <w:b/>
        </w:rPr>
        <w:t xml:space="preserve">Walk 4. Deaths avoided,</w:t>
      </w:r>
      <w:r>
        <w:rPr>
          <w:bCs/>
          <w:b/>
        </w:rPr>
        <w:t xml:space="preserve"> </w:t>
      </w:r>
      <m:oMath>
        <m:r>
          <m:t>D</m:t>
        </m:r>
      </m:oMath>
      <w:r>
        <w:t xml:space="preserve"> </w:t>
      </w:r>
      <w:r>
        <w:t xml:space="preserve">(in 2030, not cumulative). CPAT’s count</w:t>
      </w:r>
      <w:r>
        <w:t xml:space="preserve"> </w:t>
      </w:r>
      <m:oMath>
        <m:acc>
          <m:accPr>
            <m:chr m:val="̂"/>
          </m:accPr>
          <m:e>
            <m:r>
              <m:t>D</m:t>
            </m:r>
          </m:e>
        </m:acc>
      </m:oMath>
      <w:r>
        <w:t xml:space="preserve"> </w:t>
      </w:r>
      <w:r>
        <w:t xml:space="preserve">is scaled by the fuel adjustment relative to its national energy CO2 change</w:t>
      </w:r>
      <w:r>
        <w:t xml:space="preserve"> </w:t>
      </w:r>
      <m:oMath>
        <m:r>
          <m:t>Δ</m:t>
        </m:r>
        <m:sSub>
          <m:e>
            <m:acc>
              <m:accPr>
                <m:chr m:val="̂"/>
              </m:accPr>
              <m:e>
                <m:r>
                  <m:t>E</m:t>
                </m:r>
              </m:e>
            </m:acc>
          </m:e>
          <m:sub>
            <m:r>
              <m:rPr>
                <m:sty m:val="p"/>
              </m:rPr>
              <m:t>e</m:t>
            </m:r>
            <m:r>
              <m:rPr>
                <m:sty m:val="p"/>
              </m:rPr>
              <m:t>n</m:t>
            </m:r>
          </m:sub>
        </m:sSub>
      </m:oMath>
      <w:r>
        <w:t xml:space="preserve">. In 3A and 3C, where CPAT’s counts are distorted by fuel switching, 3B’s deaths are scaled by the emission change (superscript 3B marks the 3B value):</w:t>
      </w:r>
    </w:p>
    <w:p>
      <w:pPr>
        <w:pStyle w:val="BodyText"/>
        <w:widowControl/>
      </w:pPr>
      <m:oMathPara>
        <m:oMathParaPr>
          <m:jc m:val="center"/>
        </m:oMathParaPr>
        <m:oMath>
          <m:r>
            <m:t>D</m:t>
          </m:r>
          <m:r>
            <m:rPr>
              <m:sty m:val="p"/>
            </m:rPr>
            <m:t>=</m:t>
          </m:r>
          <m:acc>
            <m:accPr>
              <m:chr m:val="̂"/>
            </m:accPr>
            <m:e>
              <m:r>
                <m:t>D</m:t>
              </m:r>
            </m:e>
          </m:acc>
          <m:d>
            <m:dPr>
              <m:begChr m:val="("/>
              <m:endChr m:val=")"/>
              <m:sepChr m:val=""/>
              <m:grow/>
            </m:dPr>
            <m:e>
              <m:r>
                <m:t>1</m:t>
              </m:r>
              <m:r>
                <m:rPr>
                  <m:sty m:val="p"/>
                </m:rPr>
                <m:t>+</m:t>
              </m:r>
              <m:f>
                <m:fPr>
                  <m:type m:val="bar"/>
                </m:fPr>
                <m:num>
                  <m:sSup>
                    <m:e>
                      <m:r>
                        <m:t>a</m:t>
                      </m:r>
                    </m:e>
                    <m:sup>
                      <m:r>
                        <m:t>f</m:t>
                      </m:r>
                    </m:sup>
                  </m:sSup>
                </m:num>
                <m:den>
                  <m:r>
                    <m:t>Δ</m:t>
                  </m:r>
                  <m:sSub>
                    <m:e>
                      <m:acc>
                        <m:accPr>
                          <m:chr m:val="̂"/>
                        </m:accPr>
                        <m:e>
                          <m:r>
                            <m:t>E</m:t>
                          </m:r>
                        </m:e>
                      </m:acc>
                    </m:e>
                    <m:sub>
                      <m:r>
                        <m:rPr>
                          <m:sty m:val="p"/>
                        </m:rPr>
                        <m:t>e</m:t>
                      </m:r>
                      <m:r>
                        <m:rPr>
                          <m:sty m:val="p"/>
                        </m:rPr>
                        <m:t>n</m:t>
                      </m:r>
                    </m:sub>
                  </m:sSub>
                </m:den>
              </m:f>
            </m:e>
          </m:d>
          <m:r>
            <m:t> </m:t>
          </m:r>
          <m:r>
            <m:rPr>
              <m:nor/>
              <m:sty m:val="p"/>
            </m:rPr>
            <m:t>for 1A to 2B and 3B;</m:t>
          </m:r>
          <m:r>
            <m:t>  </m:t>
          </m:r>
          <m:r>
            <m:t>D</m:t>
          </m:r>
          <m:r>
            <m:rPr>
              <m:sty m:val="p"/>
            </m:rPr>
            <m:t>=</m:t>
          </m:r>
          <m:sSup>
            <m:e>
              <m:r>
                <m:t>D</m:t>
              </m:r>
            </m:e>
            <m:sup>
              <m:r>
                <m:t>3</m:t>
              </m:r>
              <m:r>
                <m:t>B</m:t>
              </m:r>
            </m:sup>
          </m:sSup>
          <m:r>
            <m:t> </m:t>
          </m:r>
          <m:f>
            <m:fPr>
              <m:type m:val="bar"/>
            </m:fPr>
            <m:num>
              <m:r>
                <m:t>Δ</m:t>
              </m:r>
              <m:sSub>
                <m:e>
                  <m:r>
                    <m:t>E</m:t>
                  </m:r>
                </m:e>
                <m:sub>
                  <m:r>
                    <m:rPr>
                      <m:sty m:val="p"/>
                    </m:rPr>
                    <m:t>t</m:t>
                  </m:r>
                  <m:r>
                    <m:rPr>
                      <m:sty m:val="p"/>
                    </m:rPr>
                    <m:t>o</m:t>
                  </m:r>
                  <m:r>
                    <m:rPr>
                      <m:sty m:val="p"/>
                    </m:rPr>
                    <m:t>t</m:t>
                  </m:r>
                </m:sub>
              </m:sSub>
            </m:num>
            <m:den>
              <m:r>
                <m:t>Δ</m:t>
              </m:r>
              <m:sSubSup>
                <m:e>
                  <m:r>
                    <m:t>E</m:t>
                  </m:r>
                </m:e>
                <m:sub>
                  <m:r>
                    <m:rPr>
                      <m:sty m:val="p"/>
                    </m:rPr>
                    <m:t>t</m:t>
                  </m:r>
                  <m:r>
                    <m:rPr>
                      <m:sty m:val="p"/>
                    </m:rPr>
                    <m:t>o</m:t>
                  </m:r>
                  <m:r>
                    <m:rPr>
                      <m:sty m:val="p"/>
                    </m:rPr>
                    <m:t>t</m:t>
                  </m:r>
                </m:sub>
                <m:sup>
                  <m:r>
                    <m:t>3</m:t>
                  </m:r>
                  <m:r>
                    <m:t>B</m:t>
                  </m:r>
                </m:sup>
              </m:sSubSup>
            </m:den>
          </m:f>
          <m:r>
            <m:t> </m:t>
          </m:r>
          <m:r>
            <m:rPr>
              <m:nor/>
              <m:sty m:val="p"/>
            </m:rPr>
            <m:t>for 3A and 3C</m:t>
          </m:r>
        </m:oMath>
      </m:oMathPara>
    </w:p>
    <w:p>
      <w:pPr>
        <w:pStyle w:val="FirstParagraph"/>
        <w:widowControl/>
      </w:pPr>
      <w:r>
        <w:rPr>
          <w:bCs/>
          <w:b/>
        </w:rPr>
        <w:t xml:space="preserve">Walk 5. Coverage of national GHG,</w:t>
      </w:r>
      <w:r>
        <w:rPr>
          <w:bCs/>
          <w:b/>
        </w:rPr>
        <w:t xml:space="preserve"> </w:t>
      </w:r>
      <m:oMath>
        <m:r>
          <m:t>C</m:t>
        </m:r>
      </m:oMath>
      <w:r>
        <w:rPr>
          <w:bCs/>
          <w:b/>
        </w:rPr>
        <w:t xml:space="preserve">.</w:t>
      </w:r>
      <w:r>
        <w:t xml:space="preserve"> </w:t>
      </w:r>
      <w:r>
        <w:t xml:space="preserve">CPAT’s priced share</w:t>
      </w:r>
      <w:r>
        <w:t xml:space="preserve"> </w:t>
      </w:r>
      <m:oMath>
        <m:r>
          <m:t>ω</m:t>
        </m:r>
      </m:oMath>
      <w:r>
        <w:t xml:space="preserve"> </w:t>
      </w:r>
      <w:r>
        <w:t xml:space="preserve">of baseline energy CO2, plus block process emissions when priced; 3A to 3C are set to 11.1% (note to the table in section 1):</w:t>
      </w:r>
    </w:p>
    <w:p>
      <w:pPr>
        <w:pStyle w:val="BodyText"/>
        <w:widowControl/>
      </w:pPr>
      <m:oMathPara>
        <m:oMathParaPr>
          <m:jc m:val="center"/>
        </m:oMathParaPr>
        <m:oMath>
          <m:r>
            <m:t>C</m:t>
          </m:r>
          <m:r>
            <m:rPr>
              <m:sty m:val="p"/>
            </m:rPr>
            <m:t>=</m:t>
          </m:r>
          <m:f>
            <m:fPr>
              <m:type m:val="bar"/>
            </m:fPr>
            <m:num>
              <m:r>
                <m:t>ω</m:t>
              </m:r>
              <m:r>
                <m:t> </m:t>
              </m:r>
              <m:sSubSup>
                <m:e>
                  <m:r>
                    <m:t>E</m:t>
                  </m:r>
                </m:e>
                <m:sub>
                  <m:r>
                    <m:rPr>
                      <m:sty m:val="p"/>
                    </m:rPr>
                    <m:t>e</m:t>
                  </m:r>
                  <m:r>
                    <m:rPr>
                      <m:sty m:val="p"/>
                    </m:rPr>
                    <m:t>n</m:t>
                  </m:r>
                </m:sub>
                <m:sup>
                  <m:r>
                    <m:t>0</m:t>
                  </m:r>
                </m:sup>
              </m:sSubSup>
              <m:r>
                <m:rPr>
                  <m:sty m:val="p"/>
                </m:rPr>
                <m:t>+</m:t>
              </m:r>
              <m:r>
                <m:t>π</m:t>
              </m:r>
              <m:sSubSup>
                <m:e>
                  <m:r>
                    <m:t>E</m:t>
                  </m:r>
                </m:e>
                <m:sub>
                  <m:r>
                    <m:rPr>
                      <m:sty m:val="p"/>
                    </m:rPr>
                    <m:t>C</m:t>
                  </m:r>
                  <m:r>
                    <m:rPr>
                      <m:sty m:val="p"/>
                    </m:rPr>
                    <m:t>B</m:t>
                  </m:r>
                  <m:r>
                    <m:rPr>
                      <m:sty m:val="p"/>
                    </m:rPr>
                    <m:t>A</m:t>
                  </m:r>
                  <m:r>
                    <m:rPr>
                      <m:sty m:val="p"/>
                    </m:rPr>
                    <m:t>M</m:t>
                  </m:r>
                </m:sub>
                <m:sup>
                  <m:r>
                    <m:t>p</m:t>
                  </m:r>
                  <m:r>
                    <m:rPr>
                      <m:sty m:val="p"/>
                    </m:rPr>
                    <m:t>,</m:t>
                  </m:r>
                  <m:r>
                    <m:t>0</m:t>
                  </m:r>
                </m:sup>
              </m:sSubSup>
            </m:num>
            <m:den>
              <m:sSubSup>
                <m:e>
                  <m:r>
                    <m:t>E</m:t>
                  </m:r>
                </m:e>
                <m:sub>
                  <m:r>
                    <m:rPr>
                      <m:sty m:val="p"/>
                    </m:rPr>
                    <m:t>t</m:t>
                  </m:r>
                  <m:r>
                    <m:rPr>
                      <m:sty m:val="p"/>
                    </m:rPr>
                    <m:t>o</m:t>
                  </m:r>
                  <m:r>
                    <m:rPr>
                      <m:sty m:val="p"/>
                    </m:rPr>
                    <m:t>t</m:t>
                  </m:r>
                </m:sub>
                <m:sup>
                  <m:r>
                    <m:t>0</m:t>
                  </m:r>
                </m:sup>
              </m:sSubSup>
            </m:den>
          </m:f>
        </m:oMath>
      </m:oMathPara>
    </w:p>
    <w:p>
      <w:pPr>
        <w:pStyle w:val="FirstParagraph"/>
        <w:widowControl/>
      </w:pPr>
      <w:r>
        <w:rPr>
          <w:bCs/>
          <w:b/>
        </w:rPr>
        <w:t xml:space="preserve">Walk 6. CBAM block emissions.</w:t>
      </w:r>
      <w:r>
        <w:t xml:space="preserve"> </w:t>
      </w:r>
      <m:oMath>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f</m:t>
            </m:r>
          </m:sup>
        </m:sSubSup>
        <m:r>
          <m:rPr>
            <m:sty m:val="p"/>
          </m:rPr>
          <m:t>+</m:t>
        </m:r>
        <m:sSubSup>
          <m:e>
            <m:r>
              <m:t>E</m:t>
            </m:r>
          </m:e>
          <m:sub>
            <m:r>
              <m:rPr>
                <m:sty m:val="p"/>
              </m:rPr>
              <m:t>C</m:t>
            </m:r>
            <m:r>
              <m:rPr>
                <m:sty m:val="p"/>
              </m:rPr>
              <m:t>B</m:t>
            </m:r>
            <m:r>
              <m:rPr>
                <m:sty m:val="p"/>
              </m:rPr>
              <m:t>A</m:t>
            </m:r>
            <m:r>
              <m:rPr>
                <m:sty m:val="p"/>
              </m:rPr>
              <m:t>M</m:t>
            </m:r>
          </m:sub>
          <m:sup>
            <m:r>
              <m:t>p</m:t>
            </m:r>
          </m:sup>
        </m:sSubSup>
      </m:oMath>
      <w:r>
        <w:t xml:space="preserve"> </w:t>
      </w:r>
      <w:r>
        <w:t xml:space="preserve">is block emissions, and</w:t>
      </w:r>
      <w:r>
        <w:t xml:space="preserve"> </w:t>
      </w:r>
      <m:oMath>
        <m:sSub>
          <m:e>
            <m:acc>
              <m:accPr>
                <m:chr m:val="̃"/>
              </m:accPr>
              <m:e>
                <m:r>
                  <m:t>E</m:t>
                </m:r>
              </m:e>
            </m:acc>
          </m:e>
          <m:sub>
            <m:r>
              <m:rPr>
                <m:sty m:val="p"/>
              </m:rPr>
              <m:t>C</m:t>
            </m:r>
            <m:r>
              <m:rPr>
                <m:sty m:val="p"/>
              </m:rPr>
              <m:t>B</m:t>
            </m:r>
            <m:r>
              <m:rPr>
                <m:sty m:val="p"/>
              </m:rPr>
              <m:t>A</m:t>
            </m:r>
            <m:r>
              <m:rPr>
                <m:sty m:val="p"/>
              </m:rPr>
              <m:t>M</m:t>
            </m:r>
          </m:sub>
        </m:sSub>
      </m:oMath>
      <w:r>
        <w:t xml:space="preserve"> </w:t>
      </w:r>
      <w:r>
        <w:t xml:space="preserve">the same at baseline intensity and policy output. The results are the change in block emissions,</w:t>
      </w:r>
      <w:r>
        <w:t xml:space="preserve">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the change in emissions intensity,</w:t>
      </w:r>
      <w:r>
        <w:t xml:space="preserve"> </w:t>
      </w:r>
      <m:oMath>
        <m:r>
          <m:t>I</m:t>
        </m:r>
      </m:oMath>
      <w:r>
        <w:t xml:space="preserve">; and the priced share of block emissions,</w:t>
      </w:r>
      <w:r>
        <w:t xml:space="preserve"> </w:t>
      </w:r>
      <m:oMath>
        <m:r>
          <m:t>S</m:t>
        </m:r>
      </m:oMath>
      <w:r>
        <w:t xml:space="preserve">:</w:t>
      </w:r>
    </w:p>
    <w:p>
      <w:pPr>
        <w:pStyle w:val="BodyText"/>
        <w:widowControl/>
      </w:pPr>
      <m:oMathPara>
        <m:oMathParaPr>
          <m:jc m:val="center"/>
        </m:oMathParaPr>
        <m:oMath>
          <m:f>
            <m:fPr>
              <m:type m:val="bar"/>
            </m:fPr>
            <m:num>
              <m:r>
                <m:t>Δ</m:t>
              </m:r>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f>
            <m:fPr>
              <m:type m:val="bar"/>
            </m:fPr>
            <m:num>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r>
            <m:t>1</m:t>
          </m:r>
          <m:r>
            <m:rPr>
              <m:sty m:val="p"/>
            </m:rPr>
            <m:t>,</m:t>
          </m:r>
          <m:r>
            <m:t>  </m:t>
          </m:r>
          <m:r>
            <m:t>I</m:t>
          </m:r>
          <m:r>
            <m:rPr>
              <m:sty m:val="p"/>
            </m:rPr>
            <m:t>=</m:t>
          </m:r>
          <m:f>
            <m:fPr>
              <m:type m:val="bar"/>
            </m:fPr>
            <m:num>
              <m:sSub>
                <m:e>
                  <m:r>
                    <m:t>E</m:t>
                  </m:r>
                </m:e>
                <m:sub>
                  <m:r>
                    <m:rPr>
                      <m:sty m:val="p"/>
                    </m:rPr>
                    <m:t>C</m:t>
                  </m:r>
                  <m:r>
                    <m:rPr>
                      <m:sty m:val="p"/>
                    </m:rPr>
                    <m:t>B</m:t>
                  </m:r>
                  <m:r>
                    <m:rPr>
                      <m:sty m:val="p"/>
                    </m:rPr>
                    <m:t>A</m:t>
                  </m:r>
                  <m:r>
                    <m:rPr>
                      <m:sty m:val="p"/>
                    </m:rPr>
                    <m:t>M</m:t>
                  </m:r>
                </m:sub>
              </m:sSub>
            </m:num>
            <m:den>
              <m:sSub>
                <m:e>
                  <m:acc>
                    <m:accPr>
                      <m:chr m:val="̃"/>
                    </m:accPr>
                    <m:e>
                      <m:r>
                        <m:t>E</m:t>
                      </m:r>
                    </m:e>
                  </m:acc>
                </m:e>
                <m:sub>
                  <m:r>
                    <m:rPr>
                      <m:sty m:val="p"/>
                    </m:rPr>
                    <m:t>C</m:t>
                  </m:r>
                  <m:r>
                    <m:rPr>
                      <m:sty m:val="p"/>
                    </m:rPr>
                    <m:t>B</m:t>
                  </m:r>
                  <m:r>
                    <m:rPr>
                      <m:sty m:val="p"/>
                    </m:rPr>
                    <m:t>A</m:t>
                  </m:r>
                  <m:r>
                    <m:rPr>
                      <m:sty m:val="p"/>
                    </m:rPr>
                    <m:t>M</m:t>
                  </m:r>
                </m:sub>
              </m:sSub>
            </m:den>
          </m:f>
          <m:r>
            <m:rPr>
              <m:sty m:val="p"/>
            </m:rPr>
            <m:t>−</m:t>
          </m:r>
          <m:r>
            <m:t>1</m:t>
          </m:r>
          <m:r>
            <m:rPr>
              <m:sty m:val="p"/>
            </m:rPr>
            <m:t>,</m:t>
          </m:r>
          <m:r>
            <m:t>  </m:t>
          </m:r>
          <m:r>
            <m:t>S</m:t>
          </m:r>
          <m:r>
            <m:rPr>
              <m:sty m:val="p"/>
            </m:rPr>
            <m:t>=</m:t>
          </m:r>
          <m:f>
            <m:fPr>
              <m:type m:val="bar"/>
            </m:fPr>
            <m:num>
              <m:sSubSup>
                <m:e>
                  <m:r>
                    <m:t>E</m:t>
                  </m:r>
                </m:e>
                <m:sub>
                  <m:r>
                    <m:rPr>
                      <m:sty m:val="p"/>
                    </m:rPr>
                    <m:t>C</m:t>
                  </m:r>
                  <m:r>
                    <m:rPr>
                      <m:sty m:val="p"/>
                    </m:rPr>
                    <m:t>B</m:t>
                  </m:r>
                  <m:r>
                    <m:rPr>
                      <m:sty m:val="p"/>
                    </m:rPr>
                    <m:t>A</m:t>
                  </m:r>
                  <m:r>
                    <m:rPr>
                      <m:sty m:val="p"/>
                    </m:rPr>
                    <m:t>M</m:t>
                  </m:r>
                </m:sub>
                <m:sup>
                  <m:r>
                    <m:t>f</m:t>
                  </m:r>
                </m:sup>
              </m:sSubSup>
              <m:r>
                <m:rPr>
                  <m:sty m:val="p"/>
                </m:rPr>
                <m:t>+</m:t>
              </m:r>
              <m:r>
                <m:t>π</m:t>
              </m:r>
              <m:sSubSup>
                <m:e>
                  <m:r>
                    <m:t>E</m:t>
                  </m:r>
                </m:e>
                <m:sub>
                  <m:r>
                    <m:rPr>
                      <m:sty m:val="p"/>
                    </m:rPr>
                    <m:t>C</m:t>
                  </m:r>
                  <m:r>
                    <m:rPr>
                      <m:sty m:val="p"/>
                    </m:rPr>
                    <m:t>B</m:t>
                  </m:r>
                  <m:r>
                    <m:rPr>
                      <m:sty m:val="p"/>
                    </m:rPr>
                    <m:t>A</m:t>
                  </m:r>
                  <m:r>
                    <m:rPr>
                      <m:sty m:val="p"/>
                    </m:rPr>
                    <m:t>M</m:t>
                  </m:r>
                </m:sub>
                <m:sup>
                  <m:r>
                    <m:t>p</m:t>
                  </m:r>
                </m:sup>
              </m:sSubSup>
            </m:num>
            <m:den>
              <m:sSub>
                <m:e>
                  <m:r>
                    <m:t>E</m:t>
                  </m:r>
                </m:e>
                <m:sub>
                  <m:r>
                    <m:rPr>
                      <m:sty m:val="p"/>
                    </m:rPr>
                    <m:t>C</m:t>
                  </m:r>
                  <m:r>
                    <m:rPr>
                      <m:sty m:val="p"/>
                    </m:rPr>
                    <m:t>B</m:t>
                  </m:r>
                  <m:r>
                    <m:rPr>
                      <m:sty m:val="p"/>
                    </m:rPr>
                    <m:t>A</m:t>
                  </m:r>
                  <m:r>
                    <m:rPr>
                      <m:sty m:val="p"/>
                    </m:rPr>
                    <m:t>M</m:t>
                  </m:r>
                </m:sub>
              </m:sSub>
            </m:den>
          </m:f>
        </m:oMath>
      </m:oMathPara>
    </w:p>
    <w:bookmarkEnd w:id="34"/>
    <w:bookmarkStart w:id="35" w:name="cbam-obligations"/>
    <w:p>
      <w:pPr>
        <w:pStyle w:val="Heading1"/>
        <w:pageBreakBefore/>
        <w:widowControl/>
      </w:pPr>
      <w:r>
        <w:t xml:space="preserve">7. CBAM obligations</w:t>
      </w:r>
    </w:p>
    <w:p>
      <w:pPr>
        <w:pStyle w:val="FirstParagraph"/>
        <w:widowControl/>
      </w:pPr>
      <w:r>
        <w:t xml:space="preserve">The obligation is measured per tonne of EU exports, so export volume does not enter. Three rules decide whether Egypt’s carbon price can be credited against it: an explicit carbon price counts; an output-based rebate (the 3B feebate) makes it ineligible; and an abatement fund (3C) neither adds to the price credited nor invalidates it.</w:t>
      </w:r>
    </w:p>
    <w:p>
      <w:pPr>
        <w:pStyle w:val="BodyText"/>
        <w:widowControl/>
      </w:pPr>
      <w:r>
        <w:rPr>
          <w:bCs/>
          <w:b/>
        </w:rPr>
        <w:t xml:space="preserve">Walk 7. Obligation per tonne exported,</w:t>
      </w:r>
      <w:r>
        <w:rPr>
          <w:bCs/>
          <w:b/>
        </w:rPr>
        <w:t xml:space="preserve"> </w:t>
      </w:r>
      <m:oMath>
        <m:r>
          <m:t>Ω</m:t>
        </m:r>
      </m:oMath>
      <w:r>
        <w:rPr>
          <w:bCs/>
          <w:b/>
        </w:rPr>
        <w:t xml:space="preserve">.</w:t>
      </w:r>
      <w:r>
        <w:t xml:space="preserve"> </w:t>
      </w:r>
      <w:r>
        <w:t xml:space="preserve">The EU price after phase-in, times the emissions intensity of EU exports, minus the Egyptian carbon price where it is eligible (</w:t>
      </w:r>
      <m:oMath>
        <m:r>
          <m:t>γ</m:t>
        </m:r>
      </m:oMath>
      <w:r>
        <w:t xml:space="preserve"> </w:t>
      </w:r>
      <w:r>
        <w:t xml:space="preserve">is the 2030 CBAM phase-in factor, 0.485;</w:t>
      </w:r>
      <w:r>
        <w:t xml:space="preserve"> </w:t>
      </w:r>
      <m:oMath>
        <m:sSup>
          <m:e>
            <m:r>
              <m:t>p</m:t>
            </m:r>
          </m:e>
          <m:sup>
            <m:r>
              <m:rPr>
                <m:sty m:val="p"/>
              </m:rPr>
              <m:t>E</m:t>
            </m:r>
            <m:r>
              <m:rPr>
                <m:sty m:val="p"/>
              </m:rPr>
              <m:t>U</m:t>
            </m:r>
          </m:sup>
        </m:sSup>
      </m:oMath>
      <w:r>
        <w:t xml:space="preserve"> </w:t>
      </w:r>
      <w:r>
        <w:t xml:space="preserve">the EU certificate price, $125/t;</w:t>
      </w:r>
      <w:r>
        <w:t xml:space="preserve"> </w:t>
      </w:r>
      <m:oMath>
        <m:sSub>
          <m:e>
            <m:r>
              <m:t>X</m:t>
            </m:r>
          </m:e>
          <m:sub>
            <m:r>
              <m:t>i</m:t>
            </m:r>
          </m:sub>
        </m:sSub>
      </m:oMath>
      <w:r>
        <w:t xml:space="preserve"> </w:t>
      </w:r>
      <w:r>
        <w:t xml:space="preserve">EU exports of product</w:t>
      </w:r>
      <w:r>
        <w:t xml:space="preserve"> </w:t>
      </w:r>
      <m:oMath>
        <m:r>
          <m:t>i</m:t>
        </m:r>
      </m:oMath>
      <w:r>
        <w:t xml:space="preserve">;</w:t>
      </w:r>
      <w:r>
        <w:t xml:space="preserve"> </w:t>
      </w:r>
      <m:oMath>
        <m:sSub>
          <m:e>
            <m:r>
              <m:t>σ</m:t>
            </m:r>
          </m:e>
          <m:sub>
            <m:r>
              <m:t>i</m:t>
            </m:r>
          </m:sub>
        </m:sSub>
      </m:oMath>
      <w:r>
        <w:t xml:space="preserve"> </w:t>
      </w:r>
      <w:r>
        <w:t xml:space="preserve">its emissions intensity;</w:t>
      </w:r>
      <w:r>
        <w:t xml:space="preserve"> </w:t>
      </w:r>
      <m:oMath>
        <m:acc>
          <m:accPr>
            <m:chr m:val="‾"/>
          </m:accPr>
          <m:e>
            <m:r>
              <m:t>σ</m:t>
            </m:r>
          </m:e>
        </m:acc>
      </m:oMath>
      <w:r>
        <w:t xml:space="preserve"> </w:t>
      </w:r>
      <w:r>
        <w:t xml:space="preserve">the export-weighted average;</w:t>
      </w:r>
      <w:r>
        <w:t xml:space="preserve"> </w:t>
      </w:r>
      <m:oMath>
        <m:r>
          <m:t>κ</m:t>
        </m:r>
      </m:oMath>
      <w:r>
        <w:t xml:space="preserve"> </w:t>
      </w:r>
      <w:r>
        <w:t xml:space="preserve">the deduction scaling, 1 for full credit;</w:t>
      </w:r>
      <w:r>
        <w:t xml:space="preserve"> </w:t>
      </w:r>
      <m:oMath>
        <m:acc>
          <m:accPr>
            <m:chr m:val="‾"/>
          </m:accPr>
          <m:e>
            <m:r>
              <m:t>d</m:t>
            </m:r>
          </m:e>
        </m:acc>
      </m:oMath>
      <w:r>
        <w:t xml:space="preserve"> </w:t>
      </w:r>
      <w:r>
        <w:t xml:space="preserve">export-weighted carbon paid per tonne;</w:t>
      </w:r>
      <w:r>
        <w:t xml:space="preserve"> </w:t>
      </w:r>
      <m:oMath>
        <m:r>
          <m:t>1</m:t>
        </m:r>
        <m:r>
          <m:rPr>
            <m:sty m:val="p"/>
          </m:rPr>
          <m:t>−</m:t>
        </m:r>
        <m:r>
          <m:t>θ</m:t>
        </m:r>
      </m:oMath>
      <w:r>
        <w:t xml:space="preserve"> </w:t>
      </w:r>
      <w:r>
        <w:t xml:space="preserve">the eligibility, zero in 3B). The result is the change</w:t>
      </w:r>
      <w:r>
        <w:t xml:space="preserve"> </w:t>
      </w:r>
      <m:oMath>
        <m:r>
          <m:t>Δ</m:t>
        </m:r>
        <m:r>
          <m:t>Ω</m:t>
        </m:r>
        <m:r>
          <m:rPr>
            <m:sty m:val="p"/>
          </m:rPr>
          <m:t>/</m:t>
        </m:r>
        <m:sSup>
          <m:e>
            <m:r>
              <m:t>Ω</m:t>
            </m:r>
          </m:e>
          <m:sup>
            <m:r>
              <m:t>0</m:t>
            </m:r>
          </m:sup>
        </m:sSup>
      </m:oMath>
      <w:r>
        <w:t xml:space="preserve">:</w:t>
      </w:r>
    </w:p>
    <w:p>
      <w:pPr>
        <w:pStyle w:val="BodyText"/>
        <w:widowControl/>
      </w:pPr>
      <m:oMathPara>
        <m:oMathParaPr>
          <m:jc m:val="center"/>
        </m:oMathParaPr>
        <m:oMath>
          <m:acc>
            <m:accPr>
              <m:chr m:val="‾"/>
            </m:accPr>
            <m:e>
              <m:r>
                <m:t>σ</m:t>
              </m:r>
            </m:e>
          </m:acc>
          <m:r>
            <m:rPr>
              <m:sty m:val="p"/>
            </m:rPr>
            <m:t>=</m:t>
          </m:r>
          <m:f>
            <m:fPr>
              <m:type m:val="bar"/>
            </m:fPr>
            <m:num>
              <m:nary>
                <m:naryPr>
                  <m:chr m:val="∑"/>
                  <m:limLoc m:val="undOvr"/>
                  <m:subHide m:val="off"/>
                  <m:supHide m:val="on"/>
                </m:naryPr>
                <m:sub>
                  <m:r>
                    <m:t>i</m:t>
                  </m:r>
                </m:sub>
                <m:sup>
                  <m:r>
                    <m:t>​</m:t>
                  </m:r>
                </m:sup>
                <m:e>
                  <m:sSub>
                    <m:e>
                      <m:r>
                        <m:t>X</m:t>
                      </m:r>
                    </m:e>
                    <m:sub>
                      <m:r>
                        <m:t>i</m:t>
                      </m:r>
                    </m:sub>
                  </m:sSub>
                </m:e>
              </m:nary>
              <m:r>
                <m:t> </m:t>
              </m:r>
              <m:sSub>
                <m:e>
                  <m:r>
                    <m:t>σ</m:t>
                  </m:r>
                </m:e>
                <m:sub>
                  <m:r>
                    <m:t>i</m:t>
                  </m:r>
                </m:sub>
              </m:sSub>
            </m:num>
            <m:den>
              <m:nary>
                <m:naryPr>
                  <m:chr m:val="∑"/>
                  <m:limLoc m:val="undOvr"/>
                  <m:subHide m:val="off"/>
                  <m:supHide m:val="on"/>
                </m:naryPr>
                <m:sub>
                  <m:r>
                    <m:t>i</m:t>
                  </m:r>
                </m:sub>
                <m:sup>
                  <m:r>
                    <m:t>​</m:t>
                  </m:r>
                </m:sup>
                <m:e>
                  <m:sSub>
                    <m:e>
                      <m:r>
                        <m:t>X</m:t>
                      </m:r>
                    </m:e>
                    <m:sub>
                      <m:r>
                        <m:t>i</m:t>
                      </m:r>
                    </m:sub>
                  </m:sSub>
                </m:e>
              </m:nary>
            </m:den>
          </m:f>
          <m:r>
            <m:rPr>
              <m:sty m:val="p"/>
            </m:rPr>
            <m:t>,</m:t>
          </m:r>
          <m:r>
            <m:t>  </m:t>
          </m:r>
          <m:r>
            <m:t>Ω</m:t>
          </m:r>
          <m:r>
            <m:rPr>
              <m:sty m:val="p"/>
            </m:rPr>
            <m:t>=</m:t>
          </m:r>
          <m:r>
            <m:rPr>
              <m:sty m:val="p"/>
            </m:rPr>
            <m:t>max</m:t>
          </m:r>
          <m:d>
            <m:dPr>
              <m:begChr m:val="("/>
              <m:endChr m:val=")"/>
              <m:sepChr m:val=""/>
              <m:grow/>
            </m:dPr>
            <m:e>
              <m:r>
                <m:t>0</m:t>
              </m:r>
              <m:r>
                <m:rPr>
                  <m:sty m:val="p"/>
                </m:rPr>
                <m:t>,</m:t>
              </m:r>
              <m:r>
                <m:t> </m:t>
              </m:r>
              <m:r>
                <m:t>γ</m:t>
              </m:r>
              <m:r>
                <m:t> </m:t>
              </m:r>
              <m:sSup>
                <m:e>
                  <m:r>
                    <m:t>p</m:t>
                  </m:r>
                </m:e>
                <m:sup>
                  <m:r>
                    <m:rPr>
                      <m:sty m:val="p"/>
                    </m:rPr>
                    <m:t>E</m:t>
                  </m:r>
                  <m:r>
                    <m:rPr>
                      <m:sty m:val="p"/>
                    </m:rPr>
                    <m:t>U</m:t>
                  </m:r>
                </m:sup>
              </m:sSup>
              <m:r>
                <m:t> </m:t>
              </m:r>
              <m:acc>
                <m:accPr>
                  <m:chr m:val="‾"/>
                </m:accPr>
                <m:e>
                  <m:r>
                    <m:t>σ</m:t>
                  </m:r>
                </m:e>
              </m:acc>
              <m:r>
                <m:rPr>
                  <m:sty m:val="p"/>
                </m:rPr>
                <m:t>−</m:t>
              </m:r>
              <m:d>
                <m:dPr>
                  <m:begChr m:val="("/>
                  <m:endChr m:val=")"/>
                  <m:sepChr m:val=""/>
                  <m:grow/>
                </m:dPr>
                <m:e>
                  <m:r>
                    <m:t>1</m:t>
                  </m:r>
                  <m:r>
                    <m:rPr>
                      <m:sty m:val="p"/>
                    </m:rPr>
                    <m:t>−</m:t>
                  </m:r>
                  <m:r>
                    <m:t>θ</m:t>
                  </m:r>
                </m:e>
              </m:d>
              <m:r>
                <m:t> </m:t>
              </m:r>
              <m:r>
                <m:t>κ</m:t>
              </m:r>
              <m:r>
                <m:t> </m:t>
              </m:r>
              <m:r>
                <m:rPr>
                  <m:sty m:val="p"/>
                </m:rPr>
                <m:t>max</m:t>
              </m:r>
              <m:d>
                <m:dPr>
                  <m:begChr m:val="("/>
                  <m:endChr m:val=")"/>
                  <m:sepChr m:val=""/>
                  <m:grow/>
                </m:dPr>
                <m:e>
                  <m:r>
                    <m:t>0</m:t>
                  </m:r>
                  <m:r>
                    <m:rPr>
                      <m:sty m:val="p"/>
                    </m:rPr>
                    <m:t>,</m:t>
                  </m:r>
                  <m:acc>
                    <m:accPr>
                      <m:chr m:val="‾"/>
                    </m:accPr>
                    <m:e>
                      <m:r>
                        <m:t>d</m:t>
                      </m:r>
                    </m:e>
                  </m:acc>
                </m:e>
              </m:d>
            </m:e>
          </m:d>
          <m:r>
            <m:rPr>
              <m:sty m:val="p"/>
            </m:rPr>
            <m:t>,</m:t>
          </m:r>
          <m:r>
            <m:t>  </m:t>
          </m:r>
          <m:f>
            <m:fPr>
              <m:type m:val="bar"/>
            </m:fPr>
            <m:num>
              <m:r>
                <m:t>Δ</m:t>
              </m:r>
              <m:r>
                <m:t>Ω</m:t>
              </m:r>
            </m:num>
            <m:den>
              <m:sSup>
                <m:e>
                  <m:r>
                    <m:t>Ω</m:t>
                  </m:r>
                </m:e>
                <m:sup>
                  <m:r>
                    <m:t>0</m:t>
                  </m:r>
                </m:sup>
              </m:sSup>
            </m:den>
          </m:f>
          <m:r>
            <m:rPr>
              <m:sty m:val="p"/>
            </m:rPr>
            <m:t>=</m:t>
          </m:r>
          <m:f>
            <m:fPr>
              <m:type m:val="bar"/>
            </m:fPr>
            <m:num>
              <m:r>
                <m:t>Ω</m:t>
              </m:r>
            </m:num>
            <m:den>
              <m:sSup>
                <m:e>
                  <m:r>
                    <m:t>Ω</m:t>
                  </m:r>
                </m:e>
                <m:sup>
                  <m:r>
                    <m:t>0</m:t>
                  </m:r>
                </m:sup>
              </m:sSup>
            </m:den>
          </m:f>
          <m:r>
            <m:rPr>
              <m:sty m:val="p"/>
            </m:rPr>
            <m:t>−</m:t>
          </m:r>
          <m:r>
            <m:t>1</m:t>
          </m:r>
        </m:oMath>
      </m:oMathPara>
    </w:p>
    <w:p>
      <w:pPr>
        <w:pStyle w:val="FirstParagraph"/>
        <w:widowControl/>
      </w:pPr>
      <w:r>
        <w:t xml:space="preserve">The change splits into a cleaner-exports part,</w:t>
      </w:r>
      <w:r>
        <w:t xml:space="preserve"> </w:t>
      </w:r>
      <m:oMath>
        <m:acc>
          <m:accPr>
            <m:chr m:val="‾"/>
          </m:accPr>
          <m:e>
            <m:r>
              <m:t>σ</m:t>
            </m:r>
          </m:e>
        </m:acc>
        <m:r>
          <m:rPr>
            <m:sty m:val="p"/>
          </m:rPr>
          <m:t>/</m:t>
        </m:r>
        <m:sSup>
          <m:e>
            <m:acc>
              <m:accPr>
                <m:chr m:val="‾"/>
              </m:accPr>
              <m:e>
                <m:r>
                  <m:t>σ</m:t>
                </m:r>
              </m:e>
            </m:acc>
          </m:e>
          <m:sup>
            <m:r>
              <m:t>0</m:t>
            </m:r>
          </m:sup>
        </m:sSup>
        <m:r>
          <m:rPr>
            <m:sty m:val="p"/>
          </m:rPr>
          <m:t>−</m:t>
        </m:r>
        <m:r>
          <m:t>1</m:t>
        </m:r>
      </m:oMath>
      <w:r>
        <w:t xml:space="preserve">, and a carbon price credit. The credit is the carbon actually paid per tonne, so it shrinks as exports get cleaner; this is why 3C’s credit is a little smaller than 1A’s. The fund shadow price</w:t>
      </w:r>
      <w:r>
        <w:t xml:space="preserve"> </w:t>
      </w:r>
      <m:oMath>
        <m:r>
          <m:t>ψ</m:t>
        </m:r>
      </m:oMath>
      <w:r>
        <w:t xml:space="preserve"> </w:t>
      </w:r>
      <w:r>
        <w:t xml:space="preserve">is not part of</w:t>
      </w:r>
      <w:r>
        <w:t xml:space="preserve"> </w:t>
      </w:r>
      <m:oMath>
        <m:acc>
          <m:accPr>
            <m:chr m:val="‾"/>
          </m:accPr>
          <m:e>
            <m:r>
              <m:t>d</m:t>
            </m:r>
          </m:e>
        </m:acc>
      </m:oMath>
      <w:r>
        <w:t xml:space="preserve">, so the fund adds nothing to the credit.</w:t>
      </w:r>
    </w:p>
    <w:p>
      <w:pPr>
        <w:pStyle w:val="BodyText"/>
        <w:widowControl/>
      </w:pPr>
      <w:r>
        <w:rPr>
          <w:bCs/>
          <w:b/>
        </w:rPr>
        <w:t xml:space="preserve">Walk 8. A simple check.</w:t>
      </w:r>
      <w:r>
        <w:t xml:space="preserve"> </w:t>
      </w:r>
      <w:r>
        <w:t xml:space="preserve">Cleaner exports cut the obligation by</w:t>
      </w:r>
      <w:r>
        <w:t xml:space="preserve"> </w:t>
      </w:r>
      <m:oMath>
        <m:r>
          <m:t>r</m:t>
        </m:r>
      </m:oMath>
      <w:r>
        <w:t xml:space="preserve">; the Egyptian price is then credited against the EU price on the priced share</w:t>
      </w:r>
      <w:r>
        <w:t xml:space="preserve"> </w:t>
      </w:r>
      <m:oMath>
        <m:r>
          <m:t>S</m:t>
        </m:r>
      </m:oMath>
      <w:r>
        <w:t xml:space="preserve"> </w:t>
      </w:r>
      <w:r>
        <w:t xml:space="preserve">(</w:t>
      </w:r>
      <m:oMath>
        <m:r>
          <m:t>r</m:t>
        </m:r>
        <m:r>
          <m:rPr>
            <m:sty m:val="p"/>
          </m:rPr>
          <m:t>=</m:t>
        </m:r>
        <m:r>
          <m:t>1</m:t>
        </m:r>
        <m:r>
          <m:rPr>
            <m:sty m:val="p"/>
          </m:rPr>
          <m:t>−</m:t>
        </m:r>
        <m:acc>
          <m:accPr>
            <m:chr m:val="‾"/>
          </m:accPr>
          <m:e>
            <m:r>
              <m:t>σ</m:t>
            </m:r>
          </m:e>
        </m:acc>
        <m:r>
          <m:rPr>
            <m:sty m:val="p"/>
          </m:rPr>
          <m:t>/</m:t>
        </m:r>
        <m:sSup>
          <m:e>
            <m:acc>
              <m:accPr>
                <m:chr m:val="‾"/>
              </m:accPr>
              <m:e>
                <m:r>
                  <m:t>σ</m:t>
                </m:r>
              </m:e>
            </m:acc>
          </m:e>
          <m:sup>
            <m:r>
              <m:t>0</m:t>
            </m:r>
          </m:sup>
        </m:sSup>
      </m:oMath>
      <w:r>
        <w:t xml:space="preserve"> </w:t>
      </w:r>
      <w:r>
        <w:t xml:space="preserve">is the fall in</w:t>
      </w:r>
      <w:r>
        <w:t xml:space="preserve"> </w:t>
      </w:r>
      <m:oMath>
        <m:acc>
          <m:accPr>
            <m:chr m:val="‾"/>
          </m:accPr>
          <m:e>
            <m:r>
              <m:t>σ</m:t>
            </m:r>
          </m:e>
        </m:acc>
      </m:oMath>
      <w:r>
        <w:t xml:space="preserve">;</w:t>
      </w:r>
      <w:r>
        <w:t xml:space="preserve"> </w:t>
      </w:r>
      <m:oMath>
        <m:sSup>
          <m:e>
            <m:r>
              <m:t>τ</m:t>
            </m:r>
          </m:e>
          <m:sup>
            <m:r>
              <m:rPr>
                <m:sty m:val="p"/>
              </m:rPr>
              <m:t>E</m:t>
            </m:r>
            <m:r>
              <m:rPr>
                <m:sty m:val="p"/>
              </m:rPr>
              <m:t>G</m:t>
            </m:r>
            <m:r>
              <m:rPr>
                <m:sty m:val="p"/>
              </m:rPr>
              <m:t>Y</m:t>
            </m:r>
          </m:sup>
        </m:sSup>
      </m:oMath>
      <w:r>
        <w:t xml:space="preserve"> </w:t>
      </w:r>
      <w:r>
        <w:t xml:space="preserve">the Egyptian carbon price credited;</w:t>
      </w:r>
      <w:r>
        <w:t xml:space="preserve"> </w:t>
      </w:r>
      <m:oMath>
        <m:sSup>
          <m:e>
            <m:r>
              <m:t>τ</m:t>
            </m:r>
          </m:e>
          <m:sup>
            <m:r>
              <m:rPr>
                <m:sty m:val="p"/>
              </m:rPr>
              <m:t>E</m:t>
            </m:r>
            <m:r>
              <m:rPr>
                <m:sty m:val="p"/>
              </m:rPr>
              <m:t>U</m:t>
            </m:r>
          </m:sup>
        </m:sSup>
      </m:oMath>
      <w:r>
        <w:t xml:space="preserve"> </w:t>
      </w:r>
      <w:r>
        <w:t xml:space="preserve">the EU carbon price after phase-in):</w:t>
      </w:r>
    </w:p>
    <w:p>
      <w:pPr>
        <w:pStyle w:val="BodyText"/>
        <w:widowControl/>
      </w:pPr>
      <m:oMathPara>
        <m:oMathParaPr>
          <m:jc m:val="center"/>
        </m:oMathParaPr>
        <m:oMath>
          <m:f>
            <m:fPr>
              <m:type m:val="bar"/>
            </m:fPr>
            <m:num>
              <m:r>
                <m:t>Δ</m:t>
              </m:r>
              <m:r>
                <m:t>Ω</m:t>
              </m:r>
            </m:num>
            <m:den>
              <m:sSup>
                <m:e>
                  <m:r>
                    <m:t>Ω</m:t>
                  </m:r>
                </m:e>
                <m:sup>
                  <m:r>
                    <m:t>0</m:t>
                  </m:r>
                </m:sup>
              </m:sSup>
            </m:den>
          </m:f>
          <m:r>
            <m:rPr>
              <m:sty m:val="p"/>
            </m:rPr>
            <m:t>≈</m:t>
          </m:r>
          <m:r>
            <m:rPr>
              <m:sty m:val="p"/>
            </m:rPr>
            <m:t>−</m:t>
          </m:r>
          <m:r>
            <m:t> </m:t>
          </m:r>
          <m:r>
            <m:t>r</m:t>
          </m:r>
          <m:r>
            <m:rPr>
              <m:sty m:val="p"/>
            </m:rPr>
            <m:t>−</m:t>
          </m:r>
          <m:d>
            <m:dPr>
              <m:begChr m:val="("/>
              <m:endChr m:val=")"/>
              <m:sepChr m:val=""/>
              <m:grow/>
            </m:dPr>
            <m:e>
              <m:r>
                <m:t>1</m:t>
              </m:r>
              <m:r>
                <m:rPr>
                  <m:sty m:val="p"/>
                </m:rPr>
                <m:t>−</m:t>
              </m:r>
              <m:r>
                <m:t>r</m:t>
              </m:r>
            </m:e>
          </m:d>
          <m:r>
            <m:t> </m:t>
          </m:r>
          <m:f>
            <m:fPr>
              <m:type m:val="bar"/>
            </m:fPr>
            <m:num>
              <m:sSup>
                <m:e>
                  <m:r>
                    <m:t>τ</m:t>
                  </m:r>
                </m:e>
                <m:sup>
                  <m:r>
                    <m:rPr>
                      <m:sty m:val="p"/>
                    </m:rPr>
                    <m:t>E</m:t>
                  </m:r>
                  <m:r>
                    <m:rPr>
                      <m:sty m:val="p"/>
                    </m:rPr>
                    <m:t>G</m:t>
                  </m:r>
                  <m:r>
                    <m:rPr>
                      <m:sty m:val="p"/>
                    </m:rPr>
                    <m:t>Y</m:t>
                  </m:r>
                </m:sup>
              </m:sSup>
            </m:num>
            <m:den>
              <m:sSup>
                <m:e>
                  <m:r>
                    <m:t>τ</m:t>
                  </m:r>
                </m:e>
                <m:sup>
                  <m:r>
                    <m:rPr>
                      <m:sty m:val="p"/>
                    </m:rPr>
                    <m:t>E</m:t>
                  </m:r>
                  <m:r>
                    <m:rPr>
                      <m:sty m:val="p"/>
                    </m:rPr>
                    <m:t>U</m:t>
                  </m:r>
                </m:sup>
              </m:sSup>
            </m:den>
          </m:f>
          <m:r>
            <m:rPr>
              <m:sty m:val="p"/>
            </m:rPr>
            <m:t>,</m:t>
          </m:r>
          <m:r>
            <m:t>  </m:t>
          </m:r>
          <m:sSup>
            <m:e>
              <m:r>
                <m:t>τ</m:t>
              </m:r>
            </m:e>
            <m:sup>
              <m:r>
                <m:rPr>
                  <m:sty m:val="p"/>
                </m:rPr>
                <m:t>E</m:t>
              </m:r>
              <m:r>
                <m:rPr>
                  <m:sty m:val="p"/>
                </m:rPr>
                <m:t>G</m:t>
              </m:r>
              <m:r>
                <m:rPr>
                  <m:sty m:val="p"/>
                </m:rPr>
                <m:t>Y</m:t>
              </m:r>
            </m:sup>
          </m:sSup>
          <m:r>
            <m:rPr>
              <m:sty m:val="p"/>
            </m:rPr>
            <m:t>=</m:t>
          </m:r>
          <m:r>
            <m:t>τ</m:t>
          </m:r>
          <m:r>
            <m:t>S</m:t>
          </m:r>
          <m:d>
            <m:dPr>
              <m:begChr m:val="("/>
              <m:endChr m:val=")"/>
              <m:sepChr m:val=""/>
              <m:grow/>
            </m:dPr>
            <m:e>
              <m:r>
                <m:t>1</m:t>
              </m:r>
              <m:r>
                <m:rPr>
                  <m:sty m:val="p"/>
                </m:rPr>
                <m:t>−</m:t>
              </m:r>
              <m:r>
                <m:t>θ</m:t>
              </m:r>
            </m:e>
          </m:d>
          <m:r>
            <m:rPr>
              <m:sty m:val="p"/>
            </m:rPr>
            <m:t>,</m:t>
          </m:r>
          <m:r>
            <m:t> </m:t>
          </m:r>
          <m:sSup>
            <m:e>
              <m:r>
                <m:t>τ</m:t>
              </m:r>
            </m:e>
            <m:sup>
              <m:r>
                <m:rPr>
                  <m:sty m:val="p"/>
                </m:rPr>
                <m:t>E</m:t>
              </m:r>
              <m:r>
                <m:rPr>
                  <m:sty m:val="p"/>
                </m:rPr>
                <m:t>U</m:t>
              </m:r>
            </m:sup>
          </m:sSup>
          <m:r>
            <m:rPr>
              <m:sty m:val="p"/>
            </m:rPr>
            <m:t>=</m:t>
          </m:r>
          <m:r>
            <m:t>γ</m:t>
          </m:r>
          <m:r>
            <m:t> </m:t>
          </m:r>
          <m:sSup>
            <m:e>
              <m:r>
                <m:t>p</m:t>
              </m:r>
            </m:e>
            <m:sup>
              <m:r>
                <m:rPr>
                  <m:sty m:val="p"/>
                </m:rPr>
                <m:t>E</m:t>
              </m:r>
              <m:r>
                <m:rPr>
                  <m:sty m:val="p"/>
                </m:rPr>
                <m:t>U</m:t>
              </m:r>
            </m:sup>
          </m:sSup>
          <m:r>
            <m:rPr>
              <m:sty m:val="p"/>
            </m:rPr>
            <m:t>≈</m:t>
          </m:r>
          <m:r>
            <m:rPr>
              <m:sty m:val="p"/>
            </m:rPr>
            <m:t>$</m:t>
          </m:r>
          <m:r>
            <m:t>61</m:t>
          </m:r>
          <m:r>
            <m:rPr>
              <m:sty m:val="p"/>
            </m:rPr>
            <m:t>/</m:t>
          </m:r>
          <m:r>
            <m:rPr>
              <m:nor/>
              <m:sty m:val="p"/>
            </m:rPr>
            <m:t>t</m:t>
          </m:r>
        </m:oMath>
      </m:oMathPara>
    </w:p>
    <w:p>
      <w:pPr>
        <w:pStyle w:val="FirstParagraph"/>
        <w:widowControl/>
      </w:pPr>
      <w:r>
        <w:t xml:space="preserve">The ratio is capped at 100%. The check matches Walk 7 where the whole block is priced (1A, 3A, 3C). In 2A and 2B it credits the priced share of the price rather than the carbon actually paid per tonne exported, so it differs slightly.</w:t>
      </w:r>
    </w:p>
    <w:bookmarkEnd w:id="35"/>
    <w:bookmarkStart w:id="36" w:name="what-drives-the-results-and-limitations"/>
    <w:p>
      <w:pPr>
        <w:pStyle w:val="Heading1"/>
        <w:pageBreakBefore/>
        <w:widowControl/>
      </w:pPr>
      <w:r>
        <w:t xml:space="preserve">8. What drives the results, and limitations</w:t>
      </w:r>
    </w:p>
    <w:p>
      <w:pPr>
        <w:pStyle w:val="FirstParagraph"/>
        <w:widowControl/>
      </w:pPr>
      <w:r>
        <w:t xml:space="preserve">Five things move the results, in rough order of influence.</w:t>
      </w:r>
    </w:p>
    <w:p>
      <w:pPr>
        <w:widowControl/>
        <w:numPr>
          <w:ilvl w:val="0"/>
          <w:numId w:val="1005"/>
        </w:numPr>
        <w:pStyle w:val="Compact"/>
      </w:pPr>
      <w:r>
        <w:rPr>
          <w:bCs/>
          <w:b/>
        </w:rPr>
        <w:t xml:space="preserve">Which sectors are priced.</w:t>
      </w:r>
      <w:r>
        <w:t xml:space="preserve"> </w:t>
      </w:r>
      <w:r>
        <w:t xml:space="preserve">The 3A to 3C runs price only the CBAM sectors, so coverage of national GHG is about 11% and the cut is 5 to 12 Mt, against 64 to 71% coverage and 37 to 40 Mt in 1A to 2B. This is the right scale for a heavy-industry policy, not an error.</w:t>
      </w:r>
    </w:p>
    <w:p>
      <w:pPr>
        <w:widowControl/>
        <w:numPr>
          <w:ilvl w:val="0"/>
          <w:numId w:val="1005"/>
        </w:numPr>
        <w:pStyle w:val="Compact"/>
      </w:pPr>
      <w:r>
        <w:rPr>
          <w:bCs/>
          <w:b/>
        </w:rPr>
        <w:t xml:space="preserve">Whether process emissions are priced.</w:t>
      </w:r>
      <w:r>
        <w:t xml:space="preserve"> </w:t>
      </w:r>
      <w:r>
        <w:t xml:space="preserve">Process emissions of cement, steel, aluminum and fertilizer are a large part of block emissions. Pricing them is why 1A covers 71% of national GHG against 64% in 2A and cuts about 40 Mt against about 37 Mt.</w:t>
      </w:r>
    </w:p>
    <w:p>
      <w:pPr>
        <w:widowControl/>
        <w:numPr>
          <w:ilvl w:val="0"/>
          <w:numId w:val="1005"/>
        </w:numPr>
        <w:pStyle w:val="Compact"/>
      </w:pPr>
      <w:r>
        <w:rPr>
          <w:bCs/>
          <w:b/>
        </w:rPr>
        <w:t xml:space="preserve">The fuel-intensity and process responses.</w:t>
      </w:r>
      <w:r>
        <w:t xml:space="preserve"> </w:t>
      </w:r>
      <w:r>
        <w:t xml:space="preserve">The fuel-intensity semi-elasticity</w:t>
      </w:r>
      <w:r>
        <w:t xml:space="preserve"> </w:t>
      </w:r>
      <m:oMath>
        <m:sSup>
          <m:e>
            <m:r>
              <m:t>β</m:t>
            </m:r>
          </m:e>
          <m:sup>
            <m:r>
              <m:t>f</m:t>
            </m:r>
          </m:sup>
        </m:sSup>
      </m:oMath>
      <w:r>
        <w:t xml:space="preserve"> </w:t>
      </w:r>
      <w:r>
        <w:t xml:space="preserve">(Appendix B) and the process semi-elasticities (Appendix C.2) set how much emissions per tonne fall. They drive the change in emissions intensity and the border charge, and most of the change in block emissions. The fund in 3C roughly doubles the fall in emissions per tonne (about −17% against −9%).</w:t>
      </w:r>
    </w:p>
    <w:p>
      <w:pPr>
        <w:widowControl/>
        <w:numPr>
          <w:ilvl w:val="0"/>
          <w:numId w:val="1005"/>
        </w:numPr>
        <w:pStyle w:val="Compact"/>
      </w:pPr>
      <w:r>
        <w:rPr>
          <w:bCs/>
          <w:b/>
        </w:rPr>
        <w:t xml:space="preserve">The carbon price relative to the product price.</w:t>
      </w:r>
      <w:r>
        <w:t xml:space="preserve"> </w:t>
      </w:r>
      <w:r>
        <w:t xml:space="preserve">At $20 per tonne, carbon is about 2% of the price of steel and aluminum and 1 to 10% of fertilizer prices, so their output barely moves. Clinker is the exception: carbon is about half its price, so cement’s price elasticity of physical output is the output parameter that matters most.</w:t>
      </w:r>
    </w:p>
    <w:p>
      <w:pPr>
        <w:widowControl/>
        <w:numPr>
          <w:ilvl w:val="0"/>
          <w:numId w:val="1005"/>
        </w:numPr>
        <w:pStyle w:val="Compact"/>
      </w:pPr>
      <w:r>
        <w:rPr>
          <w:bCs/>
          <w:b/>
        </w:rPr>
        <w:t xml:space="preserve">Revenue recycling and the credit rule.</w:t>
      </w:r>
      <w:r>
        <w:t xml:space="preserve"> </w:t>
      </w:r>
      <w:r>
        <w:t xml:space="preserve">In 3B the feebate refunds the cost, so net revenue and the output effect are zero by construction while intensity still responds to the full price. The border charge per tonne falls only about 9% from cleaner exports, but about 39% in 1A once the Egyptian carbon price is credited, so the credit rule matters far more than the abatement response.</w:t>
      </w:r>
    </w:p>
    <w:p>
      <w:pPr>
        <w:pStyle w:val="FirstParagraph"/>
        <w:widowControl/>
      </w:pPr>
      <w:r>
        <w:t xml:space="preserve">The results have these limits.</w:t>
      </w:r>
    </w:p>
    <w:p>
      <w:pPr>
        <w:widowControl/>
        <w:numPr>
          <w:ilvl w:val="0"/>
          <w:numId w:val="1006"/>
        </w:numPr>
        <w:pStyle w:val="Compact"/>
      </w:pPr>
      <w:r>
        <w:t xml:space="preserve">CPAT’s long-run elasticities take full effect within one year, and industrial output is inferred rather than modeled, so output effects are an upper bound.</w:t>
      </w:r>
    </w:p>
    <w:p>
      <w:pPr>
        <w:widowControl/>
        <w:numPr>
          <w:ilvl w:val="0"/>
          <w:numId w:val="1006"/>
        </w:numPr>
        <w:pStyle w:val="Compact"/>
      </w:pPr>
      <w:r>
        <w:t xml:space="preserve">There is no trade or leakage model. CBAM exposure is computed outside CPAT.</w:t>
      </w:r>
    </w:p>
    <w:p>
      <w:pPr>
        <w:widowControl/>
        <w:numPr>
          <w:ilvl w:val="0"/>
          <w:numId w:val="1006"/>
        </w:numPr>
        <w:pStyle w:val="Compact"/>
      </w:pPr>
      <w:r>
        <w:t xml:space="preserve">Process responses come from global IPCC cost data, not Egyptian abatement cost curves, and one fuel parameter stands for all fuels and products. That parameter is a residual: CPAT’s response for all industry less the block’s output effect, so it assumes the CBAM products respond like average industry.</w:t>
      </w:r>
    </w:p>
    <w:p>
      <w:pPr>
        <w:widowControl/>
        <w:numPr>
          <w:ilvl w:val="0"/>
          <w:numId w:val="1006"/>
        </w:numPr>
        <w:pStyle w:val="Compact"/>
      </w:pPr>
      <w:r>
        <w:t xml:space="preserve">Emission factors are fleet averages, not plant distributions. Output and EU exports rest on published sources and growth on IMF forecasts and announced capacity (Appendix A), prices are 2024 market benchmarks held constant, and the product splits within steel and fertilizers are assumptions, to be replaced with CAPMAS (Egypt’s statistics agency) and UN Comtrade data.</w:t>
      </w:r>
    </w:p>
    <w:p>
      <w:pPr>
        <w:widowControl/>
        <w:numPr>
          <w:ilvl w:val="0"/>
          <w:numId w:val="1006"/>
        </w:numPr>
        <w:pStyle w:val="Compact"/>
      </w:pPr>
      <w:r>
        <w:t xml:space="preserve">In 3A to 3C, diesel and gasoline are excluded from the carbon price. Coverage is set to 9% of CPAT’s total (11.1% on the inventory basis) for all three, and deaths avoided in 3A and 3C scale those of 3B by the emission cut, because CPAT’s runs give inconsistent coverage and implausible negative deaths for these scenarios (see the note to the table in section 1).</w:t>
      </w:r>
    </w:p>
    <w:p>
      <w:pPr>
        <w:widowControl/>
        <w:numPr>
          <w:ilvl w:val="0"/>
          <w:numId w:val="1006"/>
        </w:numPr>
        <w:pStyle w:val="Compact"/>
      </w:pPr>
      <w:r>
        <w:t xml:space="preserve">In 3C the fund is simplified:</w:t>
      </w:r>
      <w:r>
        <w:t xml:space="preserve"> </w:t>
      </w:r>
      <m:oMath>
        <m:r>
          <m:t>ψ</m:t>
        </m:r>
      </m:oMath>
      <w:r>
        <w:t xml:space="preserve"> </w:t>
      </w:r>
      <w:r>
        <w:t xml:space="preserve">is fixed at $20, so the intensity effect is smaller than a fully solved fund would give.</w:t>
      </w:r>
    </w:p>
    <w:p>
      <w:pPr>
        <w:widowControl/>
        <w:numPr>
          <w:ilvl w:val="0"/>
          <w:numId w:val="1006"/>
        </w:numPr>
        <w:pStyle w:val="Compact"/>
      </w:pPr>
      <w:r>
        <w:t xml:space="preserve">Revenue is gross carbon revenue, before effects on existing taxes and subsidies.</w:t>
      </w:r>
    </w:p>
    <w:bookmarkEnd w:id="36"/>
    <w:bookmarkStart w:id="37" w:name="appendix-a.-parameters-and-sources"/>
    <w:p>
      <w:pPr>
        <w:pStyle w:val="Heading1"/>
        <w:pageBreakBefore/>
        <w:widowControl/>
      </w:pPr>
      <w:r>
        <w:t xml:space="preserve">Appendix A. Parameters and sources</w:t>
      </w:r>
    </w:p>
    <w:p>
      <w:pPr>
        <w:pStyle w:val="FirstParagraph"/>
        <w:widowControl/>
      </w:pPr>
      <w:r>
        <w:t xml:space="preserve">Every number below is an input cell in the workbook.</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2381"/>
        <w:gridCol w:w="3402"/>
        <w:gridCol w:w="1474"/>
      </w:tblGrid>
      <w:tr>
        <w:trPr>
          <w:tblHeader w:val="true"/>
          <w:cantSplit/>
        </w:trPr>
        <w:tc>
          <w:tcPr>
            <w:tcW w:type="dxa" w:w="2041"/>
            <w:shd w:val="clear" w:fill="D9E2F3"/>
          </w:tcPr>
          <w:p>
            <w:pPr>
              <w:pStyle w:val="Compact"/>
              <w:spacing w:after="0"/>
              <w:jc w:val="left"/>
            </w:pPr>
            <w:r>
              <w:rPr>
                <w:b/>
                <w:sz w:val="18"/>
              </w:rPr>
              <w:t xml:space="preserve">Parameter</w:t>
            </w:r>
          </w:p>
        </w:tc>
        <w:tc>
          <w:tcPr>
            <w:tcW w:type="dxa" w:w="2381"/>
            <w:shd w:val="clear" w:fill="D9E2F3"/>
          </w:tcPr>
          <w:p>
            <w:pPr>
              <w:pStyle w:val="Compact"/>
              <w:spacing w:after="0"/>
              <w:jc w:val="left"/>
            </w:pPr>
            <w:r>
              <w:rPr>
                <w:b/>
                <w:sz w:val="18"/>
              </w:rPr>
              <w:t xml:space="preserve">Value</w:t>
            </w:r>
          </w:p>
        </w:tc>
        <w:tc>
          <w:tcPr>
            <w:tcW w:type="dxa" w:w="3402"/>
            <w:shd w:val="clear" w:fill="D9E2F3"/>
          </w:tcPr>
          <w:p>
            <w:pPr>
              <w:pStyle w:val="Compact"/>
              <w:spacing w:after="0"/>
              <w:jc w:val="left"/>
            </w:pPr>
            <w:r>
              <w:rPr>
                <w:b/>
                <w:sz w:val="18"/>
              </w:rPr>
              <w:t xml:space="preserve">Source</w:t>
            </w:r>
          </w:p>
        </w:tc>
        <w:tc>
          <w:tcPr>
            <w:tcW w:type="dxa" w:w="1474"/>
            <w:shd w:val="clear" w:fill="D9E2F3"/>
          </w:tcPr>
          <w:p>
            <w:pPr>
              <w:pStyle w:val="Compact"/>
              <w:spacing w:after="0"/>
              <w:jc w:val="left"/>
            </w:pPr>
            <w:r>
              <w:rPr>
                <w:b/>
                <w:sz w:val="18"/>
              </w:rPr>
              <w:t xml:space="preserve">Status</w:t>
            </w:r>
          </w:p>
        </w:tc>
      </w:tr>
      <w:tr>
        <w:trPr>
          <w:cantSplit/>
        </w:trPr>
        <w:tc>
          <w:tcPr>
            <w:tcW w:type="dxa" w:w="2041"/>
          </w:tcPr>
          <w:p>
            <w:pPr>
              <w:pStyle w:val="Compact"/>
              <w:spacing w:after="0"/>
              <w:jc w:val="left"/>
            </w:pPr>
            <w:r>
              <w:rPr>
                <w:sz w:val="18"/>
              </w:rPr>
              <w:t xml:space="preserve">Carbon price</w:t>
            </w:r>
            <w:r>
              <w:rPr>
                <w:sz w:val="18"/>
              </w:rPr>
              <w:t xml:space="preserve"> </w:t>
            </w:r>
            <m:oMath>
              <m:r>
                <m:t>τ</m:t>
              </m:r>
            </m:oMath>
          </w:p>
        </w:tc>
        <w:tc>
          <w:tcPr>
            <w:tcW w:type="dxa" w:w="2381"/>
          </w:tcPr>
          <w:p>
            <w:pPr>
              <w:pStyle w:val="Compact"/>
              <w:spacing w:after="0"/>
              <w:jc w:val="left"/>
            </w:pPr>
            <w:r>
              <w:rPr>
                <w:sz w:val="18"/>
              </w:rPr>
              <w:t xml:space="preserve">$20/t in 2030</w:t>
            </w:r>
          </w:p>
        </w:tc>
        <w:tc>
          <w:tcPr>
            <w:tcW w:type="dxa" w:w="3402"/>
          </w:tcPr>
          <w:p>
            <w:pPr>
              <w:pStyle w:val="Compact"/>
              <w:spacing w:after="0"/>
              <w:jc w:val="left"/>
            </w:pPr>
            <w:r>
              <w:rPr>
                <w:sz w:val="18"/>
              </w:rPr>
              <w:t xml:space="preserve">Study design</w:t>
            </w:r>
          </w:p>
        </w:tc>
        <w:tc>
          <w:tcPr>
            <w:tcW w:type="dxa" w:w="1474"/>
          </w:tcPr>
          <w:p>
            <w:pPr>
              <w:pStyle w:val="Compact"/>
              <w:spacing w:after="0"/>
              <w:jc w:val="left"/>
            </w:pPr>
            <w:r>
              <w:rPr>
                <w:sz w:val="18"/>
              </w:rPr>
              <w:t xml:space="preserve">Policy choice</w:t>
            </w:r>
          </w:p>
        </w:tc>
      </w:tr>
      <w:tr>
        <w:trPr>
          <w:cantSplit/>
        </w:trPr>
        <w:tc>
          <w:tcPr>
            <w:tcW w:type="dxa" w:w="2041"/>
          </w:tcPr>
          <w:p>
            <w:pPr>
              <w:pStyle w:val="Compact"/>
              <w:spacing w:after="0"/>
              <w:jc w:val="left"/>
            </w:pPr>
            <w:r>
              <w:rPr>
                <w:sz w:val="18"/>
              </w:rPr>
              <w:t xml:space="preserve">Emission factors</w:t>
            </w:r>
          </w:p>
        </w:tc>
        <w:tc>
          <w:tcPr>
            <w:tcW w:type="dxa" w:w="2381"/>
          </w:tcPr>
          <w:p>
            <w:pPr>
              <w:pStyle w:val="Compact"/>
              <w:spacing w:after="0"/>
              <w:jc w:val="left"/>
            </w:pPr>
            <w:r>
              <w:rPr>
                <w:sz w:val="18"/>
              </w:rPr>
              <w:t xml:space="preserve">See Appendix D</w:t>
            </w:r>
          </w:p>
        </w:tc>
        <w:tc>
          <w:tcPr>
            <w:tcW w:type="dxa" w:w="3402"/>
          </w:tcPr>
          <w:p>
            <w:pPr>
              <w:pStyle w:val="Compact"/>
              <w:spacing w:after="0"/>
              <w:jc w:val="left"/>
            </w:pPr>
            <w:r>
              <w:rPr>
                <w:sz w:val="18"/>
              </w:rPr>
              <w:t xml:space="preserve">Egyptian technology averages; IPCC 2006 Tier 1; CBAM rules</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Fuel-intensity semi-elasticity</w:t>
            </w:r>
            <w:r>
              <w:rPr>
                <w:sz w:val="18"/>
              </w:rPr>
              <w:t xml:space="preserve"> </w:t>
            </w:r>
            <m:oMath>
              <m:sSup>
                <m:e>
                  <m:r>
                    <m:t>β</m:t>
                  </m:r>
                </m:e>
                <m:sup>
                  <m:r>
                    <m:t>f</m:t>
                  </m:r>
                </m:sup>
              </m:sSup>
            </m:oMath>
          </w:p>
        </w:tc>
        <w:tc>
          <w:tcPr>
            <w:tcW w:type="dxa" w:w="2381"/>
          </w:tcPr>
          <w:p>
            <w:pPr>
              <w:pStyle w:val="Compact"/>
              <w:spacing w:after="0"/>
              <w:jc w:val="left"/>
            </w:pPr>
            <w:r>
              <w:rPr>
                <w:sz w:val="18"/>
              </w:rPr>
              <w:t xml:space="preserve">0.0058 per $/t</w:t>
            </w:r>
          </w:p>
        </w:tc>
        <w:tc>
          <w:tcPr>
            <w:tcW w:type="dxa" w:w="3402"/>
          </w:tcPr>
          <w:p>
            <w:pPr>
              <w:pStyle w:val="Compact"/>
              <w:spacing w:after="0"/>
              <w:jc w:val="left"/>
            </w:pPr>
            <w:r>
              <w:rPr>
                <w:sz w:val="18"/>
              </w:rPr>
              <w:t xml:space="preserve">CPAT’s 1A industry fuel response (0.0068) less the block’s output effect (0.0010); see Appendix B</w:t>
            </w:r>
          </w:p>
        </w:tc>
        <w:tc>
          <w:tcPr>
            <w:tcW w:type="dxa" w:w="1474"/>
          </w:tcPr>
          <w:p>
            <w:pPr>
              <w:pStyle w:val="Compact"/>
              <w:spacing w:after="0"/>
              <w:jc w:val="left"/>
            </w:pPr>
            <w:r>
              <w:rPr>
                <w:sz w:val="18"/>
              </w:rPr>
              <w:t xml:space="preserve">Derived</w:t>
            </w:r>
          </w:p>
        </w:tc>
      </w:tr>
      <w:tr>
        <w:trPr>
          <w:cantSplit/>
        </w:trPr>
        <w:tc>
          <w:tcPr>
            <w:tcW w:type="dxa" w:w="2041"/>
          </w:tcPr>
          <w:p>
            <w:pPr>
              <w:pStyle w:val="Compact"/>
              <w:spacing w:after="0"/>
              <w:jc w:val="left"/>
            </w:pPr>
            <w:r>
              <w:rPr>
                <w:sz w:val="18"/>
              </w:rPr>
              <w:t xml:space="preserve">Price elasticity of physical output</w:t>
            </w:r>
            <w:r>
              <w:rPr>
                <w:sz w:val="18"/>
              </w:rPr>
              <w:t xml:space="preserve"> </w:t>
            </w:r>
            <m:oMath>
              <m:sSub>
                <m:e>
                  <m:r>
                    <m:t>ε</m:t>
                  </m:r>
                </m:e>
                <m:sub>
                  <m:r>
                    <m:t>i</m:t>
                  </m:r>
                </m:sub>
              </m:sSub>
            </m:oMath>
          </w:p>
        </w:tc>
        <w:tc>
          <w:tcPr>
            <w:tcW w:type="dxa" w:w="2381"/>
          </w:tcPr>
          <w:p>
            <w:pPr>
              <w:pStyle w:val="Compact"/>
              <w:spacing w:after="0"/>
              <w:jc w:val="left"/>
            </w:pPr>
            <w:r>
              <w:rPr>
                <w:sz w:val="18"/>
              </w:rPr>
              <w:t xml:space="preserve">−0.1 to −0.5</w:t>
            </w:r>
          </w:p>
        </w:tc>
        <w:tc>
          <w:tcPr>
            <w:tcW w:type="dxa" w:w="3402"/>
          </w:tcPr>
          <w:p>
            <w:pPr>
              <w:pStyle w:val="Compact"/>
              <w:spacing w:after="0"/>
              <w:jc w:val="left"/>
            </w:pPr>
            <w:r>
              <w:rPr>
                <w:sz w:val="18"/>
              </w:rPr>
              <w:t xml:space="preserve">Study judgment; see C.1</w:t>
            </w:r>
          </w:p>
        </w:tc>
        <w:tc>
          <w:tcPr>
            <w:tcW w:type="dxa" w:w="1474"/>
          </w:tcPr>
          <w:p>
            <w:pPr>
              <w:pStyle w:val="Compact"/>
              <w:spacing w:after="0"/>
              <w:jc w:val="left"/>
            </w:pPr>
            <w:r>
              <w:rPr>
                <w:sz w:val="18"/>
              </w:rPr>
              <w:t xml:space="preserve">Low to medium</w:t>
            </w:r>
          </w:p>
        </w:tc>
      </w:tr>
      <w:tr>
        <w:trPr>
          <w:cantSplit/>
        </w:trPr>
        <w:tc>
          <w:tcPr>
            <w:tcW w:type="dxa" w:w="2041"/>
          </w:tcPr>
          <w:p>
            <w:pPr>
              <w:pStyle w:val="Compact"/>
              <w:spacing w:after="0"/>
              <w:jc w:val="left"/>
            </w:pPr>
            <w:r>
              <w:rPr>
                <w:sz w:val="18"/>
              </w:rPr>
              <w:t xml:space="preserve">Process semi-elasticities</w:t>
            </w:r>
            <w:r>
              <w:rPr>
                <w:sz w:val="18"/>
              </w:rPr>
              <w:t xml:space="preserve"> </w:t>
            </w:r>
            <m:oMath>
              <m:sSubSup>
                <m:e>
                  <m:r>
                    <m:t>β</m:t>
                  </m:r>
                </m:e>
                <m:sub>
                  <m:r>
                    <m:t>i</m:t>
                  </m:r>
                </m:sub>
                <m:sup>
                  <m:r>
                    <m:rPr>
                      <m:sty m:val="p"/>
                    </m:rPr>
                    <m:t>n</m:t>
                  </m:r>
                  <m:r>
                    <m:rPr>
                      <m:sty m:val="p"/>
                    </m:rPr>
                    <m:t>p</m:t>
                  </m:r>
                </m:sup>
              </m:sSubSup>
            </m:oMath>
            <w:r>
              <w:rPr>
                <w:sz w:val="18"/>
              </w:rPr>
              <w:t xml:space="preserve">,</w:t>
            </w:r>
            <w:r>
              <w:rPr>
                <w:sz w:val="18"/>
              </w:rPr>
              <w:t xml:space="preserve"> </w:t>
            </w:r>
            <m:oMath>
              <m:sSubSup>
                <m:e>
                  <m:r>
                    <m:t>β</m:t>
                  </m:r>
                </m:e>
                <m:sub>
                  <m:r>
                    <m:t>i</m:t>
                  </m:r>
                </m:sub>
                <m:sup>
                  <m:r>
                    <m:rPr>
                      <m:sty m:val="p"/>
                    </m:rPr>
                    <m:t>n</m:t>
                  </m:r>
                  <m:r>
                    <m:rPr>
                      <m:sty m:val="p"/>
                    </m:rPr>
                    <m:t>o</m:t>
                  </m:r>
                </m:sup>
              </m:sSubSup>
            </m:oMath>
          </w:p>
        </w:tc>
        <w:tc>
          <w:tcPr>
            <w:tcW w:type="dxa" w:w="2381"/>
          </w:tcPr>
          <w:p>
            <w:pPr>
              <w:pStyle w:val="Compact"/>
              <w:spacing w:after="0"/>
              <w:jc w:val="left"/>
            </w:pPr>
            <w:r>
              <w:rPr>
                <w:sz w:val="18"/>
              </w:rPr>
              <w:t xml:space="preserve">0 to 0.0079 per $/t</w:t>
            </w:r>
          </w:p>
        </w:tc>
        <w:tc>
          <w:tcPr>
            <w:tcW w:type="dxa" w:w="3402"/>
          </w:tcPr>
          <w:p>
            <w:pPr>
              <w:pStyle w:val="Compact"/>
              <w:spacing w:after="0"/>
              <w:jc w:val="left"/>
            </w:pPr>
            <w:r>
              <w:rPr>
                <w:sz w:val="18"/>
              </w:rPr>
              <w:t xml:space="preserve">IPCC AR6 and AR4 WGIII; see C.2</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Fund shadow price</w:t>
            </w:r>
            <w:r>
              <w:rPr>
                <w:sz w:val="18"/>
              </w:rPr>
              <w:t xml:space="preserve"> </w:t>
            </w:r>
            <m:oMath>
              <m:r>
                <m:t>ψ</m:t>
              </m:r>
            </m:oMath>
          </w:p>
        </w:tc>
        <w:tc>
          <w:tcPr>
            <w:tcW w:type="dxa" w:w="2381"/>
          </w:tcPr>
          <w:p>
            <w:pPr>
              <w:pStyle w:val="Compact"/>
              <w:spacing w:after="0"/>
              <w:jc w:val="left"/>
            </w:pPr>
            <w:r>
              <w:rPr>
                <w:sz w:val="18"/>
              </w:rPr>
              <w:t xml:space="preserve">$20/t</w:t>
            </w:r>
          </w:p>
        </w:tc>
        <w:tc>
          <w:tcPr>
            <w:tcW w:type="dxa" w:w="3402"/>
          </w:tcPr>
          <w:p>
            <w:pPr>
              <w:pStyle w:val="Compact"/>
              <w:spacing w:after="0"/>
              <w:jc w:val="left"/>
            </w:pPr>
            <w:r>
              <w:rPr>
                <w:sz w:val="18"/>
              </w:rPr>
              <w:t xml:space="preserve">Study assumption; CPAT Team (2024)</w:t>
            </w:r>
          </w:p>
        </w:tc>
        <w:tc>
          <w:tcPr>
            <w:tcW w:type="dxa" w:w="1474"/>
          </w:tcPr>
          <w:p>
            <w:pPr>
              <w:pStyle w:val="Compact"/>
              <w:spacing w:after="0"/>
              <w:jc w:val="left"/>
            </w:pPr>
            <w:r>
              <w:rPr>
                <w:sz w:val="18"/>
              </w:rPr>
              <w:t xml:space="preserve">Simplified</w:t>
            </w:r>
          </w:p>
        </w:tc>
      </w:tr>
      <w:tr>
        <w:trPr>
          <w:cantSplit/>
        </w:trPr>
        <w:tc>
          <w:tcPr>
            <w:tcW w:type="dxa" w:w="2041"/>
          </w:tcPr>
          <w:p>
            <w:pPr>
              <w:pStyle w:val="Compact"/>
              <w:spacing w:after="0"/>
              <w:jc w:val="left"/>
            </w:pPr>
            <w:r>
              <w:rPr>
                <w:sz w:val="18"/>
              </w:rPr>
              <w:t xml:space="preserve">2024 output</w:t>
            </w:r>
          </w:p>
        </w:tc>
        <w:tc>
          <w:tcPr>
            <w:tcW w:type="dxa" w:w="2381"/>
          </w:tcPr>
          <w:p>
            <w:pPr>
              <w:pStyle w:val="Compact"/>
              <w:spacing w:after="0"/>
              <w:jc w:val="left"/>
            </w:pPr>
            <w:r>
              <w:rPr>
                <w:sz w:val="18"/>
              </w:rPr>
              <w:t xml:space="preserve">DRI-EAF 6.4 Mt; scrap-EAF 4.3 Mt; clinker 40 Mt; fertilizers 6.2 Mt; aluminum 0.3 Mt</w:t>
            </w:r>
          </w:p>
        </w:tc>
        <w:tc>
          <w:tcPr>
            <w:tcW w:type="dxa" w:w="3402"/>
          </w:tcPr>
          <w:p>
            <w:pPr>
              <w:pStyle w:val="Compact"/>
              <w:spacing w:after="0"/>
              <w:jc w:val="left"/>
            </w:pPr>
            <w:r>
              <w:rPr>
                <w:sz w:val="18"/>
              </w:rPr>
              <w:t xml:space="preserve">Midrex (DRI); worldsteel (steel); USGS (cement; clinker ratio 0.8); EBRD (fertilizers); Egyptalum (aluminum); splits assumed</w:t>
            </w:r>
          </w:p>
        </w:tc>
        <w:tc>
          <w:tcPr>
            <w:tcW w:type="dxa" w:w="1474"/>
          </w:tcPr>
          <w:p>
            <w:pPr>
              <w:pStyle w:val="Compact"/>
              <w:spacing w:after="0"/>
              <w:jc w:val="left"/>
            </w:pPr>
            <w:r>
              <w:rPr>
                <w:sz w:val="18"/>
              </w:rPr>
              <w:t xml:space="preserve">Sourced</w:t>
            </w:r>
          </w:p>
        </w:tc>
      </w:tr>
      <w:tr>
        <w:trPr>
          <w:cantSplit/>
        </w:trPr>
        <w:tc>
          <w:tcPr>
            <w:tcW w:type="dxa" w:w="2041"/>
          </w:tcPr>
          <w:p>
            <w:pPr>
              <w:pStyle w:val="Compact"/>
              <w:spacing w:after="0"/>
              <w:jc w:val="left"/>
            </w:pPr>
            <w:r>
              <w:rPr>
                <w:sz w:val="18"/>
              </w:rPr>
              <w:t xml:space="preserve">EU exports</w:t>
            </w:r>
          </w:p>
        </w:tc>
        <w:tc>
          <w:tcPr>
            <w:tcW w:type="dxa" w:w="2381"/>
          </w:tcPr>
          <w:p>
            <w:pPr>
              <w:pStyle w:val="Compact"/>
              <w:spacing w:after="0"/>
              <w:jc w:val="left"/>
            </w:pPr>
            <w:r>
              <w:rPr>
                <w:sz w:val="18"/>
              </w:rPr>
              <w:t xml:space="preserve">Steel 0.93 Mt; clinker 0.8 Mt; fertilizers 1.45 Mt; aluminum 167 kt</w:t>
            </w:r>
          </w:p>
        </w:tc>
        <w:tc>
          <w:tcPr>
            <w:tcW w:type="dxa" w:w="3402"/>
          </w:tcPr>
          <w:p>
            <w:pPr>
              <w:pStyle w:val="Compact"/>
              <w:spacing w:after="0"/>
              <w:jc w:val="left"/>
            </w:pPr>
            <w:r>
              <w:rPr>
                <w:sz w:val="18"/>
              </w:rPr>
              <w:t xml:space="preserve">UN Comtrade (steel); EBRD (fertilizers); Egyptalum (aluminum); clinker assumed</w:t>
            </w:r>
          </w:p>
        </w:tc>
        <w:tc>
          <w:tcPr>
            <w:tcW w:type="dxa" w:w="1474"/>
          </w:tcPr>
          <w:p>
            <w:pPr>
              <w:pStyle w:val="Compact"/>
              <w:spacing w:after="0"/>
              <w:jc w:val="left"/>
            </w:pPr>
            <w:r>
              <w:rPr>
                <w:sz w:val="18"/>
              </w:rPr>
              <w:t xml:space="preserve">Mostly sourced</w:t>
            </w:r>
          </w:p>
        </w:tc>
      </w:tr>
      <w:tr>
        <w:trPr>
          <w:cantSplit/>
        </w:trPr>
        <w:tc>
          <w:tcPr>
            <w:tcW w:type="dxa" w:w="2041"/>
          </w:tcPr>
          <w:p>
            <w:pPr>
              <w:pStyle w:val="Compact"/>
              <w:spacing w:after="0"/>
              <w:jc w:val="left"/>
            </w:pPr>
            <w:r>
              <w:rPr>
                <w:sz w:val="18"/>
              </w:rPr>
              <w:t xml:space="preserve">Growth, 2024 to 2030</w:t>
            </w:r>
          </w:p>
        </w:tc>
        <w:tc>
          <w:tcPr>
            <w:tcW w:type="dxa" w:w="2381"/>
          </w:tcPr>
          <w:p>
            <w:pPr>
              <w:pStyle w:val="Compact"/>
              <w:spacing w:after="0"/>
              <w:jc w:val="left"/>
            </w:pPr>
            <w:r>
              <w:rPr>
                <w:sz w:val="18"/>
              </w:rPr>
              <w:t xml:space="preserve">Scrap-EAF and clinker 5%; fertilizers 5.8%; DRI-EAF 2%; aluminum 0% a year</w:t>
            </w:r>
          </w:p>
        </w:tc>
        <w:tc>
          <w:tcPr>
            <w:tcW w:type="dxa" w:w="3402"/>
          </w:tcPr>
          <w:p>
            <w:pPr>
              <w:pStyle w:val="Compact"/>
              <w:spacing w:after="0"/>
              <w:jc w:val="left"/>
            </w:pPr>
            <w:r>
              <w:rPr>
                <w:sz w:val="18"/>
              </w:rPr>
              <w:t xml:space="preserve">IMF GDP forecasts (about 5%) where capacity allows; announced fertilizer capacity (+2.5 Mt); DRI at capacity plus half of the idle ESISCO plant; no new aluminum line</w:t>
            </w:r>
          </w:p>
        </w:tc>
        <w:tc>
          <w:tcPr>
            <w:tcW w:type="dxa" w:w="1474"/>
          </w:tcPr>
          <w:p>
            <w:pPr>
              <w:pStyle w:val="Compact"/>
              <w:spacing w:after="0"/>
              <w:jc w:val="left"/>
            </w:pPr>
            <w:r>
              <w:rPr>
                <w:sz w:val="18"/>
              </w:rPr>
              <w:t xml:space="preserve">Sourced, with judgment</w:t>
            </w:r>
          </w:p>
        </w:tc>
      </w:tr>
      <w:tr>
        <w:trPr>
          <w:cantSplit/>
        </w:trPr>
        <w:tc>
          <w:tcPr>
            <w:tcW w:type="dxa" w:w="2041"/>
          </w:tcPr>
          <w:p>
            <w:pPr>
              <w:pStyle w:val="Compact"/>
              <w:spacing w:after="0"/>
              <w:jc w:val="left"/>
            </w:pPr>
            <w:r>
              <w:rPr>
                <w:sz w:val="18"/>
              </w:rPr>
              <w:t xml:space="preserve">Prices (2024)</w:t>
            </w:r>
          </w:p>
        </w:tc>
        <w:tc>
          <w:tcPr>
            <w:tcW w:type="dxa" w:w="2381"/>
          </w:tcPr>
          <w:p>
            <w:pPr>
              <w:pStyle w:val="Compact"/>
              <w:spacing w:after="0"/>
              <w:jc w:val="left"/>
            </w:pPr>
            <w:r>
              <w:rPr>
                <w:sz w:val="18"/>
              </w:rPr>
              <w:t xml:space="preserve">Steel $530/t; clinker $35/t; ammonia $400/t; urea $340/t; ammonium nitrate $320/t; aluminum $2,600/t</w:t>
            </w:r>
          </w:p>
        </w:tc>
        <w:tc>
          <w:tcPr>
            <w:tcW w:type="dxa" w:w="3402"/>
          </w:tcPr>
          <w:p>
            <w:pPr>
              <w:pStyle w:val="Compact"/>
              <w:spacing w:after="0"/>
              <w:jc w:val="left"/>
            </w:pPr>
            <w:r>
              <w:rPr>
                <w:sz w:val="18"/>
              </w:rPr>
              <w:t xml:space="preserve">SteelOrbis (Egyptian billet); CW Research (Mediterranean clinker FOB); Argus and QCIntel (Middle East ammonia); World Bank Pink Sheet (urea); Egypt’s ammonium nitrate to urea price ratio; Egyptalum export value</w:t>
            </w:r>
          </w:p>
        </w:tc>
        <w:tc>
          <w:tcPr>
            <w:tcW w:type="dxa" w:w="1474"/>
          </w:tcPr>
          <w:p>
            <w:pPr>
              <w:pStyle w:val="Compact"/>
              <w:spacing w:after="0"/>
              <w:jc w:val="left"/>
            </w:pPr>
            <w:r>
              <w:rPr>
                <w:sz w:val="18"/>
              </w:rPr>
              <w:t xml:space="preserve">Sourced; ammonia approximate</w:t>
            </w:r>
          </w:p>
        </w:tc>
      </w:tr>
      <w:tr>
        <w:trPr>
          <w:cantSplit/>
        </w:trPr>
        <w:tc>
          <w:tcPr>
            <w:tcW w:type="dxa" w:w="2041"/>
          </w:tcPr>
          <w:p>
            <w:pPr>
              <w:pStyle w:val="Compact"/>
              <w:spacing w:after="0"/>
              <w:jc w:val="left"/>
            </w:pPr>
            <w:r>
              <w:rPr>
                <w:sz w:val="18"/>
              </w:rPr>
              <w:t xml:space="preserve">CBAM phase-in factor</w:t>
            </w:r>
            <w:r>
              <w:rPr>
                <w:sz w:val="18"/>
              </w:rPr>
              <w:t xml:space="preserve"> </w:t>
            </w:r>
            <m:oMath>
              <m:r>
                <m:t>γ</m:t>
              </m:r>
            </m:oMath>
          </w:p>
        </w:tc>
        <w:tc>
          <w:tcPr>
            <w:tcW w:type="dxa" w:w="2381"/>
          </w:tcPr>
          <w:p>
            <w:pPr>
              <w:pStyle w:val="Compact"/>
              <w:spacing w:after="0"/>
              <w:jc w:val="left"/>
            </w:pPr>
            <w:r>
              <w:rPr>
                <w:sz w:val="18"/>
              </w:rPr>
              <w:t xml:space="preserve">0.485 in 2030</w:t>
            </w:r>
          </w:p>
        </w:tc>
        <w:tc>
          <w:tcPr>
            <w:tcW w:type="dxa" w:w="3402"/>
          </w:tcPr>
          <w:p>
            <w:pPr>
              <w:pStyle w:val="Compact"/>
              <w:spacing w:after="0"/>
              <w:jc w:val="left"/>
            </w:pPr>
            <w:r>
              <w:rPr>
                <w:sz w:val="18"/>
              </w:rPr>
              <w:t xml:space="preserve">Regulation (EU) 2023/956</w:t>
            </w:r>
          </w:p>
        </w:tc>
        <w:tc>
          <w:tcPr>
            <w:tcW w:type="dxa" w:w="1474"/>
          </w:tcPr>
          <w:p>
            <w:pPr>
              <w:pStyle w:val="Compact"/>
              <w:spacing w:after="0"/>
              <w:jc w:val="left"/>
            </w:pPr>
            <w:r>
              <w:rPr>
                <w:sz w:val="18"/>
              </w:rPr>
              <w:t xml:space="preserve">Fixed by law</w:t>
            </w:r>
          </w:p>
        </w:tc>
      </w:tr>
      <w:tr>
        <w:trPr>
          <w:cantSplit/>
        </w:trPr>
        <w:tc>
          <w:tcPr>
            <w:tcW w:type="dxa" w:w="2041"/>
          </w:tcPr>
          <w:p>
            <w:pPr>
              <w:pStyle w:val="Compact"/>
              <w:spacing w:after="0"/>
              <w:jc w:val="left"/>
            </w:pPr>
            <w:r>
              <w:rPr>
                <w:sz w:val="18"/>
              </w:rPr>
              <w:t xml:space="preserve">EU certificate price</w:t>
            </w:r>
            <w:r>
              <w:rPr>
                <w:sz w:val="18"/>
              </w:rPr>
              <w:t xml:space="preserve"> </w:t>
            </w:r>
            <m:oMath>
              <m:sSup>
                <m:e>
                  <m:r>
                    <m:t>p</m:t>
                  </m:r>
                </m:e>
                <m:sup>
                  <m:r>
                    <m:rPr>
                      <m:sty m:val="p"/>
                    </m:rPr>
                    <m:t>E</m:t>
                  </m:r>
                  <m:r>
                    <m:rPr>
                      <m:sty m:val="p"/>
                    </m:rPr>
                    <m:t>U</m:t>
                  </m:r>
                </m:sup>
              </m:sSup>
            </m:oMath>
          </w:p>
        </w:tc>
        <w:tc>
          <w:tcPr>
            <w:tcW w:type="dxa" w:w="2381"/>
          </w:tcPr>
          <w:p>
            <w:pPr>
              <w:pStyle w:val="Compact"/>
              <w:spacing w:after="0"/>
              <w:jc w:val="left"/>
            </w:pPr>
            <w:r>
              <w:rPr>
                <w:sz w:val="18"/>
              </w:rPr>
              <w:t xml:space="preserve">$125/t in 2030</w:t>
            </w:r>
          </w:p>
        </w:tc>
        <w:tc>
          <w:tcPr>
            <w:tcW w:type="dxa" w:w="3402"/>
          </w:tcPr>
          <w:p>
            <w:pPr>
              <w:pStyle w:val="Compact"/>
              <w:spacing w:after="0"/>
              <w:jc w:val="left"/>
            </w:pPr>
            <w:r>
              <w:rPr>
                <w:sz w:val="18"/>
              </w:rPr>
              <w:t xml:space="preserve">€109/t, analysts’ average (Reuters, July 2026), at $1.15/€</w:t>
            </w:r>
          </w:p>
        </w:tc>
        <w:tc>
          <w:tcPr>
            <w:tcW w:type="dxa" w:w="1474"/>
          </w:tcPr>
          <w:p>
            <w:pPr>
              <w:pStyle w:val="Compact"/>
              <w:spacing w:after="0"/>
              <w:jc w:val="left"/>
            </w:pPr>
            <w:r>
              <w:rPr>
                <w:sz w:val="18"/>
              </w:rPr>
              <w:t xml:space="preserve">Market forecast</w:t>
            </w:r>
          </w:p>
        </w:tc>
      </w:tr>
      <w:tr>
        <w:trPr>
          <w:cantSplit/>
        </w:trPr>
        <w:tc>
          <w:tcPr>
            <w:tcW w:type="dxa" w:w="2041"/>
          </w:tcPr>
          <w:p>
            <w:pPr>
              <w:pStyle w:val="Compact"/>
              <w:spacing w:after="0"/>
              <w:jc w:val="left"/>
            </w:pPr>
            <w:r>
              <w:rPr>
                <w:sz w:val="18"/>
              </w:rPr>
              <w:t xml:space="preserve">Deduction scaling</w:t>
            </w:r>
            <w:r>
              <w:rPr>
                <w:sz w:val="18"/>
              </w:rPr>
              <w:t xml:space="preserve"> </w:t>
            </w:r>
            <m:oMath>
              <m:r>
                <m:t>κ</m:t>
              </m:r>
            </m:oMath>
          </w:p>
        </w:tc>
        <w:tc>
          <w:tcPr>
            <w:tcW w:type="dxa" w:w="2381"/>
          </w:tcPr>
          <w:p>
            <w:pPr>
              <w:pStyle w:val="Compact"/>
              <w:spacing w:after="0"/>
              <w:jc w:val="left"/>
            </w:pPr>
            <w:r>
              <w:rPr>
                <w:sz w:val="18"/>
              </w:rPr>
              <w:t xml:space="preserve">1 (full credit)</w:t>
            </w:r>
          </w:p>
        </w:tc>
        <w:tc>
          <w:tcPr>
            <w:tcW w:type="dxa" w:w="3402"/>
          </w:tcPr>
          <w:p>
            <w:pPr>
              <w:pStyle w:val="Compact"/>
              <w:spacing w:after="0"/>
              <w:jc w:val="left"/>
            </w:pPr>
            <w:r>
              <w:rPr>
                <w:sz w:val="18"/>
              </w:rPr>
              <w:t xml:space="preserve">Study assumption</w:t>
            </w:r>
          </w:p>
        </w:tc>
        <w:tc>
          <w:tcPr>
            <w:tcW w:type="dxa" w:w="1474"/>
          </w:tcPr>
          <w:p>
            <w:pPr>
              <w:pStyle w:val="Compact"/>
              <w:spacing w:after="0"/>
              <w:jc w:val="left"/>
            </w:pPr>
            <w:r>
              <w:rPr>
                <w:sz w:val="18"/>
              </w:rPr>
              <w:t xml:space="preserve">Assumption</w:t>
            </w:r>
          </w:p>
        </w:tc>
      </w:tr>
      <w:tr>
        <w:trPr>
          <w:cantSplit/>
        </w:trPr>
        <w:tc>
          <w:tcPr>
            <w:tcW w:type="dxa" w:w="2041"/>
          </w:tcPr>
          <w:p>
            <w:pPr>
              <w:pStyle w:val="Compact"/>
              <w:spacing w:after="0"/>
              <w:jc w:val="left"/>
            </w:pPr>
            <w:r>
              <w:rPr>
                <w:sz w:val="18"/>
              </w:rPr>
              <w:t xml:space="preserve">Energy CO2 share of national GHG</w:t>
            </w:r>
          </w:p>
        </w:tc>
        <w:tc>
          <w:tcPr>
            <w:tcW w:type="dxa" w:w="2381"/>
          </w:tcPr>
          <w:p>
            <w:pPr>
              <w:pStyle w:val="Compact"/>
              <w:spacing w:after="0"/>
              <w:jc w:val="left"/>
            </w:pPr>
            <w:r>
              <w:rPr>
                <w:sz w:val="18"/>
              </w:rPr>
              <w:t xml:space="preserve">65%</w:t>
            </w:r>
          </w:p>
        </w:tc>
        <w:tc>
          <w:tcPr>
            <w:tcW w:type="dxa" w:w="3402"/>
          </w:tcPr>
          <w:p>
            <w:pPr>
              <w:pStyle w:val="Compact"/>
              <w:spacing w:after="0"/>
              <w:jc w:val="left"/>
            </w:pPr>
            <w:r>
              <w:rPr>
                <w:sz w:val="18"/>
              </w:rPr>
              <w:t xml:space="preserve">Egypt BTR1 (2024): 2022 GHG 386 Mt, energy 66%</w:t>
            </w:r>
          </w:p>
        </w:tc>
        <w:tc>
          <w:tcPr>
            <w:tcW w:type="dxa" w:w="1474"/>
          </w:tcPr>
          <w:p>
            <w:pPr>
              <w:pStyle w:val="Compact"/>
              <w:spacing w:after="0"/>
              <w:jc w:val="left"/>
            </w:pPr>
            <w:r>
              <w:rPr>
                <w:sz w:val="18"/>
              </w:rPr>
              <w:t xml:space="preserve">Sourced</w:t>
            </w:r>
          </w:p>
        </w:tc>
      </w:tr>
    </w:tbl>
    <w:bookmarkEnd w:id="37"/>
    <w:bookmarkStart w:id="38" w:name="X5cf77aeeabe54a1c21675814cab4ae91a74e30b"/>
    <w:p>
      <w:pPr>
        <w:pStyle w:val="Heading1"/>
        <w:pageBreakBefore/>
        <w:widowControl/>
      </w:pPr>
      <w:r>
        <w:t xml:space="preserve">Appendix B. The fuel-intensity semi-elasticity</w:t>
      </w:r>
      <w:r>
        <w:t xml:space="preserve"> </w:t>
      </w:r>
      <m:oMath>
        <m:sSup>
          <m:e>
            <m:r>
              <m:t>β</m:t>
            </m:r>
          </m:e>
          <m:sup>
            <m:r>
              <m:t>f</m:t>
            </m:r>
          </m:sup>
        </m:sSup>
      </m:oMath>
    </w:p>
    <w:p>
      <w:pPr>
        <w:pStyle w:val="FirstParagraph"/>
        <w:widowControl/>
      </w:pPr>
      <w:r>
        <w:rPr>
          <w:bCs/>
          <w:b/>
        </w:rPr>
        <w:t xml:space="preserve">B.1 The idea.</w:t>
      </w:r>
      <w:r>
        <w:t xml:space="preserve"> </w:t>
      </w:r>
      <w:r>
        <w:t xml:space="preserve">CPAT shows how much industrial fuel CO2 falls with the carbon price, but the fall mixes two things: less output and lower emissions per tonne. The block already calculates the output part with its own price elasticities of physical output (Appendix C.1). What is left is the fall in fuel emissions per tonne, from efficiency and fuel switching, which is what CBAM measures.</w:t>
      </w:r>
    </w:p>
    <w:p>
      <w:pPr>
        <w:pStyle w:val="BodyText"/>
        <w:widowControl/>
      </w:pPr>
      <w:r>
        <w:rPr>
          <w:bCs/>
          <w:b/>
        </w:rPr>
        <w:t xml:space="preserve">B.2 The value.</w:t>
      </w:r>
      <w:r>
        <w:t xml:space="preserve"> </w:t>
      </w:r>
      <w:r>
        <w:t xml:space="preserve">In the 1A run, CPAT’s industry energy CO2 falls from 88.4 to 77.2 Mt at $20. With a price on fuel only (2A), the block’s output effect lowers its fuel emissions from 27.75 to 27.22 Mt (</w:t>
      </w:r>
      <m:oMath>
        <m:sSubSup>
          <m:e>
            <m:acc>
              <m:accPr>
                <m:chr m:val="̃"/>
              </m:accPr>
              <m:e>
                <m:r>
                  <m:t>E</m:t>
                </m:r>
              </m:e>
            </m:acc>
          </m:e>
          <m:sub>
            <m:r>
              <m:rPr>
                <m:sty m:val="p"/>
              </m:rPr>
              <m:t>C</m:t>
            </m:r>
            <m:r>
              <m:rPr>
                <m:sty m:val="p"/>
              </m:rPr>
              <m:t>B</m:t>
            </m:r>
            <m:r>
              <m:rPr>
                <m:sty m:val="p"/>
              </m:rPr>
              <m:t>A</m:t>
            </m:r>
            <m:r>
              <m:rPr>
                <m:sty m:val="p"/>
              </m:rPr>
              <m:t>M</m:t>
            </m:r>
          </m:sub>
          <m:sup>
            <m:r>
              <m:t>f</m:t>
            </m:r>
          </m:sup>
        </m:sSubSup>
      </m:oMath>
      <w:r>
        <w:t xml:space="preserve">, fuel emissions at baseline intensity and policy output).</w:t>
      </w:r>
      <w:r>
        <w:t xml:space="preserve"> </w:t>
      </w:r>
      <m:oMath>
        <m:sSup>
          <m:e>
            <m:r>
              <m:t>β</m:t>
            </m:r>
          </m:e>
          <m:sup>
            <m:r>
              <m:t>f</m:t>
            </m:r>
          </m:sup>
        </m:sSup>
      </m:oMath>
      <w:r>
        <w:t xml:space="preserve"> </w:t>
      </w:r>
      <w:r>
        <w:t xml:space="preserve">is the difference between the two log changes, per dollar:</w:t>
      </w:r>
    </w:p>
    <w:p>
      <w:pPr>
        <w:pStyle w:val="BodyText"/>
        <w:widowControl/>
      </w:pPr>
      <m:oMathPara>
        <m:oMathParaPr>
          <m:jc m:val="center"/>
        </m:oMathParaPr>
        <m:oMath>
          <m:sSup>
            <m:e>
              <m:r>
                <m:t>β</m:t>
              </m:r>
            </m:e>
            <m:sup>
              <m:r>
                <m:t>f</m:t>
              </m:r>
            </m:sup>
          </m:sSup>
          <m:r>
            <m:rPr>
              <m:sty m:val="p"/>
            </m:rPr>
            <m:t>=</m:t>
          </m:r>
          <m:r>
            <m:rPr>
              <m:sty m:val="p"/>
            </m:rPr>
            <m:t>−</m:t>
          </m:r>
          <m:f>
            <m:fPr>
              <m:type m:val="bar"/>
            </m:fPr>
            <m:num>
              <m:r>
                <m:rPr>
                  <m:sty m:val="p"/>
                </m:rPr>
                <m:t>ln</m:t>
              </m:r>
              <m:d>
                <m:dPr>
                  <m:begChr m:val="("/>
                  <m:endChr m:val=")"/>
                  <m:sepChr m:val=""/>
                  <m:grow/>
                </m:dPr>
                <m:e>
                  <m:sSub>
                    <m:e>
                      <m:acc>
                        <m:accPr>
                          <m:chr m:val="̂"/>
                        </m:accPr>
                        <m:e>
                          <m:r>
                            <m:t>E</m:t>
                          </m:r>
                        </m:e>
                      </m:acc>
                    </m:e>
                    <m:sub>
                      <m:r>
                        <m:rPr>
                          <m:sty m:val="p"/>
                        </m:rPr>
                        <m:t>i</m:t>
                      </m:r>
                      <m:r>
                        <m:rPr>
                          <m:sty m:val="p"/>
                        </m:rPr>
                        <m:t>n</m:t>
                      </m:r>
                      <m:r>
                        <m:rPr>
                          <m:sty m:val="p"/>
                        </m:rPr>
                        <m:t>d</m:t>
                      </m:r>
                    </m:sub>
                  </m:sSub>
                  <m:r>
                    <m:rPr>
                      <m:sty m:val="p"/>
                    </m:rPr>
                    <m:t>/</m:t>
                  </m:r>
                  <m:sSubSup>
                    <m:e>
                      <m:r>
                        <m:t>E</m:t>
                      </m:r>
                    </m:e>
                    <m:sub>
                      <m:r>
                        <m:rPr>
                          <m:sty m:val="p"/>
                        </m:rPr>
                        <m:t>i</m:t>
                      </m:r>
                      <m:r>
                        <m:rPr>
                          <m:sty m:val="p"/>
                        </m:rPr>
                        <m:t>n</m:t>
                      </m:r>
                      <m:r>
                        <m:rPr>
                          <m:sty m:val="p"/>
                        </m:rPr>
                        <m:t>d</m:t>
                      </m:r>
                    </m:sub>
                    <m:sup>
                      <m:r>
                        <m:t>0</m:t>
                      </m:r>
                    </m:sup>
                  </m:sSubSup>
                </m:e>
              </m:d>
              <m:r>
                <m:rPr>
                  <m:sty m:val="p"/>
                </m:rPr>
                <m:t>−</m:t>
              </m:r>
              <m:r>
                <m:rPr>
                  <m:sty m:val="p"/>
                </m:rPr>
                <m:t>ln</m:t>
              </m:r>
              <m:d>
                <m:dPr>
                  <m:begChr m:val="("/>
                  <m:endChr m:val=")"/>
                  <m:sepChr m:val=""/>
                  <m:grow/>
                </m:dPr>
                <m:e>
                  <m:sSubSup>
                    <m:e>
                      <m:acc>
                        <m:accPr>
                          <m:chr m:val="̃"/>
                        </m:accPr>
                        <m:e>
                          <m:r>
                            <m:t>E</m:t>
                          </m:r>
                        </m:e>
                      </m:acc>
                    </m:e>
                    <m:sub>
                      <m:r>
                        <m:rPr>
                          <m:sty m:val="p"/>
                        </m:rPr>
                        <m:t>C</m:t>
                      </m:r>
                      <m:r>
                        <m:rPr>
                          <m:sty m:val="p"/>
                        </m:rPr>
                        <m:t>B</m:t>
                      </m:r>
                      <m:r>
                        <m:rPr>
                          <m:sty m:val="p"/>
                        </m:rPr>
                        <m:t>A</m:t>
                      </m:r>
                      <m:r>
                        <m:rPr>
                          <m:sty m:val="p"/>
                        </m:rPr>
                        <m:t>M</m:t>
                      </m:r>
                    </m:sub>
                    <m:sup>
                      <m:r>
                        <m:t>f</m:t>
                      </m:r>
                      <m:r>
                        <m:rPr>
                          <m:sty m:val="p"/>
                        </m:rPr>
                        <m:t>,</m:t>
                      </m:r>
                      <m:r>
                        <m:rPr>
                          <m:sty m:val="p"/>
                        </m:rPr>
                        <m:t>2</m:t>
                      </m:r>
                      <m:r>
                        <m:rPr>
                          <m:sty m:val="p"/>
                        </m:rPr>
                        <m:t>A</m:t>
                      </m:r>
                    </m:sup>
                  </m:sSubSup>
                  <m:r>
                    <m:rPr>
                      <m:sty m:val="p"/>
                    </m:rPr>
                    <m:t>/</m:t>
                  </m:r>
                  <m:sSubSup>
                    <m:e>
                      <m:r>
                        <m:t>E</m:t>
                      </m:r>
                    </m:e>
                    <m:sub>
                      <m:r>
                        <m:rPr>
                          <m:sty m:val="p"/>
                        </m:rPr>
                        <m:t>C</m:t>
                      </m:r>
                      <m:r>
                        <m:rPr>
                          <m:sty m:val="p"/>
                        </m:rPr>
                        <m:t>B</m:t>
                      </m:r>
                      <m:r>
                        <m:rPr>
                          <m:sty m:val="p"/>
                        </m:rPr>
                        <m:t>A</m:t>
                      </m:r>
                      <m:r>
                        <m:rPr>
                          <m:sty m:val="p"/>
                        </m:rPr>
                        <m:t>M</m:t>
                      </m:r>
                    </m:sub>
                    <m:sup>
                      <m:r>
                        <m:t>f</m:t>
                      </m:r>
                      <m:r>
                        <m:rPr>
                          <m:sty m:val="p"/>
                        </m:rPr>
                        <m:t>,</m:t>
                      </m:r>
                      <m:r>
                        <m:t>0</m:t>
                      </m:r>
                    </m:sup>
                  </m:sSubSup>
                </m:e>
              </m:d>
            </m:num>
            <m:den>
              <m:r>
                <m:t>τ</m:t>
              </m:r>
            </m:den>
          </m:f>
        </m:oMath>
      </m:oMathPara>
    </w:p>
    <w:p>
      <w:pPr>
        <w:pStyle w:val="FirstParagraph"/>
        <w:widowControl/>
      </w:pPr>
      <m:oMathPara>
        <m:oMathParaPr>
          <m:jc m:val="center"/>
        </m:oMathParaPr>
        <m:oMath>
          <m:sSup>
            <m:e>
              <m:r>
                <m:t>β</m:t>
              </m:r>
            </m:e>
            <m:sup>
              <m:r>
                <m:t>f</m:t>
              </m:r>
            </m:sup>
          </m:sSup>
          <m:r>
            <m:rPr>
              <m:sty m:val="p"/>
            </m:rPr>
            <m:t>=</m:t>
          </m:r>
          <m:f>
            <m:fPr>
              <m:type m:val="bar"/>
            </m:fPr>
            <m:num>
              <m:r>
                <m:rPr>
                  <m:sty m:val="p"/>
                </m:rPr>
                <m:t>ln</m:t>
              </m:r>
              <m:d>
                <m:dPr>
                  <m:begChr m:val="("/>
                  <m:endChr m:val=")"/>
                  <m:sepChr m:val=""/>
                  <m:grow/>
                </m:dPr>
                <m:e>
                  <m:r>
                    <m:t>88.4</m:t>
                  </m:r>
                  <m:r>
                    <m:rPr>
                      <m:sty m:val="p"/>
                    </m:rPr>
                    <m:t>/</m:t>
                  </m:r>
                  <m:r>
                    <m:t>77.2</m:t>
                  </m:r>
                </m:e>
              </m:d>
              <m:r>
                <m:rPr>
                  <m:sty m:val="p"/>
                </m:rPr>
                <m:t>−</m:t>
              </m:r>
              <m:r>
                <m:rPr>
                  <m:sty m:val="p"/>
                </m:rPr>
                <m:t>ln</m:t>
              </m:r>
              <m:d>
                <m:dPr>
                  <m:begChr m:val="("/>
                  <m:endChr m:val=")"/>
                  <m:sepChr m:val=""/>
                  <m:grow/>
                </m:dPr>
                <m:e>
                  <m:r>
                    <m:t>27.75</m:t>
                  </m:r>
                  <m:r>
                    <m:rPr>
                      <m:sty m:val="p"/>
                    </m:rPr>
                    <m:t>/</m:t>
                  </m:r>
                  <m:r>
                    <m:t>27.22</m:t>
                  </m:r>
                </m:e>
              </m:d>
            </m:num>
            <m:den>
              <m:r>
                <m:t>20</m:t>
              </m:r>
            </m:den>
          </m:f>
          <m:r>
            <m:rPr>
              <m:sty m:val="p"/>
            </m:rPr>
            <m:t>=</m:t>
          </m:r>
          <m:f>
            <m:fPr>
              <m:type m:val="bar"/>
            </m:fPr>
            <m:num>
              <m:r>
                <m:t>0.136</m:t>
              </m:r>
              <m:r>
                <m:rPr>
                  <m:sty m:val="p"/>
                </m:rPr>
                <m:t>−</m:t>
              </m:r>
              <m:r>
                <m:t>0.019</m:t>
              </m:r>
            </m:num>
            <m:den>
              <m:r>
                <m:t>20</m:t>
              </m:r>
            </m:den>
          </m:f>
          <m:r>
            <m:rPr>
              <m:sty m:val="p"/>
            </m:rPr>
            <m:t>=</m:t>
          </m:r>
          <m:r>
            <m:t>0.0058</m:t>
          </m:r>
          <m:r>
            <m:rPr>
              <m:nor/>
              <m:sty m:val="p"/>
            </m:rPr>
            <m:t> per $/t</m:t>
          </m:r>
        </m:oMath>
      </m:oMathPara>
    </w:p>
    <w:p>
      <w:pPr>
        <w:pStyle w:val="FirstParagraph"/>
        <w:widowControl/>
      </w:pPr>
      <w:r>
        <w:t xml:space="preserve">A $20 price cuts fuel emissions per tonne by about 11%. About 85% of CPAT’s industry response is intensity and 15% output, because the products’ output responds little at $20 (Appendix C.1). The workbook calculates this live from the CPAT results. There is no circularity: the block’s output depends on the carbon cost at baseline intensity, not on</w:t>
      </w:r>
      <w:r>
        <w:t xml:space="preserve"> </w:t>
      </w:r>
      <m:oMath>
        <m:sSup>
          <m:e>
            <m:r>
              <m:t>β</m:t>
            </m:r>
          </m:e>
          <m:sup>
            <m:r>
              <m:t>f</m:t>
            </m:r>
          </m:sup>
        </m:sSup>
      </m:oMath>
      <w:r>
        <w:t xml:space="preserve">.</w:t>
      </w:r>
    </w:p>
    <w:p>
      <w:pPr>
        <w:pStyle w:val="BodyText"/>
        <w:widowControl/>
      </w:pPr>
      <w:r>
        <w:rPr>
          <w:bCs/>
          <w:b/>
        </w:rPr>
        <w:t xml:space="preserve">B.3 Why the 2A output effect.</w:t>
      </w:r>
      <w:r>
        <w:t xml:space="preserve"> </w:t>
      </w:r>
      <w:r>
        <w:t xml:space="preserve">CPAT’s industry response is a response to fuel prices. In 1A, the charge on process emissions lowers output further, but that is not part of CPAT’s fuel response. Subtracting the 1A output effect instead would give 0.0051.</w:t>
      </w:r>
    </w:p>
    <w:p>
      <w:pPr>
        <w:pStyle w:val="BodyText"/>
        <w:widowControl/>
      </w:pPr>
      <w:r>
        <w:rPr>
          <w:bCs/>
          <w:b/>
        </w:rPr>
        <w:t xml:space="preserve">B.4 Caveats and a cross-check.</w:t>
      </w:r>
      <w:r>
        <w:t xml:space="preserve"> </w:t>
      </w:r>
      <w:r>
        <w:t xml:space="preserve">CPAT’s response is for all industry (88 Mt of energy CO2), of which the block is about a third, so the residual assumes the CBAM products respond like average industry, whose fuel is also mostly natural gas. In the 3B run, where the refund protects activity, CPAT’s industry energy CO2 falls 1.2% against 2.9% in 3A, which suggests a smaller intensity response. The comparison is rough: CPAT’s refund works through energy prices, and both runs exclude diesel and gasoline.</w:t>
      </w:r>
    </w:p>
    <w:bookmarkEnd w:id="38"/>
    <w:bookmarkStart w:id="39" w:name="appendix-c.-output-and-process-responses"/>
    <w:p>
      <w:pPr>
        <w:pStyle w:val="Heading1"/>
        <w:pageBreakBefore/>
        <w:widowControl/>
      </w:pPr>
      <w:r>
        <w:t xml:space="preserve">Appendix C. Output and process responses</w:t>
      </w:r>
    </w:p>
    <w:p>
      <w:pPr>
        <w:pStyle w:val="FirstParagraph"/>
        <w:widowControl/>
      </w:pPr>
      <w:r>
        <w:rPr>
          <w:bCs/>
          <w:b/>
        </w:rPr>
        <w:t xml:space="preserve">C.1 Price elasticities of physical output</w:t>
      </w:r>
      <w:r>
        <w:t xml:space="preserve"> </w:t>
      </w:r>
      <m:oMath>
        <m:sSub>
          <m:e>
            <m:r>
              <m:t>ε</m:t>
            </m:r>
          </m:e>
          <m:sub>
            <m:r>
              <m:t>i</m:t>
            </m:r>
          </m:sub>
        </m:sSub>
      </m:oMath>
      <w:r>
        <w:t xml:space="preserve"> </w:t>
      </w:r>
      <w:r>
        <w:t xml:space="preserve">combine market demand, cost pass-through and trade exposure.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97"/>
        <w:gridCol w:w="1397"/>
        <w:gridCol w:w="5124"/>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m:oMath>
              <m:sSub>
                <m:e>
                  <m:r>
                    <m:t>ε</m:t>
                  </m:r>
                </m:e>
                <m:sub>
                  <m:r>
                    <m:t>i</m:t>
                  </m:r>
                </m:sub>
              </m:sSub>
            </m:oMath>
          </w:p>
        </w:tc>
        <w:tc>
          <w:tcPr>
            <w:shd w:val="clear" w:fill="D9E2F3"/>
          </w:tcPr>
          <w:p>
            <w:pPr>
              <w:pStyle w:val="Compact"/>
              <w:spacing w:after="0"/>
              <w:jc w:val="left"/>
            </w:pPr>
            <w:r>
              <w:rPr>
                <w:b/>
                <w:sz w:val="18"/>
              </w:rPr>
              <w:t xml:space="preserve">Basis</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−0.10</w:t>
            </w:r>
          </w:p>
        </w:tc>
        <w:tc>
          <w:tcPr/>
          <w:p>
            <w:pPr>
              <w:pStyle w:val="Compact"/>
              <w:spacing w:after="0"/>
              <w:jc w:val="left"/>
            </w:pPr>
            <w:r>
              <w:rPr>
                <w:sz w:val="18"/>
              </w:rPr>
              <w:t xml:space="preserve">Inelastic demand, low pass-through, little trade. Carbon is about half the price</w:t>
            </w:r>
          </w:p>
        </w:tc>
      </w:tr>
      <w:tr>
        <w:trPr>
          <w:cantSplit/>
        </w:trPr>
        <w:tc>
          <w:tcPr/>
          <w:p>
            <w:pPr>
              <w:pStyle w:val="Compact"/>
              <w:spacing w:after="0"/>
              <w:jc w:val="left"/>
            </w:pPr>
            <w:r>
              <w:rPr>
                <w:sz w:val="18"/>
              </w:rPr>
              <w:t xml:space="preserve">Steel</w:t>
            </w:r>
          </w:p>
        </w:tc>
        <w:tc>
          <w:tcPr/>
          <w:p>
            <w:pPr>
              <w:pStyle w:val="Compact"/>
              <w:spacing w:after="0"/>
              <w:jc w:val="left"/>
            </w:pPr>
            <w:r>
              <w:rPr>
                <w:sz w:val="18"/>
              </w:rPr>
              <w:t xml:space="preserve">−0.40</w:t>
            </w:r>
          </w:p>
        </w:tc>
        <w:tc>
          <w:tcPr/>
          <w:p>
            <w:pPr>
              <w:pStyle w:val="Compact"/>
              <w:spacing w:after="0"/>
              <w:jc w:val="left"/>
            </w:pPr>
            <w:r>
              <w:rPr>
                <w:sz w:val="18"/>
              </w:rPr>
              <w:t xml:space="preserve">Moderate demand response and import competition. Carbon is about 2% of the price</w:t>
            </w:r>
          </w:p>
        </w:tc>
      </w:tr>
      <w:tr>
        <w:trPr>
          <w:cantSplit/>
        </w:trPr>
        <w:tc>
          <w:tcPr/>
          <w:p>
            <w:pPr>
              <w:pStyle w:val="Compact"/>
              <w:spacing w:after="0"/>
              <w:jc w:val="left"/>
            </w:pPr>
            <w:r>
              <w:rPr>
                <w:sz w:val="18"/>
              </w:rPr>
              <w:t xml:space="preserve">Fertilizers</w:t>
            </w:r>
          </w:p>
        </w:tc>
        <w:tc>
          <w:tcPr/>
          <w:p>
            <w:pPr>
              <w:pStyle w:val="Compact"/>
              <w:spacing w:after="0"/>
              <w:jc w:val="left"/>
            </w:pPr>
            <w:r>
              <w:rPr>
                <w:sz w:val="18"/>
              </w:rPr>
              <w:t xml:space="preserve">−0.40</w:t>
            </w:r>
          </w:p>
        </w:tc>
        <w:tc>
          <w:tcPr/>
          <w:p>
            <w:pPr>
              <w:pStyle w:val="Compact"/>
              <w:spacing w:after="0"/>
              <w:jc w:val="left"/>
            </w:pPr>
            <w:r>
              <w:rPr>
                <w:sz w:val="18"/>
              </w:rPr>
              <w:t xml:space="preserve">Exporters are price takers. Carbon is 1 to 10% of the price</w:t>
            </w:r>
          </w:p>
        </w:tc>
      </w:tr>
      <w:tr>
        <w:trPr>
          <w:cantSplit/>
        </w:trPr>
        <w:tc>
          <w:tcPr/>
          <w:p>
            <w:pPr>
              <w:pStyle w:val="Compact"/>
              <w:spacing w:after="0"/>
              <w:jc w:val="left"/>
            </w:pPr>
            <w:r>
              <w:rPr>
                <w:sz w:val="18"/>
              </w:rPr>
              <w:t xml:space="preserve">Aluminum</w:t>
            </w:r>
          </w:p>
        </w:tc>
        <w:tc>
          <w:tcPr/>
          <w:p>
            <w:pPr>
              <w:pStyle w:val="Compact"/>
              <w:spacing w:after="0"/>
              <w:jc w:val="left"/>
            </w:pPr>
            <w:r>
              <w:rPr>
                <w:sz w:val="18"/>
              </w:rPr>
              <w:t xml:space="preserve">−0.50</w:t>
            </w:r>
          </w:p>
        </w:tc>
        <w:tc>
          <w:tcPr/>
          <w:p>
            <w:pPr>
              <w:pStyle w:val="Compact"/>
              <w:spacing w:after="0"/>
              <w:jc w:val="left"/>
            </w:pPr>
            <w:r>
              <w:rPr>
                <w:sz w:val="18"/>
              </w:rPr>
              <w:t xml:space="preserve">World-priced, mostly exported. Carbon is about 2% of the price</w:t>
            </w:r>
          </w:p>
        </w:tc>
      </w:tr>
    </w:tbl>
    <w:p>
      <w:pPr>
        <w:pStyle w:val="BodyText"/>
        <w:widowControl/>
      </w:pPr>
      <w:r>
        <w:rPr>
          <w:bCs/>
          <w:b/>
        </w:rPr>
        <w:t xml:space="preserve">C.2 Process semi-elasticities.</w:t>
      </w:r>
      <w:r>
        <w:t xml:space="preserve"> </w:t>
      </w:r>
      <w:r>
        <w:t xml:space="preserve">Process emissions per tonne follow</w:t>
      </w:r>
      <w:r>
        <w:t xml:space="preserve"> </w:t>
      </w:r>
      <m:oMath>
        <m:sSubSup>
          <m:e>
            <m:r>
              <m:t>σ</m:t>
            </m:r>
          </m:e>
          <m:sub>
            <m:r>
              <m:t>i</m:t>
            </m:r>
          </m:sub>
          <m:sup>
            <m:r>
              <m:t>p</m:t>
            </m:r>
          </m:sup>
        </m:sSubSup>
        <m:d>
          <m:dPr>
            <m:begChr m:val="("/>
            <m:endChr m:val=")"/>
            <m:sepChr m:val=""/>
            <m:grow/>
          </m:dPr>
          <m:e>
            <m:r>
              <m:t>τ</m:t>
            </m:r>
          </m:e>
        </m:d>
        <m:r>
          <m:rPr>
            <m:sty m:val="p"/>
          </m:rPr>
          <m:t>=</m:t>
        </m:r>
        <m:sSubSup>
          <m:e>
            <m:r>
              <m:t>σ</m:t>
            </m:r>
          </m:e>
          <m:sub>
            <m:r>
              <m:t>i</m:t>
            </m:r>
          </m:sub>
          <m:sup>
            <m:r>
              <m:t>p</m:t>
            </m:r>
          </m:sup>
        </m:sSubSup>
        <m:d>
          <m:dPr>
            <m:begChr m:val="("/>
            <m:endChr m:val=")"/>
            <m:sepChr m:val=""/>
            <m:grow/>
          </m:dPr>
          <m:e>
            <m:r>
              <m:t>0</m:t>
            </m:r>
          </m:e>
        </m:d>
        <m:sSup>
          <m:e>
            <m:r>
              <m:t>e</m:t>
            </m:r>
          </m:e>
          <m:sup>
            <m:r>
              <m:rPr>
                <m:sty m:val="p"/>
              </m:rPr>
              <m:t>−</m:t>
            </m:r>
            <m:sSub>
              <m:e>
                <m:r>
                  <m:t>β</m:t>
                </m:r>
              </m:e>
              <m:sub>
                <m:r>
                  <m:t>i</m:t>
                </m:r>
              </m:sub>
            </m:sSub>
            <m:r>
              <m:t>τ</m:t>
            </m:r>
          </m:sup>
        </m:sSup>
      </m:oMath>
      <w:r>
        <w:t xml:space="preserve">, separately for np and no (</w:t>
      </w:r>
      <m:oMath>
        <m:sSub>
          <m:e>
            <m:r>
              <m:t>β</m:t>
            </m:r>
          </m:e>
          <m:sub>
            <m:r>
              <m:t>i</m:t>
            </m:r>
          </m:sub>
        </m:sSub>
      </m:oMath>
      <w:r>
        <w:t xml:space="preserve"> </w:t>
      </w:r>
      <w:r>
        <w:t xml:space="preserve">stands for</w:t>
      </w:r>
      <w:r>
        <w:t xml:space="preserve"> </w:t>
      </w:r>
      <m:oMath>
        <m:sSubSup>
          <m:e>
            <m:r>
              <m:t>β</m:t>
            </m:r>
          </m:e>
          <m:sub>
            <m:r>
              <m:t>i</m:t>
            </m:r>
          </m:sub>
          <m:sup>
            <m:r>
              <m:rPr>
                <m:sty m:val="p"/>
              </m:rPr>
              <m:t>n</m:t>
            </m:r>
            <m:r>
              <m:rPr>
                <m:sty m:val="p"/>
              </m:rPr>
              <m:t>p</m:t>
            </m:r>
          </m:sup>
        </m:sSubSup>
      </m:oMath>
      <w:r>
        <w:t xml:space="preserve"> </w:t>
      </w:r>
      <w:r>
        <w:t xml:space="preserve">or</w:t>
      </w:r>
      <w:r>
        <w:t xml:space="preserve"> </w:t>
      </w:r>
      <m:oMath>
        <m:sSubSup>
          <m:e>
            <m:r>
              <m:t>β</m:t>
            </m:r>
          </m:e>
          <m:sub>
            <m:r>
              <m:t>i</m:t>
            </m:r>
          </m:sub>
          <m:sup>
            <m:r>
              <m:rPr>
                <m:sty m:val="p"/>
              </m:rPr>
              <m:t>n</m:t>
            </m:r>
            <m:r>
              <m:rPr>
                <m:sty m:val="p"/>
              </m:rPr>
              <m:t>o</m:t>
            </m:r>
          </m:sup>
        </m:sSubSup>
      </m:oMath>
      <w:r>
        <w:t xml:space="preserve">). Each is fitted to the share of process emissions that known abatement options remove at about $120/t (2024 prices), from IPCC AR6 WGIII (Tables 11.3 and 12.3) and, for N2O and PFCs, IPCC AR4 WGIII Chapter 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1697"/>
        <w:gridCol w:w="1697"/>
        <w:gridCol w:w="2828"/>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w:r>
              <w:rPr>
                <w:b/>
                <w:sz w:val="18"/>
              </w:rPr>
              <w:t xml:space="preserve">Cut at about $120/t</w:t>
            </w:r>
          </w:p>
        </w:tc>
        <w:tc>
          <w:tcPr>
            <w:shd w:val="clear" w:fill="D9E2F3"/>
          </w:tcPr>
          <w:p>
            <w:pPr>
              <w:pStyle w:val="Compact"/>
              <w:spacing w:after="0"/>
              <w:jc w:val="left"/>
            </w:pPr>
            <m:oMath>
              <m:sSub>
                <m:e>
                  <m:r>
                    <m:t>β</m:t>
                  </m:r>
                </m:e>
                <m:sub>
                  <m:r>
                    <m:t>i</m:t>
                  </m:r>
                </m:sub>
              </m:sSub>
            </m:oMath>
            <w:r>
              <w:rPr>
                <w:b/>
                <w:sz w:val="18"/>
              </w:rPr>
              <w:t xml:space="preserve"> </w:t>
            </w:r>
            <w:r>
              <w:rPr>
                <w:b/>
                <w:sz w:val="18"/>
              </w:rPr>
              <w:t xml:space="preserve">(per $/t)</w:t>
            </w:r>
          </w:p>
        </w:tc>
        <w:tc>
          <w:tcPr>
            <w:shd w:val="clear" w:fill="D9E2F3"/>
          </w:tcPr>
          <w:p>
            <w:pPr>
              <w:pStyle w:val="Compact"/>
              <w:spacing w:after="0"/>
              <w:jc w:val="left"/>
            </w:pPr>
            <w:r>
              <w:rPr>
                <w:b/>
                <w:sz w:val="18"/>
              </w:rPr>
              <w:t xml:space="preserve">Main options</w:t>
            </w:r>
          </w:p>
        </w:tc>
      </w:tr>
      <w:tr>
        <w:trPr>
          <w:cantSplit/>
        </w:trPr>
        <w:tc>
          <w:tcPr/>
          <w:p>
            <w:pPr>
              <w:pStyle w:val="Compact"/>
              <w:spacing w:after="0"/>
              <w:jc w:val="left"/>
            </w:pPr>
            <w:r>
              <w:rPr>
                <w:sz w:val="18"/>
              </w:rPr>
              <w:t xml:space="preserve">DRI-EAF steel</w:t>
            </w:r>
          </w:p>
        </w:tc>
        <w:tc>
          <w:tcPr/>
          <w:p>
            <w:pPr>
              <w:pStyle w:val="Compact"/>
              <w:spacing w:after="0"/>
              <w:jc w:val="left"/>
            </w:pPr>
            <w:r>
              <w:rPr>
                <w:sz w:val="18"/>
              </w:rPr>
              <w:t xml:space="preserve">34%</w:t>
            </w:r>
          </w:p>
        </w:tc>
        <w:tc>
          <w:tcPr/>
          <w:p>
            <w:pPr>
              <w:pStyle w:val="Compact"/>
              <w:spacing w:after="0"/>
              <w:jc w:val="left"/>
            </w:pPr>
            <w:r>
              <w:rPr>
                <w:sz w:val="18"/>
              </w:rPr>
              <w:t xml:space="preserve">0.0034</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Scrap-EAF steel</w:t>
            </w:r>
          </w:p>
        </w:tc>
        <w:tc>
          <w:tcPr/>
          <w:p>
            <w:pPr>
              <w:pStyle w:val="Compact"/>
              <w:spacing w:after="0"/>
              <w:jc w:val="left"/>
            </w:pPr>
            <w:r>
              <w:rPr>
                <w:sz w:val="18"/>
              </w:rPr>
              <w:t xml:space="preserve">18%</w:t>
            </w:r>
          </w:p>
        </w:tc>
        <w:tc>
          <w:tcPr/>
          <w:p>
            <w:pPr>
              <w:pStyle w:val="Compact"/>
              <w:spacing w:after="0"/>
              <w:jc w:val="left"/>
            </w:pPr>
            <w:r>
              <w:rPr>
                <w:sz w:val="18"/>
              </w:rPr>
              <w:t xml:space="preserve">0.0016</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34%</w:t>
            </w:r>
          </w:p>
        </w:tc>
        <w:tc>
          <w:tcPr/>
          <w:p>
            <w:pPr>
              <w:pStyle w:val="Compact"/>
              <w:spacing w:after="0"/>
              <w:jc w:val="left"/>
            </w:pPr>
            <w:r>
              <w:rPr>
                <w:sz w:val="18"/>
              </w:rPr>
              <w:t xml:space="preserve">0.0033</w:t>
            </w:r>
          </w:p>
        </w:tc>
        <w:tc>
          <w:tcPr/>
          <w:p>
            <w:pPr>
              <w:pStyle w:val="Compact"/>
              <w:spacing w:after="0"/>
              <w:jc w:val="left"/>
            </w:pPr>
            <w:r>
              <w:rPr>
                <w:sz w:val="18"/>
              </w:rPr>
              <w:t xml:space="preserve">Clinker substitution</w:t>
            </w:r>
          </w:p>
        </w:tc>
      </w:tr>
      <w:tr>
        <w:trPr>
          <w:cantSplit/>
        </w:trPr>
        <w:tc>
          <w:tcPr/>
          <w:p>
            <w:pPr>
              <w:pStyle w:val="Compact"/>
              <w:spacing w:after="0"/>
              <w:jc w:val="left"/>
            </w:pPr>
            <w:r>
              <w:rPr>
                <w:sz w:val="18"/>
              </w:rPr>
              <w:t xml:space="preserve">Ammonia, urea</w:t>
            </w:r>
          </w:p>
        </w:tc>
        <w:tc>
          <w:tcPr/>
          <w:p>
            <w:pPr>
              <w:pStyle w:val="Compact"/>
              <w:spacing w:after="0"/>
              <w:jc w:val="left"/>
            </w:pPr>
            <w:r>
              <w:rPr>
                <w:sz w:val="18"/>
              </w:rPr>
              <w:t xml:space="preserve">none</w:t>
            </w:r>
          </w:p>
        </w:tc>
        <w:tc>
          <w:tcPr/>
          <w:p>
            <w:pPr>
              <w:pStyle w:val="Compact"/>
              <w:spacing w:after="0"/>
              <w:jc w:val="left"/>
            </w:pPr>
            <w:r>
              <w:rPr>
                <w:sz w:val="18"/>
              </w:rPr>
              <w:t xml:space="preserve">0</w:t>
            </w:r>
          </w:p>
        </w:tc>
        <w:tc>
          <w:tcPr/>
          <w:p>
            <w:pPr>
              <w:pStyle w:val="Compact"/>
              <w:spacing w:after="0"/>
              <w:jc w:val="left"/>
            </w:pPr>
            <w:r>
              <w:rPr>
                <w:sz w:val="18"/>
              </w:rPr>
              <w:t xml:space="preserve">Fuel response only</w:t>
            </w:r>
          </w:p>
        </w:tc>
      </w:tr>
      <w:tr>
        <w:trPr>
          <w:cantSplit/>
        </w:trPr>
        <w:tc>
          <w:tcPr/>
          <w:p>
            <w:pPr>
              <w:pStyle w:val="Compact"/>
              <w:spacing w:after="0"/>
              <w:jc w:val="left"/>
            </w:pPr>
            <w:r>
              <w:rPr>
                <w:sz w:val="18"/>
              </w:rPr>
              <w:t xml:space="preserve">Ammonium nitrate</w:t>
            </w:r>
          </w:p>
        </w:tc>
        <w:tc>
          <w:tcPr/>
          <w:p>
            <w:pPr>
              <w:pStyle w:val="Compact"/>
              <w:spacing w:after="0"/>
              <w:jc w:val="left"/>
            </w:pPr>
            <w:r>
              <w:rPr>
                <w:sz w:val="18"/>
              </w:rPr>
              <w:t xml:space="preserve">62%</w:t>
            </w:r>
          </w:p>
        </w:tc>
        <w:tc>
          <w:tcPr/>
          <w:p>
            <w:pPr>
              <w:pStyle w:val="Compact"/>
              <w:spacing w:after="0"/>
              <w:jc w:val="left"/>
            </w:pPr>
            <w:r>
              <w:rPr>
                <w:sz w:val="18"/>
              </w:rPr>
              <w:t xml:space="preserve">0.0079</w:t>
            </w:r>
          </w:p>
        </w:tc>
        <w:tc>
          <w:tcPr/>
          <w:p>
            <w:pPr>
              <w:pStyle w:val="Compact"/>
              <w:spacing w:after="0"/>
              <w:jc w:val="left"/>
            </w:pPr>
            <w:r>
              <w:rPr>
                <w:sz w:val="18"/>
              </w:rPr>
              <w:t xml:space="preserve">N2O catalysts in nitric acid</w:t>
            </w:r>
          </w:p>
        </w:tc>
      </w:tr>
      <w:tr>
        <w:trPr>
          <w:cantSplit/>
        </w:trPr>
        <w:tc>
          <w:tcPr/>
          <w:p>
            <w:pPr>
              <w:pStyle w:val="Compact"/>
              <w:spacing w:after="0"/>
              <w:jc w:val="left"/>
            </w:pPr>
            <w:r>
              <w:rPr>
                <w:sz w:val="18"/>
              </w:rPr>
              <w:t xml:space="preserve">Primary aluminum</w:t>
            </w:r>
          </w:p>
        </w:tc>
        <w:tc>
          <w:tcPr/>
          <w:p>
            <w:pPr>
              <w:pStyle w:val="Compact"/>
              <w:spacing w:after="0"/>
              <w:jc w:val="left"/>
            </w:pPr>
            <w:r>
              <w:rPr>
                <w:sz w:val="18"/>
              </w:rPr>
              <w:t xml:space="preserve">22%</w:t>
            </w:r>
          </w:p>
        </w:tc>
        <w:tc>
          <w:tcPr/>
          <w:p>
            <w:pPr>
              <w:pStyle w:val="Compact"/>
              <w:spacing w:after="0"/>
              <w:jc w:val="left"/>
            </w:pPr>
            <w:r>
              <w:rPr>
                <w:sz w:val="18"/>
              </w:rPr>
              <w:t xml:space="preserve">0.0020</w:t>
            </w:r>
          </w:p>
        </w:tc>
        <w:tc>
          <w:tcPr/>
          <w:p>
            <w:pPr>
              <w:pStyle w:val="Compact"/>
              <w:spacing w:after="0"/>
              <w:jc w:val="left"/>
            </w:pPr>
            <w:r>
              <w:rPr>
                <w:sz w:val="18"/>
              </w:rPr>
              <w:t xml:space="preserve">Anode and PFC control</w:t>
            </w:r>
          </w:p>
        </w:tc>
      </w:tr>
    </w:tbl>
    <w:p>
      <w:pPr>
        <w:pStyle w:val="BodyText"/>
        <w:widowControl/>
      </w:pPr>
      <w:r>
        <w:t xml:space="preserve">At $20, these cut process intensity by about 2 to 8%, and more for ammonium nitrate.</w:t>
      </w:r>
    </w:p>
    <w:bookmarkEnd w:id="39"/>
    <w:bookmarkStart w:id="40" w:name="appendix-d.-emission-factors"/>
    <w:p>
      <w:pPr>
        <w:pStyle w:val="Heading1"/>
        <w:pageBreakBefore/>
        <w:widowControl/>
      </w:pPr>
      <w:r>
        <w:t xml:space="preserve">Appendix D. Emission factors</w:t>
      </w:r>
    </w:p>
    <w:p>
      <w:pPr>
        <w:pStyle w:val="FirstParagraph"/>
        <w:widowControl/>
      </w:pPr>
      <w:r>
        <w:rPr>
          <w:bCs/>
          <w:b/>
        </w:rPr>
        <w:t xml:space="preserve">D.1 Boundary and categories.</w:t>
      </w:r>
      <w:r>
        <w:t xml:space="preserve"> </w:t>
      </w:r>
      <w:r>
        <w:t xml:space="preserve">Each factor is the direct (Scope 1) emissions of the installation that makes the good, per tonne, on CBAM boundaries: crude steel at the melt shop, clinker at the kiln, the ammonia complex, the urea plant, the ammonium nitrate plant and the primary aluminum smelter. Electricity (Scope 2) is excluded. The four categories are additive,</w:t>
      </w:r>
      <w:r>
        <w:t xml:space="preserve"> </w:t>
      </w:r>
      <m:oMath>
        <m:sSub>
          <m:e>
            <m:r>
              <m:t>σ</m:t>
            </m:r>
          </m:e>
          <m:sub>
            <m:r>
              <m:t>i</m:t>
            </m:r>
          </m:sub>
        </m:sSub>
        <m:r>
          <m:rPr>
            <m:sty m:val="p"/>
          </m:rPr>
          <m:t>=</m:t>
        </m:r>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r>
          <m:rPr>
            <m:sty m:val="p"/>
          </m:rPr>
          <m:t>+</m:t>
        </m:r>
        <m:sSubSup>
          <m:e>
            <m:r>
              <m:t>σ</m:t>
            </m:r>
          </m:e>
          <m:sub>
            <m:r>
              <m:t>i</m:t>
            </m:r>
          </m:sub>
          <m:sup>
            <m:r>
              <m:rPr>
                <m:sty m:val="p"/>
              </m:rPr>
              <m:t>n</m:t>
            </m:r>
            <m:r>
              <m:rPr>
                <m:sty m:val="p"/>
              </m:rPr>
              <m:t>p</m:t>
            </m:r>
          </m:sup>
        </m:sSubSup>
        <m:r>
          <m:rPr>
            <m:sty m:val="p"/>
          </m:rPr>
          <m:t>+</m:t>
        </m:r>
        <m:sSubSup>
          <m:e>
            <m:r>
              <m:t>σ</m:t>
            </m:r>
          </m:e>
          <m:sub>
            <m:r>
              <m:t>i</m:t>
            </m:r>
          </m:sub>
          <m:sup>
            <m:r>
              <m:rPr>
                <m:sty m:val="p"/>
              </m:rPr>
              <m:t>n</m:t>
            </m:r>
            <m:r>
              <m:rPr>
                <m:sty m:val="p"/>
              </m:rPr>
              <m:t>o</m:t>
            </m:r>
          </m:sup>
        </m:sSubSup>
      </m:oMath>
      <w:r>
        <w:t xml:space="preserve">; the split assigns carbon to categories and never changes the total.</w:t>
      </w:r>
    </w:p>
    <w:p>
      <w:pPr>
        <w:pStyle w:val="BodyText"/>
        <w:widowControl/>
      </w:pPr>
      <w:r>
        <w:rPr>
          <w:bCs/>
          <w:b/>
        </w:rPr>
        <w:t xml:space="preserve">D.2 Rules.</w:t>
      </w:r>
    </w:p>
    <w:p>
      <w:pPr>
        <w:widowControl/>
        <w:numPr>
          <w:ilvl w:val="0"/>
          <w:numId w:val="1007"/>
        </w:numPr>
        <w:pStyle w:val="Compact"/>
      </w:pPr>
      <w:r>
        <w:rPr>
          <w:bCs/>
          <w:b/>
        </w:rPr>
        <w:t xml:space="preserve">Fuel for heat or as an input.</w:t>
      </w:r>
      <w:r>
        <w:t xml:space="preserve"> </w:t>
      </w:r>
      <w:r>
        <w:t xml:space="preserve">Fuel carbon charged into the process as a reductant or feedstock (ammonia reformer feed gas, DRI reducing gas) is</w:t>
      </w:r>
      <w:r>
        <w:t xml:space="preserve"> </w:t>
      </w:r>
      <m:oMath>
        <m:sSup>
          <m:e>
            <m:r>
              <m:t>σ</m:t>
            </m:r>
          </m:e>
          <m:sup>
            <m:r>
              <m:rPr>
                <m:sty m:val="p"/>
              </m:rPr>
              <m:t>f</m:t>
            </m:r>
            <m:r>
              <m:rPr>
                <m:sty m:val="p"/>
              </m:rPr>
              <m:t>p</m:t>
            </m:r>
          </m:sup>
        </m:sSup>
      </m:oMath>
      <w:r>
        <w:t xml:space="preserve">; fuel burned for heat is</w:t>
      </w:r>
      <w:r>
        <w:t xml:space="preserve"> </w:t>
      </w:r>
      <m:oMath>
        <m:sSup>
          <m:e>
            <m:r>
              <m:t>σ</m:t>
            </m:r>
          </m:e>
          <m:sup>
            <m:r>
              <m:rPr>
                <m:sty m:val="p"/>
              </m:rPr>
              <m:t>f</m:t>
            </m:r>
            <m:r>
              <m:rPr>
                <m:sty m:val="p"/>
              </m:rPr>
              <m:t>c</m:t>
            </m:r>
          </m:sup>
        </m:sSup>
      </m:oMath>
      <w:r>
        <w:t xml:space="preserve">. Carbon retained in DRI is carried into the electric arc furnace and counted there.</w:t>
      </w:r>
    </w:p>
    <w:p>
      <w:pPr>
        <w:widowControl/>
        <w:numPr>
          <w:ilvl w:val="0"/>
          <w:numId w:val="1007"/>
        </w:numPr>
        <w:pStyle w:val="Compact"/>
      </w:pPr>
      <w:r>
        <w:rPr>
          <w:bCs/>
          <w:b/>
        </w:rPr>
        <w:t xml:space="preserve">Process CO2</w:t>
      </w:r>
      <w:r>
        <w:t xml:space="preserve"> </w:t>
      </w:r>
      <w:r>
        <w:t xml:space="preserve">(</w:t>
      </w:r>
      <m:oMath>
        <m:sSup>
          <m:e>
            <m:r>
              <m:t>σ</m:t>
            </m:r>
          </m:e>
          <m:sup>
            <m:r>
              <m:rPr>
                <m:sty m:val="p"/>
              </m:rPr>
              <m:t>n</m:t>
            </m:r>
            <m:r>
              <m:rPr>
                <m:sty m:val="p"/>
              </m:rPr>
              <m:t>p</m:t>
            </m:r>
          </m:sup>
        </m:sSup>
      </m:oMath>
      <w:r>
        <w:t xml:space="preserve">) is computed from chemistry: 0.785 t CO2 per tonne of CaO and 1.092 per tonne of MgO, with a kiln-dust correction. Electrode, charge-carbon and anode carbon use CBAM carbon contents (1 t carbon = 3.664 t CO2).</w:t>
      </w:r>
    </w:p>
    <w:p>
      <w:pPr>
        <w:widowControl/>
        <w:numPr>
          <w:ilvl w:val="0"/>
          <w:numId w:val="1007"/>
        </w:numPr>
        <w:pStyle w:val="Compact"/>
      </w:pPr>
      <w:r>
        <w:rPr>
          <w:bCs/>
          <w:b/>
        </w:rPr>
        <w:t xml:space="preserve">Non-CO2 gases</w:t>
      </w:r>
      <w:r>
        <w:t xml:space="preserve"> </w:t>
      </w:r>
      <w:r>
        <w:t xml:space="preserve">(</w:t>
      </w:r>
      <m:oMath>
        <m:sSup>
          <m:e>
            <m:r>
              <m:t>σ</m:t>
            </m:r>
          </m:e>
          <m:sup>
            <m:r>
              <m:rPr>
                <m:sty m:val="p"/>
              </m:rPr>
              <m:t>n</m:t>
            </m:r>
            <m:r>
              <m:rPr>
                <m:sty m:val="p"/>
              </m:rPr>
              <m:t>o</m:t>
            </m:r>
          </m:sup>
        </m:sSup>
      </m:oMath>
      <w:r>
        <w:t xml:space="preserve">) are kg of gas per tonne times the global warming potentials used by CBAM (IPCC AR5): N2O 265, CF4 6,630, C2F6 11,100.</w:t>
      </w:r>
    </w:p>
    <w:p>
      <w:pPr>
        <w:widowControl/>
        <w:numPr>
          <w:ilvl w:val="0"/>
          <w:numId w:val="1007"/>
        </w:numPr>
        <w:pStyle w:val="Compact"/>
      </w:pPr>
      <w:r>
        <w:rPr>
          <w:bCs/>
          <w:b/>
        </w:rPr>
        <w:t xml:space="preserve">Natural gas</w:t>
      </w:r>
      <w:r>
        <w:t xml:space="preserve"> </w:t>
      </w:r>
      <w:r>
        <w:t xml:space="preserve">emits 0.0561 t CO2 per GJ.</w:t>
      </w:r>
    </w:p>
    <w:p>
      <w:pPr>
        <w:widowControl/>
        <w:numPr>
          <w:ilvl w:val="0"/>
          <w:numId w:val="1007"/>
        </w:numPr>
        <w:pStyle w:val="Compact"/>
      </w:pPr>
      <w:r>
        <w:rPr>
          <w:bCs/>
          <w:b/>
        </w:rPr>
        <w:t xml:space="preserve">CBAM conventions.</w:t>
      </w:r>
      <w:r>
        <w:t xml:space="preserve"> </w:t>
      </w:r>
      <w:r>
        <w:t xml:space="preserve">CO2 bound in urea is counted at the ammonia plant, so urea’s process CO2 is zero. The N2O from the nitric acid used in ammonium nitrate (0.79 t per tonne of ammonium nitrate) is included in ammonium nitrate’s own non-CO2 factor.</w:t>
      </w:r>
    </w:p>
    <w:p>
      <w:pPr>
        <w:pStyle w:val="FirstParagraph"/>
        <w:widowControl/>
      </w:pPr>
      <w:r>
        <w:rPr>
          <w:bCs/>
          <w:b/>
        </w:rPr>
        <w:t xml:space="preserve">D.3 Derivation by product</w:t>
      </w:r>
      <w:r>
        <w:t xml:space="preserve"> </w:t>
      </w:r>
      <w:r>
        <w:t xml:space="preserve">(t CO2e per tonne).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6222"/>
      </w:tblGrid>
      <w:tr>
        <w:trPr>
          <w:tblHeader w:val="true"/>
          <w:cantSplit/>
        </w:trPr>
        <w:tc>
          <w:tcPr>
            <w:shd w:val="clear" w:fill="D9E2F3"/>
          </w:tcPr>
          <w:p>
            <w:pPr>
              <w:pStyle w:val="Compact"/>
              <w:spacing w:after="0"/>
              <w:jc w:val="left"/>
            </w:pPr>
            <w:r>
              <w:rPr>
                <w:b/>
                <w:sz w:val="16"/>
              </w:rPr>
              <w:t xml:space="preserve">Product</w:t>
            </w:r>
          </w:p>
        </w:tc>
        <w:tc>
          <w:tcPr>
            <w:shd w:val="clear" w:fill="D9E2F3"/>
          </w:tcPr>
          <w:p>
            <w:pPr>
              <w:pStyle w:val="Compact"/>
              <w:spacing w:after="0"/>
              <w:jc w:val="left"/>
            </w:pPr>
            <w:r>
              <w:rPr>
                <w:b/>
                <w:sz w:val="16"/>
              </w:rPr>
              <w:t xml:space="preserve">Derivation</w:t>
            </w:r>
          </w:p>
        </w:tc>
      </w:tr>
      <w:tr>
        <w:trPr>
          <w:cantSplit/>
        </w:trPr>
        <w:tc>
          <w:tcPr/>
          <w:p>
            <w:pPr>
              <w:pStyle w:val="Compact"/>
              <w:spacing w:after="0"/>
              <w:jc w:val="left"/>
            </w:pPr>
            <w:r>
              <w:rPr>
                <w:sz w:val="16"/>
              </w:rPr>
              <w:t xml:space="preserve">DRI (input to steel)</w:t>
            </w:r>
          </w:p>
        </w:tc>
        <w:tc>
          <w:tcPr/>
          <w:p>
            <w:pPr>
              <w:pStyle w:val="Compact"/>
              <w:spacing w:after="0"/>
              <w:jc w:val="left"/>
            </w:pPr>
            <m:oMath>
              <m:sSup>
                <m:e>
                  <m:r>
                    <m:t>σ</m:t>
                  </m:r>
                </m:e>
                <m:sup>
                  <m:r>
                    <m:rPr>
                      <m:sty m:val="p"/>
                    </m:rPr>
                    <m:t>f</m:t>
                  </m:r>
                  <m:r>
                    <m:rPr>
                      <m:sty m:val="p"/>
                    </m:rPr>
                    <m:t>p</m:t>
                  </m:r>
                </m:sup>
              </m:sSup>
            </m:oMath>
            <w:r>
              <w:rPr>
                <w:sz w:val="16"/>
              </w:rPr>
              <w:t xml:space="preserve">: 10.5 GJ gas × 75% used as reductant × 0.0561, less carbon retained in DRI = 0.372.</w:t>
            </w:r>
            <w:r>
              <w:rPr>
                <w:sz w:val="16"/>
              </w:rPr>
              <w:t xml:space="preserve"> </w:t>
            </w:r>
            <m:oMath>
              <m:sSup>
                <m:e>
                  <m:r>
                    <m:t>σ</m:t>
                  </m:r>
                </m:e>
                <m:sup>
                  <m:r>
                    <m:rPr>
                      <m:sty m:val="p"/>
                    </m:rPr>
                    <m:t>f</m:t>
                  </m:r>
                  <m:r>
                    <m:rPr>
                      <m:sty m:val="p"/>
                    </m:rPr>
                    <m:t>c</m:t>
                  </m:r>
                </m:sup>
              </m:sSup>
            </m:oMath>
            <w:r>
              <w:rPr>
                <w:sz w:val="16"/>
              </w:rPr>
              <w:t xml:space="preserve">: 10.5 GJ × 25% burned × 0.0561 = 0.147</w:t>
            </w:r>
          </w:p>
        </w:tc>
      </w:tr>
      <w:tr>
        <w:trPr>
          <w:cantSplit/>
        </w:trPr>
        <w:tc>
          <w:tcPr/>
          <w:p>
            <w:pPr>
              <w:pStyle w:val="Compact"/>
              <w:spacing w:after="0"/>
              <w:jc w:val="left"/>
            </w:pPr>
            <w:r>
              <w:rPr>
                <w:sz w:val="16"/>
              </w:rPr>
              <w:t xml:space="preserve">DRI-EAF steel</w:t>
            </w:r>
          </w:p>
        </w:tc>
        <w:tc>
          <w:tcPr/>
          <w:p>
            <w:pPr>
              <w:pStyle w:val="Compact"/>
              <w:spacing w:after="0"/>
              <w:jc w:val="left"/>
            </w:pPr>
            <w:r>
              <w:rPr>
                <w:sz w:val="16"/>
              </w:rPr>
              <w:t xml:space="preserve">0.98 t DRI per tonne of steel, plus the furnace:</w:t>
            </w:r>
            <w:r>
              <w:rPr>
                <w:sz w:val="16"/>
              </w:rPr>
              <w:t xml:space="preserve"> </w:t>
            </w:r>
            <m:oMath>
              <m:sSup>
                <m:e>
                  <m:r>
                    <m:t>σ</m:t>
                  </m:r>
                </m:e>
                <m:sup>
                  <m:r>
                    <m:rPr>
                      <m:sty m:val="p"/>
                    </m:rPr>
                    <m:t>f</m:t>
                  </m:r>
                  <m:r>
                    <m:rPr>
                      <m:sty m:val="p"/>
                    </m:rPr>
                    <m:t>c</m:t>
                  </m:r>
                </m:sup>
              </m:sSup>
            </m:oMath>
            <w:r>
              <w:rPr>
                <w:sz w:val="16"/>
              </w:rPr>
              <w:t xml:space="preserve"> </w:t>
            </w:r>
            <w:r>
              <w:rPr>
                <w:sz w:val="16"/>
              </w:rPr>
              <w:t xml:space="preserve">adds 0.6 GJ gas × 0.0561;</w:t>
            </w:r>
            <w:r>
              <w:rPr>
                <w:sz w:val="16"/>
              </w:rPr>
              <w:t xml:space="preserve"> </w:t>
            </w:r>
            <m:oMath>
              <m:sSup>
                <m:e>
                  <m:r>
                    <m:t>σ</m:t>
                  </m:r>
                </m:e>
                <m:sup>
                  <m:r>
                    <m:rPr>
                      <m:sty m:val="p"/>
                    </m:rPr>
                    <m:t>f</m:t>
                  </m:r>
                  <m:r>
                    <m:rPr>
                      <m:sty m:val="p"/>
                    </m:rPr>
                    <m:t>p</m:t>
                  </m:r>
                </m:sup>
              </m:sSup>
            </m:oMath>
            <w:r>
              <w:rPr>
                <w:sz w:val="16"/>
              </w:rPr>
              <w:t xml:space="preserve"> </w:t>
            </w:r>
            <w:r>
              <w:rPr>
                <w:sz w:val="16"/>
              </w:rPr>
              <w:t xml:space="preserve">adds DRI carbon less carbon in the steel;</w:t>
            </w:r>
            <w:r>
              <w:rPr>
                <w:sz w:val="16"/>
              </w:rPr>
              <w:t xml:space="preserve"> </w:t>
            </w:r>
            <m:oMath>
              <m:sSup>
                <m:e>
                  <m:r>
                    <m:t>σ</m:t>
                  </m:r>
                </m:e>
                <m:sup>
                  <m:r>
                    <m:rPr>
                      <m:sty m:val="p"/>
                    </m:rPr>
                    <m:t>n</m:t>
                  </m:r>
                  <m:r>
                    <m:rPr>
                      <m:sty m:val="p"/>
                    </m:rPr>
                    <m:t>p</m:t>
                  </m:r>
                </m:sup>
              </m:sSup>
            </m:oMath>
            <w:r>
              <w:rPr>
                <w:sz w:val="16"/>
              </w:rPr>
              <w:t xml:space="preserve"> </w:t>
            </w:r>
            <w:r>
              <w:rPr>
                <w:sz w:val="16"/>
              </w:rPr>
              <w:t xml:space="preserve">is electrodes, charge carbon and limestone</w:t>
            </w:r>
          </w:p>
        </w:tc>
      </w:tr>
      <w:tr>
        <w:trPr>
          <w:cantSplit/>
        </w:trPr>
        <w:tc>
          <w:tcPr/>
          <w:p>
            <w:pPr>
              <w:pStyle w:val="Compact"/>
              <w:spacing w:after="0"/>
              <w:jc w:val="left"/>
            </w:pPr>
            <w:r>
              <w:rPr>
                <w:sz w:val="16"/>
              </w:rPr>
              <w:t xml:space="preserve">Scrap-EAF steel</w:t>
            </w:r>
          </w:p>
        </w:tc>
        <w:tc>
          <w:tcPr/>
          <w:p>
            <w:pPr>
              <w:pStyle w:val="Compact"/>
              <w:spacing w:after="0"/>
              <w:jc w:val="left"/>
            </w:pPr>
            <w:r>
              <w:rPr>
                <w:sz w:val="16"/>
              </w:rPr>
              <w:t xml:space="preserve">Furnace terms only: gas for heat (</w:t>
            </w:r>
            <m:oMath>
              <m:sSup>
                <m:e>
                  <m:r>
                    <m:t>σ</m:t>
                  </m:r>
                </m:e>
                <m:sup>
                  <m:r>
                    <m:rPr>
                      <m:sty m:val="p"/>
                    </m:rPr>
                    <m:t>f</m:t>
                  </m:r>
                  <m:r>
                    <m:rPr>
                      <m:sty m:val="p"/>
                    </m:rPr>
                    <m:t>c</m:t>
                  </m:r>
                </m:sup>
              </m:sSup>
            </m:oMath>
            <w:r>
              <w:rPr>
                <w:sz w:val="16"/>
              </w:rPr>
              <w:t xml:space="preserve">) and electrodes, charge carbon and limestone (</w:t>
            </w:r>
            <m:oMath>
              <m:sSup>
                <m:e>
                  <m:r>
                    <m:t>σ</m:t>
                  </m:r>
                </m:e>
                <m:sup>
                  <m:r>
                    <m:rPr>
                      <m:sty m:val="p"/>
                    </m:rPr>
                    <m:t>n</m:t>
                  </m:r>
                  <m:r>
                    <m:rPr>
                      <m:sty m:val="p"/>
                    </m:rPr>
                    <m:t>p</m:t>
                  </m:r>
                </m:sup>
              </m:sSup>
            </m:oMath>
            <w:r>
              <w:rPr>
                <w:sz w:val="16"/>
              </w:rPr>
              <w:t xml:space="preserve">)</w:t>
            </w:r>
          </w:p>
        </w:tc>
      </w:tr>
      <w:tr>
        <w:trPr>
          <w:cantSplit/>
        </w:trPr>
        <w:tc>
          <w:tcPr/>
          <w:p>
            <w:pPr>
              <w:pStyle w:val="Compact"/>
              <w:spacing w:after="0"/>
              <w:jc w:val="left"/>
            </w:pPr>
            <w:r>
              <w:rPr>
                <w:sz w:val="16"/>
              </w:rPr>
              <w:t xml:space="preserve">Gray clinker</w:t>
            </w:r>
          </w:p>
        </w:tc>
        <w:tc>
          <w:tcPr/>
          <w:p>
            <w:pPr>
              <w:pStyle w:val="Compact"/>
              <w:spacing w:after="0"/>
              <w:jc w:val="left"/>
            </w:pPr>
            <m:oMath>
              <m:sSup>
                <m:e>
                  <m:r>
                    <m:t>σ</m:t>
                  </m:r>
                </m:e>
                <m:sup>
                  <m:r>
                    <m:rPr>
                      <m:sty m:val="p"/>
                    </m:rPr>
                    <m:t>f</m:t>
                  </m:r>
                  <m:r>
                    <m:rPr>
                      <m:sty m:val="p"/>
                    </m:rPr>
                    <m:t>c</m:t>
                  </m:r>
                </m:sup>
              </m:sSup>
            </m:oMath>
            <w:r>
              <w:rPr>
                <w:sz w:val="16"/>
              </w:rPr>
              <w:t xml:space="preserve">: 3.5 GJ/t × fuel-mix factor 0.0896 (coal 45%, petcoke 40%, gas 5%, heavy fuel oil 2%, alternative fuels 8%) = 0.314.</w:t>
            </w:r>
            <w:r>
              <w:rPr>
                <w:sz w:val="16"/>
              </w:rPr>
              <w:t xml:space="preserve"> </w:t>
            </w:r>
            <m:oMath>
              <m:sSup>
                <m:e>
                  <m:r>
                    <m:t>σ</m:t>
                  </m:r>
                </m:e>
                <m:sup>
                  <m:r>
                    <m:rPr>
                      <m:sty m:val="p"/>
                    </m:rPr>
                    <m:t>n</m:t>
                  </m:r>
                  <m:r>
                    <m:rPr>
                      <m:sty m:val="p"/>
                    </m:rPr>
                    <m:t>p</m:t>
                  </m:r>
                </m:sup>
              </m:sSup>
            </m:oMath>
            <w:r>
              <w:rPr>
                <w:sz w:val="16"/>
              </w:rPr>
              <w:t xml:space="preserve">: (0.65 CaO × 0.785 + 0.015 MgO × 1.092) × 1.02 kiln dust = 0.537</w:t>
            </w:r>
          </w:p>
        </w:tc>
      </w:tr>
      <w:tr>
        <w:trPr>
          <w:cantSplit/>
        </w:trPr>
        <w:tc>
          <w:tcPr/>
          <w:p>
            <w:pPr>
              <w:pStyle w:val="Compact"/>
              <w:spacing w:after="0"/>
              <w:jc w:val="left"/>
            </w:pPr>
            <w:r>
              <w:rPr>
                <w:sz w:val="16"/>
              </w:rPr>
              <w:t xml:space="preserve">Ammonia</w:t>
            </w:r>
          </w:p>
        </w:tc>
        <w:tc>
          <w:tcPr/>
          <w:p>
            <w:pPr>
              <w:pStyle w:val="Compact"/>
              <w:spacing w:after="0"/>
              <w:jc w:val="left"/>
            </w:pPr>
            <m:oMath>
              <m:sSup>
                <m:e>
                  <m:r>
                    <m:t>σ</m:t>
                  </m:r>
                </m:e>
                <m:sup>
                  <m:r>
                    <m:rPr>
                      <m:sty m:val="p"/>
                    </m:rPr>
                    <m:t>f</m:t>
                  </m:r>
                  <m:r>
                    <m:rPr>
                      <m:sty m:val="p"/>
                    </m:rPr>
                    <m:t>p</m:t>
                  </m:r>
                </m:sup>
              </m:sSup>
            </m:oMath>
            <w:r>
              <w:rPr>
                <w:sz w:val="16"/>
              </w:rPr>
              <w:t xml:space="preserve">: 22.5 GJ feed gas × 0.0561 = 1.262.</w:t>
            </w:r>
            <w:r>
              <w:rPr>
                <w:sz w:val="16"/>
              </w:rPr>
              <w:t xml:space="preserve"> </w:t>
            </w:r>
            <m:oMath>
              <m:sSup>
                <m:e>
                  <m:r>
                    <m:t>σ</m:t>
                  </m:r>
                </m:e>
                <m:sup>
                  <m:r>
                    <m:rPr>
                      <m:sty m:val="p"/>
                    </m:rPr>
                    <m:t>f</m:t>
                  </m:r>
                  <m:r>
                    <m:rPr>
                      <m:sty m:val="p"/>
                    </m:rPr>
                    <m:t>c</m:t>
                  </m:r>
                </m:sup>
              </m:sSup>
            </m:oMath>
            <w:r>
              <w:rPr>
                <w:sz w:val="16"/>
              </w:rPr>
              <w:t xml:space="preserve">: (35.2 − 22.5) GJ fuel gas × 0.0561 = 0.712</w:t>
            </w:r>
          </w:p>
        </w:tc>
      </w:tr>
      <w:tr>
        <w:trPr>
          <w:cantSplit/>
        </w:trPr>
        <w:tc>
          <w:tcPr/>
          <w:p>
            <w:pPr>
              <w:pStyle w:val="Compact"/>
              <w:spacing w:after="0"/>
              <w:jc w:val="left"/>
            </w:pPr>
            <w:r>
              <w:rPr>
                <w:sz w:val="16"/>
              </w:rPr>
              <w:t xml:space="preserve">Urea</w:t>
            </w:r>
          </w:p>
        </w:tc>
        <w:tc>
          <w:tcPr/>
          <w:p>
            <w:pPr>
              <w:pStyle w:val="Compact"/>
              <w:spacing w:after="0"/>
              <w:jc w:val="left"/>
            </w:pPr>
            <m:oMath>
              <m:sSup>
                <m:e>
                  <m:r>
                    <m:t>σ</m:t>
                  </m:r>
                </m:e>
                <m:sup>
                  <m:r>
                    <m:rPr>
                      <m:sty m:val="p"/>
                    </m:rPr>
                    <m:t>f</m:t>
                  </m:r>
                  <m:r>
                    <m:rPr>
                      <m:sty m:val="p"/>
                    </m:rPr>
                    <m:t>c</m:t>
                  </m:r>
                </m:sup>
              </m:sSup>
            </m:oMath>
            <w:r>
              <w:rPr>
                <w:sz w:val="16"/>
              </w:rPr>
              <w:t xml:space="preserve">: about 2 GJ gas × 0.0561 = 0.112; bound CO2 counted at ammonia</w:t>
            </w:r>
          </w:p>
        </w:tc>
      </w:tr>
      <w:tr>
        <w:trPr>
          <w:cantSplit/>
        </w:trPr>
        <w:tc>
          <w:tcPr/>
          <w:p>
            <w:pPr>
              <w:pStyle w:val="Compact"/>
              <w:spacing w:after="0"/>
              <w:jc w:val="left"/>
            </w:pPr>
            <w:r>
              <w:rPr>
                <w:sz w:val="16"/>
              </w:rPr>
              <w:t xml:space="preserve">Ammonium nitrate</w:t>
            </w:r>
          </w:p>
        </w:tc>
        <w:tc>
          <w:tcPr/>
          <w:p>
            <w:pPr>
              <w:pStyle w:val="Compact"/>
              <w:spacing w:after="0"/>
              <w:jc w:val="left"/>
            </w:pPr>
            <m:oMath>
              <m:sSup>
                <m:e>
                  <m:r>
                    <m:t>σ</m:t>
                  </m:r>
                </m:e>
                <m:sup>
                  <m:r>
                    <m:rPr>
                      <m:sty m:val="p"/>
                    </m:rPr>
                    <m:t>f</m:t>
                  </m:r>
                  <m:r>
                    <m:rPr>
                      <m:sty m:val="p"/>
                    </m:rPr>
                    <m:t>c</m:t>
                  </m:r>
                </m:sup>
              </m:sSup>
            </m:oMath>
            <w:r>
              <w:rPr>
                <w:sz w:val="16"/>
              </w:rPr>
              <w:t xml:space="preserve"> </w:t>
            </w:r>
            <w:r>
              <w:rPr>
                <w:sz w:val="16"/>
              </w:rPr>
              <w:t xml:space="preserve">as urea, 0.112.</w:t>
            </w:r>
            <w:r>
              <w:rPr>
                <w:sz w:val="16"/>
              </w:rPr>
              <w:t xml:space="preserve"> </w:t>
            </w:r>
            <m:oMath>
              <m:sSup>
                <m:e>
                  <m:r>
                    <m:t>σ</m:t>
                  </m:r>
                </m:e>
                <m:sup>
                  <m:r>
                    <m:rPr>
                      <m:sty m:val="p"/>
                    </m:rPr>
                    <m:t>n</m:t>
                  </m:r>
                  <m:r>
                    <m:rPr>
                      <m:sty m:val="p"/>
                    </m:rPr>
                    <m:t>o</m:t>
                  </m:r>
                </m:sup>
              </m:sSup>
            </m:oMath>
            <w:r>
              <w:rPr>
                <w:sz w:val="16"/>
              </w:rPr>
              <w:t xml:space="preserve">: 0.79 t nitric acid × 1.259 t CO2e per tonne = 0.994, where nitric acid N2O is (50% × 2.5 + 50% × 7.0) kg × 265, in tonnes, assuming half the plants abate</w:t>
            </w:r>
          </w:p>
        </w:tc>
      </w:tr>
      <w:tr>
        <w:trPr>
          <w:cantSplit/>
        </w:trPr>
        <w:tc>
          <w:tcPr/>
          <w:p>
            <w:pPr>
              <w:pStyle w:val="Compact"/>
              <w:spacing w:after="0"/>
              <w:jc w:val="left"/>
            </w:pPr>
            <w:r>
              <w:rPr>
                <w:sz w:val="16"/>
              </w:rPr>
              <w:t xml:space="preserve">Primary aluminum</w:t>
            </w:r>
          </w:p>
        </w:tc>
        <w:tc>
          <w:tcPr/>
          <w:p>
            <w:pPr>
              <w:pStyle w:val="Compact"/>
              <w:spacing w:after="0"/>
              <w:jc w:val="left"/>
            </w:pPr>
            <m:oMath>
              <m:sSup>
                <m:e>
                  <m:r>
                    <m:t>σ</m:t>
                  </m:r>
                </m:e>
                <m:sup>
                  <m:r>
                    <m:rPr>
                      <m:sty m:val="p"/>
                    </m:rPr>
                    <m:t>n</m:t>
                  </m:r>
                  <m:r>
                    <m:rPr>
                      <m:sty m:val="p"/>
                    </m:rPr>
                    <m:t>p</m:t>
                  </m:r>
                </m:sup>
              </m:sSup>
            </m:oMath>
            <w:r>
              <w:rPr>
                <w:sz w:val="16"/>
              </w:rPr>
              <w:t xml:space="preserve">: anode 0.44 t × (1 − 0.024 ash) × 3.664 + baking 0.05 = 1.623.</w:t>
            </w:r>
            <w:r>
              <w:rPr>
                <w:sz w:val="16"/>
              </w:rPr>
              <w:t xml:space="preserve"> </w:t>
            </w:r>
            <m:oMath>
              <m:sSup>
                <m:e>
                  <m:r>
                    <m:t>σ</m:t>
                  </m:r>
                </m:e>
                <m:sup>
                  <m:r>
                    <m:rPr>
                      <m:sty m:val="p"/>
                    </m:rPr>
                    <m:t>n</m:t>
                  </m:r>
                  <m:r>
                    <m:rPr>
                      <m:sty m:val="p"/>
                    </m:rPr>
                    <m:t>o</m:t>
                  </m:r>
                </m:sup>
              </m:sSup>
            </m:oMath>
            <w:r>
              <w:rPr>
                <w:sz w:val="16"/>
              </w:rPr>
              <w:t xml:space="preserve">: (0.10 kg CF4 × 6,630 + 0.01 kg C2F6 × 11,100), in tonnes, = 0.774.</w:t>
            </w:r>
            <w:r>
              <w:rPr>
                <w:sz w:val="16"/>
              </w:rPr>
              <w:t xml:space="preserve"> </w:t>
            </w:r>
            <m:oMath>
              <m:sSup>
                <m:e>
                  <m:r>
                    <m:t>σ</m:t>
                  </m:r>
                </m:e>
                <m:sup>
                  <m:r>
                    <m:rPr>
                      <m:sty m:val="p"/>
                    </m:rPr>
                    <m:t>f</m:t>
                  </m:r>
                  <m:r>
                    <m:rPr>
                      <m:sty m:val="p"/>
                    </m:rPr>
                    <m:t>c</m:t>
                  </m:r>
                </m:sup>
              </m:sSup>
            </m:oMath>
            <w:r>
              <w:rPr>
                <w:sz w:val="16"/>
              </w:rPr>
              <w:t xml:space="preserve">: 2.2 GJ × 0.0561 = 0.123</w:t>
            </w:r>
          </w:p>
        </w:tc>
      </w:tr>
    </w:tbl>
    <w:p>
      <w:pPr>
        <w:widowControl/>
      </w:pPr>
      <w:r>
        <w:br w:type="page"/>
      </w:r>
    </w:p>
    <w:p>
      <w:pPr>
        <w:pStyle w:val="BodyText"/>
        <w:widowControl/>
      </w:pPr>
      <w:r>
        <w:rPr>
          <w:bCs/>
          <w:b/>
        </w:rPr>
        <w:t xml:space="preserve">D.4 Results.</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27"/>
        <w:gridCol w:w="1247"/>
        <w:gridCol w:w="1247"/>
        <w:gridCol w:w="1247"/>
        <w:gridCol w:w="1247"/>
        <w:gridCol w:w="1247"/>
      </w:tblGrid>
      <w:tr>
        <w:trPr>
          <w:tblHeader w:val="true"/>
          <w:cantSplit/>
        </w:trPr>
        <w:tc>
          <w:tcPr>
            <w:tcW w:type="dxa" w:w="1928"/>
            <w:shd w:val="clear" w:fill="D9E2F3"/>
          </w:tcPr>
          <w:p>
            <w:pPr>
              <w:pStyle w:val="Compact"/>
              <w:spacing w:after="0"/>
              <w:jc w:val="left"/>
            </w:pPr>
            <w:r>
              <w:rPr>
                <w:b/>
                <w:sz w:val="16"/>
              </w:rPr>
              <w:t xml:space="preserve">Good</w:t>
            </w:r>
          </w:p>
        </w:tc>
        <w:tc>
          <w:tcPr>
            <w:tcW w:type="dxa" w:w="1247"/>
            <w:shd w:val="clear" w:fill="D9E2F3"/>
          </w:tcPr>
          <w:p>
            <w:pPr>
              <w:pStyle w:val="Compact"/>
              <w:spacing w:after="0"/>
              <w:jc w:val="right"/>
            </w:pPr>
            <w:r>
              <w:rPr>
                <w:b/>
                <w:sz w:val="16"/>
              </w:rPr>
              <w:t xml:space="preserve">fc</w:t>
            </w:r>
          </w:p>
        </w:tc>
        <w:tc>
          <w:tcPr>
            <w:tcW w:type="dxa" w:w="1247"/>
            <w:shd w:val="clear" w:fill="D9E2F3"/>
          </w:tcPr>
          <w:p>
            <w:pPr>
              <w:pStyle w:val="Compact"/>
              <w:spacing w:after="0"/>
              <w:jc w:val="right"/>
            </w:pPr>
            <w:r>
              <w:rPr>
                <w:b/>
                <w:sz w:val="16"/>
              </w:rPr>
              <w:t xml:space="preserve">fp</w:t>
            </w:r>
          </w:p>
        </w:tc>
        <w:tc>
          <w:tcPr>
            <w:tcW w:type="dxa" w:w="1247"/>
            <w:shd w:val="clear" w:fill="D9E2F3"/>
          </w:tcPr>
          <w:p>
            <w:pPr>
              <w:pStyle w:val="Compact"/>
              <w:spacing w:after="0"/>
              <w:jc w:val="right"/>
            </w:pPr>
            <w:r>
              <w:rPr>
                <w:b/>
                <w:sz w:val="16"/>
              </w:rPr>
              <w:t xml:space="preserve">np</w:t>
            </w:r>
          </w:p>
        </w:tc>
        <w:tc>
          <w:tcPr>
            <w:tcW w:type="dxa" w:w="1247"/>
            <w:shd w:val="clear" w:fill="D9E2F3"/>
          </w:tcPr>
          <w:p>
            <w:pPr>
              <w:pStyle w:val="Compact"/>
              <w:spacing w:after="0"/>
              <w:jc w:val="right"/>
            </w:pPr>
            <w:r>
              <w:rPr>
                <w:b/>
                <w:sz w:val="16"/>
              </w:rPr>
              <w:t xml:space="preserve">no</w:t>
            </w:r>
          </w:p>
        </w:tc>
        <w:tc>
          <w:tcPr>
            <w:tcW w:type="dxa" w:w="1247"/>
            <w:shd w:val="clear" w:fill="D9E2F3"/>
          </w:tcPr>
          <w:p>
            <w:pPr>
              <w:pStyle w:val="Compact"/>
              <w:spacing w:after="0"/>
              <w:jc w:val="right"/>
            </w:pPr>
            <w:r>
              <w:rPr>
                <w:b/>
                <w:sz w:val="16"/>
              </w:rPr>
              <w:t xml:space="preserve">Total</w:t>
            </w:r>
          </w:p>
        </w:tc>
      </w:tr>
      <w:tr>
        <w:trPr>
          <w:cantSplit/>
        </w:trPr>
        <w:tc>
          <w:tcPr>
            <w:tcW w:type="dxa" w:w="1928"/>
          </w:tcPr>
          <w:p>
            <w:pPr>
              <w:pStyle w:val="Compact"/>
              <w:spacing w:after="0"/>
              <w:jc w:val="left"/>
            </w:pPr>
            <w:r>
              <w:rPr>
                <w:sz w:val="16"/>
              </w:rPr>
              <w:t xml:space="preserve">DRI-EAF steel</w:t>
            </w:r>
          </w:p>
        </w:tc>
        <w:tc>
          <w:tcPr>
            <w:tcW w:type="dxa" w:w="1247"/>
          </w:tcPr>
          <w:p>
            <w:pPr>
              <w:pStyle w:val="Compact"/>
              <w:spacing w:after="0"/>
              <w:jc w:val="right"/>
            </w:pPr>
            <w:r>
              <w:rPr>
                <w:sz w:val="16"/>
              </w:rPr>
              <w:t xml:space="preserve">0.178</w:t>
            </w:r>
          </w:p>
        </w:tc>
        <w:tc>
          <w:tcPr>
            <w:tcW w:type="dxa" w:w="1247"/>
          </w:tcPr>
          <w:p>
            <w:pPr>
              <w:pStyle w:val="Compact"/>
              <w:spacing w:after="0"/>
              <w:jc w:val="right"/>
            </w:pPr>
            <w:r>
              <w:rPr>
                <w:sz w:val="16"/>
              </w:rPr>
              <w:t xml:space="preserve">0.393</w:t>
            </w:r>
          </w:p>
        </w:tc>
        <w:tc>
          <w:tcPr>
            <w:tcW w:type="dxa" w:w="1247"/>
          </w:tcPr>
          <w:p>
            <w:pPr>
              <w:pStyle w:val="Compact"/>
              <w:spacing w:after="0"/>
              <w:jc w:val="right"/>
            </w:pPr>
            <w:r>
              <w:rPr>
                <w:sz w:val="16"/>
              </w:rPr>
              <w:t xml:space="preserve">0.038</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0.609</w:t>
            </w:r>
          </w:p>
        </w:tc>
      </w:tr>
      <w:tr>
        <w:trPr>
          <w:cantSplit/>
        </w:trPr>
        <w:tc>
          <w:tcPr>
            <w:tcW w:type="dxa" w:w="1928"/>
          </w:tcPr>
          <w:p>
            <w:pPr>
              <w:pStyle w:val="Compact"/>
              <w:spacing w:after="0"/>
              <w:jc w:val="left"/>
            </w:pPr>
            <w:r>
              <w:rPr>
                <w:sz w:val="16"/>
              </w:rPr>
              <w:t xml:space="preserve">Scrap-EAF steel</w:t>
            </w:r>
          </w:p>
        </w:tc>
        <w:tc>
          <w:tcPr>
            <w:tcW w:type="dxa" w:w="1247"/>
          </w:tcPr>
          <w:p>
            <w:pPr>
              <w:pStyle w:val="Compact"/>
              <w:spacing w:after="0"/>
              <w:jc w:val="right"/>
            </w:pPr>
            <w:r>
              <w:rPr>
                <w:sz w:val="16"/>
              </w:rPr>
              <w:t xml:space="preserve">0.045</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0.044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0.089</w:t>
            </w:r>
          </w:p>
        </w:tc>
      </w:tr>
      <w:tr>
        <w:trPr>
          <w:cantSplit/>
        </w:trPr>
        <w:tc>
          <w:tcPr>
            <w:tcW w:type="dxa" w:w="1928"/>
          </w:tcPr>
          <w:p>
            <w:pPr>
              <w:pStyle w:val="Compact"/>
              <w:spacing w:after="0"/>
              <w:jc w:val="left"/>
            </w:pPr>
            <w:r>
              <w:rPr>
                <w:sz w:val="16"/>
              </w:rPr>
              <w:t xml:space="preserve">Gray clinker</w:t>
            </w:r>
          </w:p>
        </w:tc>
        <w:tc>
          <w:tcPr>
            <w:tcW w:type="dxa" w:w="1247"/>
          </w:tcPr>
          <w:p>
            <w:pPr>
              <w:pStyle w:val="Compact"/>
              <w:spacing w:after="0"/>
              <w:jc w:val="right"/>
            </w:pPr>
            <w:r>
              <w:rPr>
                <w:sz w:val="16"/>
              </w:rPr>
              <w:t xml:space="preserve">0.314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0.537</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0.851</w:t>
            </w:r>
          </w:p>
        </w:tc>
      </w:tr>
      <w:tr>
        <w:trPr>
          <w:cantSplit/>
        </w:trPr>
        <w:tc>
          <w:tcPr>
            <w:tcW w:type="dxa" w:w="1928"/>
          </w:tcPr>
          <w:p>
            <w:pPr>
              <w:pStyle w:val="Compact"/>
              <w:spacing w:after="0"/>
              <w:jc w:val="left"/>
            </w:pPr>
            <w:r>
              <w:rPr>
                <w:sz w:val="16"/>
              </w:rPr>
              <w:t xml:space="preserve">Ammonia</w:t>
            </w:r>
          </w:p>
        </w:tc>
        <w:tc>
          <w:tcPr>
            <w:tcW w:type="dxa" w:w="1247"/>
          </w:tcPr>
          <w:p>
            <w:pPr>
              <w:pStyle w:val="Compact"/>
              <w:spacing w:after="0"/>
              <w:jc w:val="right"/>
            </w:pPr>
            <w:r>
              <w:rPr>
                <w:sz w:val="16"/>
              </w:rPr>
              <w:t xml:space="preserve">0.712</w:t>
            </w:r>
          </w:p>
        </w:tc>
        <w:tc>
          <w:tcPr>
            <w:tcW w:type="dxa" w:w="1247"/>
          </w:tcPr>
          <w:p>
            <w:pPr>
              <w:pStyle w:val="Compact"/>
              <w:spacing w:after="0"/>
              <w:jc w:val="right"/>
            </w:pPr>
            <w:r>
              <w:rPr>
                <w:sz w:val="16"/>
              </w:rPr>
              <w:t xml:space="preserve">1.262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1.975</w:t>
            </w:r>
          </w:p>
        </w:tc>
      </w:tr>
      <w:tr>
        <w:trPr>
          <w:cantSplit/>
        </w:trPr>
        <w:tc>
          <w:tcPr>
            <w:tcW w:type="dxa" w:w="1928"/>
          </w:tcPr>
          <w:p>
            <w:pPr>
              <w:pStyle w:val="Compact"/>
              <w:spacing w:after="0"/>
              <w:jc w:val="left"/>
            </w:pPr>
            <w:r>
              <w:rPr>
                <w:sz w:val="16"/>
              </w:rPr>
              <w:t xml:space="preserve">Urea</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0.112</w:t>
            </w:r>
          </w:p>
        </w:tc>
      </w:tr>
      <w:tr>
        <w:trPr>
          <w:cantSplit/>
        </w:trPr>
        <w:tc>
          <w:tcPr>
            <w:tcW w:type="dxa" w:w="1928"/>
          </w:tcPr>
          <w:p>
            <w:pPr>
              <w:pStyle w:val="Compact"/>
              <w:spacing w:after="0"/>
              <w:jc w:val="left"/>
            </w:pPr>
            <w:r>
              <w:rPr>
                <w:sz w:val="16"/>
              </w:rPr>
              <w:t xml:space="preserve">Ammonium nitrate</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0.994</w:t>
            </w:r>
          </w:p>
        </w:tc>
        <w:tc>
          <w:tcPr>
            <w:tcW w:type="dxa" w:w="1247"/>
          </w:tcPr>
          <w:p>
            <w:pPr>
              <w:pStyle w:val="Compact"/>
              <w:spacing w:after="0"/>
              <w:jc w:val="right"/>
            </w:pPr>
            <w:r>
              <w:rPr>
                <w:sz w:val="16"/>
              </w:rPr>
              <w:t xml:space="preserve">1.107</w:t>
            </w:r>
          </w:p>
        </w:tc>
      </w:tr>
      <w:tr>
        <w:trPr>
          <w:cantSplit/>
        </w:trPr>
        <w:tc>
          <w:tcPr>
            <w:tcW w:type="dxa" w:w="1928"/>
          </w:tcPr>
          <w:p>
            <w:pPr>
              <w:pStyle w:val="Compact"/>
              <w:spacing w:after="0"/>
              <w:jc w:val="left"/>
            </w:pPr>
            <w:r>
              <w:rPr>
                <w:sz w:val="16"/>
              </w:rPr>
              <w:t xml:space="preserve">Primary aluminum</w:t>
            </w:r>
          </w:p>
        </w:tc>
        <w:tc>
          <w:tcPr>
            <w:tcW w:type="dxa" w:w="1247"/>
          </w:tcPr>
          <w:p>
            <w:pPr>
              <w:pStyle w:val="Compact"/>
              <w:spacing w:after="0"/>
              <w:jc w:val="right"/>
            </w:pPr>
            <w:r>
              <w:rPr>
                <w:sz w:val="16"/>
              </w:rPr>
              <w:t xml:space="preserve">0.123</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1.623</w:t>
            </w:r>
          </w:p>
        </w:tc>
        <w:tc>
          <w:tcPr>
            <w:tcW w:type="dxa" w:w="1247"/>
          </w:tcPr>
          <w:p>
            <w:pPr>
              <w:pStyle w:val="Compact"/>
              <w:spacing w:after="0"/>
              <w:jc w:val="right"/>
            </w:pPr>
            <w:r>
              <w:rPr>
                <w:sz w:val="16"/>
              </w:rPr>
              <w:t xml:space="preserve">0.774</w:t>
            </w:r>
          </w:p>
        </w:tc>
        <w:tc>
          <w:tcPr>
            <w:tcW w:type="dxa" w:w="1247"/>
          </w:tcPr>
          <w:p>
            <w:pPr>
              <w:pStyle w:val="Compact"/>
              <w:spacing w:after="0"/>
              <w:jc w:val="right"/>
            </w:pPr>
            <w:r>
              <w:rPr>
                <w:sz w:val="16"/>
              </w:rPr>
              <w:t xml:space="preserve">2.521</w:t>
            </w:r>
          </w:p>
        </w:tc>
      </w:tr>
    </w:tbl>
    <w:p>
      <w:pPr>
        <w:pStyle w:val="BodyText"/>
        <w:widowControl/>
      </w:pPr>
      <w:r>
        <w:rPr>
          <w:bCs/>
          <w:b/>
        </w:rPr>
        <w:t xml:space="preserve">D.5 Data quality.</w:t>
      </w:r>
      <w:r>
        <w:t xml:space="preserve"> </w:t>
      </w:r>
      <w:r>
        <w:t xml:space="preserve">Inputs are graded A (plant data, none yet), B (Egyptian statistics), C (technology defaults calibrated to Egypt’s plants) or D (IPCC or international defaults); most are C or D. The factors pass IPCC Tier 1 checks (ammonia 1.69 to 2.10; clinker process CO2 0.50 to 0.55; aluminum process CO2 1.45 to 1.75). Plant data would help most for ammonia gas use, the share of nitric acid N2O abated at Abu Qir, Egyptalum’s PFC rates, the kiln fuel mix and DRI gas use.</w:t>
      </w:r>
    </w:p>
    <w:bookmarkEnd w:id="40"/>
    <w:bookmarkStart w:id="41" w:name="X1811d54daba15dfb62445162bcd07196b01d7ab"/>
    <w:p>
      <w:pPr>
        <w:pStyle w:val="Heading1"/>
        <w:pageBreakBefore/>
        <w:widowControl/>
      </w:pPr>
      <w:r>
        <w:t xml:space="preserve">Appendix E. Sensitivity to output levels and growth</w:t>
      </w:r>
    </w:p>
    <w:p>
      <w:pPr>
        <w:pStyle w:val="FirstParagraph"/>
        <w:widowControl/>
      </w:pPr>
      <w:r>
        <w:t xml:space="preserve">The 2024 output levels and growth rates are sourced but uncertain (Appendix A). To see how much they matter, the workbook was re-run four times: growth rates set to zero and doubled, and 2024 output levels for all seven products cut by 30% and raised by 30%. Nothing else changed.</w:t>
      </w:r>
    </w:p>
    <w:p>
      <w:pPr>
        <w:pStyle w:val="BodyText"/>
        <w:widowControl/>
      </w:pPr>
      <w:r>
        <w:t xml:space="preserve">The percentage results do not move. Emissions per tonne, block emissions and the border charge are the same to within 0.1 percentage point in every run, because they depend on output only through the weights between products. The level results move, because the size of the block sets how much of the CPAT answer is replaced. The table shows the emission cut in Mt.</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154"/>
        <w:gridCol w:w="1190"/>
        <w:gridCol w:w="1190"/>
        <w:gridCol w:w="1190"/>
        <w:gridCol w:w="1190"/>
        <w:gridCol w:w="1190"/>
        <w:gridCol w:w="1190"/>
      </w:tblGrid>
      <w:tr>
        <w:trPr>
          <w:tblHeader w:val="true"/>
          <w:cantSplit/>
        </w:trPr>
        <w:tc>
          <w:tcPr>
            <w:tcW w:type="dxa" w:w="2154"/>
            <w:shd w:val="clear" w:fill="D9E2F3"/>
          </w:tcPr>
          <w:p>
            <w:pPr>
              <w:pStyle w:val="Compact"/>
              <w:spacing w:after="0"/>
              <w:jc w:val="left"/>
            </w:pPr>
            <w:r>
              <w:rPr>
                <w:b/>
                <w:sz w:val="18"/>
              </w:rPr>
              <w:t xml:space="preserve">Test</w:t>
            </w:r>
          </w:p>
        </w:tc>
        <w:tc>
          <w:tcPr>
            <w:tcW w:type="dxa" w:w="1191"/>
            <w:shd w:val="clear" w:fill="D9E2F3"/>
          </w:tcPr>
          <w:p>
            <w:pPr>
              <w:pStyle w:val="Compact"/>
              <w:spacing w:after="0"/>
              <w:jc w:val="right"/>
            </w:pPr>
            <w:r>
              <w:rPr>
                <w:b/>
                <w:sz w:val="18"/>
              </w:rPr>
              <w:t xml:space="preserve">1A</w:t>
            </w:r>
          </w:p>
        </w:tc>
        <w:tc>
          <w:tcPr>
            <w:tcW w:type="dxa" w:w="1191"/>
            <w:shd w:val="clear" w:fill="D9E2F3"/>
          </w:tcPr>
          <w:p>
            <w:pPr>
              <w:pStyle w:val="Compact"/>
              <w:spacing w:after="0"/>
              <w:jc w:val="right"/>
            </w:pPr>
            <w:r>
              <w:rPr>
                <w:b/>
                <w:sz w:val="18"/>
              </w:rPr>
              <w:t xml:space="preserve">2A</w:t>
            </w:r>
          </w:p>
        </w:tc>
        <w:tc>
          <w:tcPr>
            <w:tcW w:type="dxa" w:w="1191"/>
            <w:shd w:val="clear" w:fill="D9E2F3"/>
          </w:tcPr>
          <w:p>
            <w:pPr>
              <w:pStyle w:val="Compact"/>
              <w:spacing w:after="0"/>
              <w:jc w:val="right"/>
            </w:pPr>
            <w:r>
              <w:rPr>
                <w:b/>
                <w:sz w:val="18"/>
              </w:rPr>
              <w:t xml:space="preserve">2B</w:t>
            </w:r>
          </w:p>
        </w:tc>
        <w:tc>
          <w:tcPr>
            <w:tcW w:type="dxa" w:w="1191"/>
            <w:shd w:val="clear" w:fill="D9E2F3"/>
          </w:tcPr>
          <w:p>
            <w:pPr>
              <w:pStyle w:val="Compact"/>
              <w:spacing w:after="0"/>
              <w:jc w:val="right"/>
            </w:pPr>
            <w:r>
              <w:rPr>
                <w:b/>
                <w:sz w:val="18"/>
              </w:rPr>
              <w:t xml:space="preserve">3A</w:t>
            </w:r>
          </w:p>
        </w:tc>
        <w:tc>
          <w:tcPr>
            <w:tcW w:type="dxa" w:w="1191"/>
            <w:shd w:val="clear" w:fill="D9E2F3"/>
          </w:tcPr>
          <w:p>
            <w:pPr>
              <w:pStyle w:val="Compact"/>
              <w:spacing w:after="0"/>
              <w:jc w:val="right"/>
            </w:pPr>
            <w:r>
              <w:rPr>
                <w:b/>
                <w:sz w:val="18"/>
              </w:rPr>
              <w:t xml:space="preserve">3B</w:t>
            </w:r>
          </w:p>
        </w:tc>
        <w:tc>
          <w:tcPr>
            <w:tcW w:type="dxa" w:w="1191"/>
            <w:shd w:val="clear" w:fill="D9E2F3"/>
          </w:tcPr>
          <w:p>
            <w:pPr>
              <w:pStyle w:val="Compact"/>
              <w:spacing w:after="0"/>
              <w:jc w:val="right"/>
            </w:pPr>
            <w:r>
              <w:rPr>
                <w:b/>
                <w:sz w:val="18"/>
              </w:rPr>
              <w:t xml:space="preserve">3C</w:t>
            </w:r>
          </w:p>
        </w:tc>
      </w:tr>
      <w:tr>
        <w:trPr>
          <w:cantSplit/>
        </w:trPr>
        <w:tc>
          <w:tcPr>
            <w:tcW w:type="dxa" w:w="2154"/>
          </w:tcPr>
          <w:p>
            <w:pPr>
              <w:pStyle w:val="Compact"/>
              <w:spacing w:after="0"/>
              <w:jc w:val="left"/>
            </w:pPr>
            <w:r>
              <w:rPr>
                <w:sz w:val="18"/>
              </w:rPr>
              <w:t xml:space="preserve">Base case</w:t>
            </w:r>
          </w:p>
        </w:tc>
        <w:tc>
          <w:tcPr>
            <w:tcW w:type="dxa" w:w="1191"/>
          </w:tcPr>
          <w:p>
            <w:pPr>
              <w:pStyle w:val="Compact"/>
              <w:spacing w:after="0"/>
              <w:jc w:val="right"/>
            </w:pPr>
            <w:r>
              <w:rPr>
                <w:sz w:val="18"/>
              </w:rPr>
              <w:t xml:space="preserve">39.8</w:t>
            </w:r>
          </w:p>
        </w:tc>
        <w:tc>
          <w:tcPr>
            <w:tcW w:type="dxa" w:w="1191"/>
          </w:tcPr>
          <w:p>
            <w:pPr>
              <w:pStyle w:val="Compact"/>
              <w:spacing w:after="0"/>
              <w:jc w:val="right"/>
            </w:pPr>
            <w:r>
              <w:rPr>
                <w:sz w:val="18"/>
              </w:rPr>
              <w:t xml:space="preserve">36.8</w:t>
            </w:r>
          </w:p>
        </w:tc>
        <w:tc>
          <w:tcPr>
            <w:tcW w:type="dxa" w:w="1191"/>
          </w:tcPr>
          <w:p>
            <w:pPr>
              <w:pStyle w:val="Compact"/>
              <w:spacing w:after="0"/>
              <w:jc w:val="right"/>
            </w:pPr>
            <w:r>
              <w:rPr>
                <w:sz w:val="18"/>
              </w:rPr>
              <w:t xml:space="preserve">40.4</w:t>
            </w:r>
          </w:p>
        </w:tc>
        <w:tc>
          <w:tcPr>
            <w:tcW w:type="dxa" w:w="1191"/>
          </w:tcPr>
          <w:p>
            <w:pPr>
              <w:pStyle w:val="Compact"/>
              <w:spacing w:after="0"/>
              <w:jc w:val="right"/>
            </w:pPr>
            <w:r>
              <w:rPr>
                <w:sz w:val="18"/>
              </w:rPr>
              <w:t xml:space="preserve">6.9</w:t>
            </w:r>
          </w:p>
        </w:tc>
        <w:tc>
          <w:tcPr>
            <w:tcW w:type="dxa" w:w="1191"/>
          </w:tcPr>
          <w:p>
            <w:pPr>
              <w:pStyle w:val="Compact"/>
              <w:spacing w:after="0"/>
              <w:jc w:val="right"/>
            </w:pPr>
            <w:r>
              <w:rPr>
                <w:sz w:val="18"/>
              </w:rPr>
              <w:t xml:space="preserve">5.1</w:t>
            </w:r>
          </w:p>
        </w:tc>
        <w:tc>
          <w:tcPr>
            <w:tcW w:type="dxa" w:w="1191"/>
          </w:tcPr>
          <w:p>
            <w:pPr>
              <w:pStyle w:val="Compact"/>
              <w:spacing w:after="0"/>
              <w:jc w:val="right"/>
            </w:pPr>
            <w:r>
              <w:rPr>
                <w:sz w:val="18"/>
              </w:rPr>
              <w:t xml:space="preserve">11.5</w:t>
            </w:r>
          </w:p>
        </w:tc>
      </w:tr>
      <w:tr>
        <w:trPr>
          <w:cantSplit/>
        </w:trPr>
        <w:tc>
          <w:tcPr>
            <w:tcW w:type="dxa" w:w="2154"/>
          </w:tcPr>
          <w:p>
            <w:pPr>
              <w:pStyle w:val="Compact"/>
              <w:spacing w:after="0"/>
              <w:jc w:val="left"/>
            </w:pPr>
            <w:r>
              <w:rPr>
                <w:sz w:val="18"/>
              </w:rPr>
              <w:t xml:space="preserve">Growth rates zero</w:t>
            </w:r>
          </w:p>
        </w:tc>
        <w:tc>
          <w:tcPr>
            <w:tcW w:type="dxa" w:w="1191"/>
          </w:tcPr>
          <w:p>
            <w:pPr>
              <w:pStyle w:val="Compact"/>
              <w:spacing w:after="0"/>
              <w:jc w:val="right"/>
            </w:pPr>
            <w:r>
              <w:rPr>
                <w:sz w:val="18"/>
              </w:rPr>
              <w:t xml:space="preserve">38.1</w:t>
            </w:r>
          </w:p>
        </w:tc>
        <w:tc>
          <w:tcPr>
            <w:tcW w:type="dxa" w:w="1191"/>
          </w:tcPr>
          <w:p>
            <w:pPr>
              <w:pStyle w:val="Compact"/>
              <w:spacing w:after="0"/>
              <w:jc w:val="right"/>
            </w:pPr>
            <w:r>
              <w:rPr>
                <w:sz w:val="18"/>
              </w:rPr>
              <w:t xml:space="preserve">35.8</w:t>
            </w:r>
          </w:p>
        </w:tc>
        <w:tc>
          <w:tcPr>
            <w:tcW w:type="dxa" w:w="1191"/>
          </w:tcPr>
          <w:p>
            <w:pPr>
              <w:pStyle w:val="Compact"/>
              <w:spacing w:after="0"/>
              <w:jc w:val="right"/>
            </w:pPr>
            <w:r>
              <w:rPr>
                <w:sz w:val="18"/>
              </w:rPr>
              <w:t xml:space="preserve">39.4</w:t>
            </w:r>
          </w:p>
        </w:tc>
        <w:tc>
          <w:tcPr>
            <w:tcW w:type="dxa" w:w="1191"/>
          </w:tcPr>
          <w:p>
            <w:pPr>
              <w:pStyle w:val="Compact"/>
              <w:spacing w:after="0"/>
              <w:jc w:val="right"/>
            </w:pPr>
            <w:r>
              <w:rPr>
                <w:sz w:val="18"/>
              </w:rPr>
              <w:t xml:space="preserve">5.2</w:t>
            </w:r>
          </w:p>
        </w:tc>
        <w:tc>
          <w:tcPr>
            <w:tcW w:type="dxa" w:w="1191"/>
          </w:tcPr>
          <w:p>
            <w:pPr>
              <w:pStyle w:val="Compact"/>
              <w:spacing w:after="0"/>
              <w:jc w:val="right"/>
            </w:pPr>
            <w:r>
              <w:rPr>
                <w:sz w:val="18"/>
              </w:rPr>
              <w:t xml:space="preserve">3.9</w:t>
            </w:r>
          </w:p>
        </w:tc>
        <w:tc>
          <w:tcPr>
            <w:tcW w:type="dxa" w:w="1191"/>
          </w:tcPr>
          <w:p>
            <w:pPr>
              <w:pStyle w:val="Compact"/>
              <w:spacing w:after="0"/>
              <w:jc w:val="right"/>
            </w:pPr>
            <w:r>
              <w:rPr>
                <w:sz w:val="18"/>
              </w:rPr>
              <w:t xml:space="preserve">8.7</w:t>
            </w:r>
          </w:p>
        </w:tc>
      </w:tr>
      <w:tr>
        <w:trPr>
          <w:cantSplit/>
        </w:trPr>
        <w:tc>
          <w:tcPr>
            <w:tcW w:type="dxa" w:w="2154"/>
          </w:tcPr>
          <w:p>
            <w:pPr>
              <w:pStyle w:val="Compact"/>
              <w:spacing w:after="0"/>
              <w:jc w:val="left"/>
            </w:pPr>
            <w:r>
              <w:rPr>
                <w:sz w:val="18"/>
              </w:rPr>
              <w:t xml:space="preserve">Growth rates doubled</w:t>
            </w:r>
          </w:p>
        </w:tc>
        <w:tc>
          <w:tcPr>
            <w:tcW w:type="dxa" w:w="1191"/>
          </w:tcPr>
          <w:p>
            <w:pPr>
              <w:pStyle w:val="Compact"/>
              <w:spacing w:after="0"/>
              <w:jc w:val="right"/>
            </w:pPr>
            <w:r>
              <w:rPr>
                <w:sz w:val="18"/>
              </w:rPr>
              <w:t xml:space="preserve">42.0</w:t>
            </w:r>
          </w:p>
        </w:tc>
        <w:tc>
          <w:tcPr>
            <w:tcW w:type="dxa" w:w="1191"/>
          </w:tcPr>
          <w:p>
            <w:pPr>
              <w:pStyle w:val="Compact"/>
              <w:spacing w:after="0"/>
              <w:jc w:val="right"/>
            </w:pPr>
            <w:r>
              <w:rPr>
                <w:sz w:val="18"/>
              </w:rPr>
              <w:t xml:space="preserve">38.0</w:t>
            </w:r>
          </w:p>
        </w:tc>
        <w:tc>
          <w:tcPr>
            <w:tcW w:type="dxa" w:w="1191"/>
          </w:tcPr>
          <w:p>
            <w:pPr>
              <w:pStyle w:val="Compact"/>
              <w:spacing w:after="0"/>
              <w:jc w:val="right"/>
            </w:pPr>
            <w:r>
              <w:rPr>
                <w:sz w:val="18"/>
              </w:rPr>
              <w:t xml:space="preserve">41.6</w:t>
            </w:r>
          </w:p>
        </w:tc>
        <w:tc>
          <w:tcPr>
            <w:tcW w:type="dxa" w:w="1191"/>
          </w:tcPr>
          <w:p>
            <w:pPr>
              <w:pStyle w:val="Compact"/>
              <w:spacing w:after="0"/>
              <w:jc w:val="right"/>
            </w:pPr>
            <w:r>
              <w:rPr>
                <w:sz w:val="18"/>
              </w:rPr>
              <w:t xml:space="preserve">9.1</w:t>
            </w:r>
          </w:p>
        </w:tc>
        <w:tc>
          <w:tcPr>
            <w:tcW w:type="dxa" w:w="1191"/>
          </w:tcPr>
          <w:p>
            <w:pPr>
              <w:pStyle w:val="Compact"/>
              <w:spacing w:after="0"/>
              <w:jc w:val="right"/>
            </w:pPr>
            <w:r>
              <w:rPr>
                <w:sz w:val="18"/>
              </w:rPr>
              <w:t xml:space="preserve">6.7</w:t>
            </w:r>
          </w:p>
        </w:tc>
        <w:tc>
          <w:tcPr>
            <w:tcW w:type="dxa" w:w="1191"/>
          </w:tcPr>
          <w:p>
            <w:pPr>
              <w:pStyle w:val="Compact"/>
              <w:spacing w:after="0"/>
              <w:jc w:val="right"/>
            </w:pPr>
            <w:r>
              <w:rPr>
                <w:sz w:val="18"/>
              </w:rPr>
              <w:t xml:space="preserve">15.1</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37.7</w:t>
            </w:r>
          </w:p>
        </w:tc>
        <w:tc>
          <w:tcPr>
            <w:tcW w:type="dxa" w:w="1191"/>
          </w:tcPr>
          <w:p>
            <w:pPr>
              <w:pStyle w:val="Compact"/>
              <w:spacing w:after="0"/>
              <w:jc w:val="right"/>
            </w:pPr>
            <w:r>
              <w:rPr>
                <w:sz w:val="18"/>
              </w:rPr>
              <w:t xml:space="preserve">35.6</w:t>
            </w:r>
          </w:p>
        </w:tc>
        <w:tc>
          <w:tcPr>
            <w:tcW w:type="dxa" w:w="1191"/>
          </w:tcPr>
          <w:p>
            <w:pPr>
              <w:pStyle w:val="Compact"/>
              <w:spacing w:after="0"/>
              <w:jc w:val="right"/>
            </w:pPr>
            <w:r>
              <w:rPr>
                <w:sz w:val="18"/>
              </w:rPr>
              <w:t xml:space="preserve">39.2</w:t>
            </w:r>
          </w:p>
        </w:tc>
        <w:tc>
          <w:tcPr>
            <w:tcW w:type="dxa" w:w="1191"/>
          </w:tcPr>
          <w:p>
            <w:pPr>
              <w:pStyle w:val="Compact"/>
              <w:spacing w:after="0"/>
              <w:jc w:val="right"/>
            </w:pPr>
            <w:r>
              <w:rPr>
                <w:sz w:val="18"/>
              </w:rPr>
              <w:t xml:space="preserve">4.8</w:t>
            </w:r>
          </w:p>
        </w:tc>
        <w:tc>
          <w:tcPr>
            <w:tcW w:type="dxa" w:w="1191"/>
          </w:tcPr>
          <w:p>
            <w:pPr>
              <w:pStyle w:val="Compact"/>
              <w:spacing w:after="0"/>
              <w:jc w:val="right"/>
            </w:pPr>
            <w:r>
              <w:rPr>
                <w:sz w:val="18"/>
              </w:rPr>
              <w:t xml:space="preserve">3.6</w:t>
            </w:r>
          </w:p>
        </w:tc>
        <w:tc>
          <w:tcPr>
            <w:tcW w:type="dxa" w:w="1191"/>
          </w:tcPr>
          <w:p>
            <w:pPr>
              <w:pStyle w:val="Compact"/>
              <w:spacing w:after="0"/>
              <w:jc w:val="right"/>
            </w:pPr>
            <w:r>
              <w:rPr>
                <w:sz w:val="18"/>
              </w:rPr>
              <w:t xml:space="preserve">8.1</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41.9</w:t>
            </w:r>
          </w:p>
        </w:tc>
        <w:tc>
          <w:tcPr>
            <w:tcW w:type="dxa" w:w="1191"/>
          </w:tcPr>
          <w:p>
            <w:pPr>
              <w:pStyle w:val="Compact"/>
              <w:spacing w:after="0"/>
              <w:jc w:val="right"/>
            </w:pPr>
            <w:r>
              <w:rPr>
                <w:sz w:val="18"/>
              </w:rPr>
              <w:t xml:space="preserve">38.0</w:t>
            </w:r>
          </w:p>
        </w:tc>
        <w:tc>
          <w:tcPr>
            <w:tcW w:type="dxa" w:w="1191"/>
          </w:tcPr>
          <w:p>
            <w:pPr>
              <w:pStyle w:val="Compact"/>
              <w:spacing w:after="0"/>
              <w:jc w:val="right"/>
            </w:pPr>
            <w:r>
              <w:rPr>
                <w:sz w:val="18"/>
              </w:rPr>
              <w:t xml:space="preserve">41.6</w:t>
            </w:r>
          </w:p>
        </w:tc>
        <w:tc>
          <w:tcPr>
            <w:tcW w:type="dxa" w:w="1191"/>
          </w:tcPr>
          <w:p>
            <w:pPr>
              <w:pStyle w:val="Compact"/>
              <w:spacing w:after="0"/>
              <w:jc w:val="right"/>
            </w:pPr>
            <w:r>
              <w:rPr>
                <w:sz w:val="18"/>
              </w:rPr>
              <w:t xml:space="preserve">9.0</w:t>
            </w:r>
          </w:p>
        </w:tc>
        <w:tc>
          <w:tcPr>
            <w:tcW w:type="dxa" w:w="1191"/>
          </w:tcPr>
          <w:p>
            <w:pPr>
              <w:pStyle w:val="Compact"/>
              <w:spacing w:after="0"/>
              <w:jc w:val="right"/>
            </w:pPr>
            <w:r>
              <w:rPr>
                <w:sz w:val="18"/>
              </w:rPr>
              <w:t xml:space="preserve">6.7</w:t>
            </w:r>
          </w:p>
        </w:tc>
        <w:tc>
          <w:tcPr>
            <w:tcW w:type="dxa" w:w="1191"/>
          </w:tcPr>
          <w:p>
            <w:pPr>
              <w:pStyle w:val="Compact"/>
              <w:spacing w:after="0"/>
              <w:jc w:val="right"/>
            </w:pPr>
            <w:r>
              <w:rPr>
                <w:sz w:val="18"/>
              </w:rPr>
              <w:t xml:space="preserve">15.0</w:t>
            </w:r>
          </w:p>
        </w:tc>
      </w:tr>
    </w:tbl>
    <w:p>
      <w:pPr>
        <w:pStyle w:val="BodyText"/>
        <w:widowControl/>
      </w:pPr>
      <w:r>
        <w:t xml:space="preserve">Two patterns stand out. First, the CBAM-sector-only runs (3A to 3C) are the most sensitive, because the block is most of what is priced: 3A’s cut ranges from 4.8 to 9.1 Mt, about ±30% around the base. Second, 1A to 2B move by 3 to 6%, because CPAT carries most of the answer. In 3A, carbon revenue ranges from $0.72bn to $1.36bn (base $1.04bn) and deaths avoided from 36 to 68 (base 52); coverage is fixed at 11.1%. Higher block output raises the cut in every scenario, because CPAT’s own cut for the CBAM products is fixed while the block’s cut grows with its size.</w:t>
      </w:r>
    </w:p>
    <w:p>
      <w:pPr>
        <w:pStyle w:val="BodyText"/>
        <w:widowControl/>
      </w:pPr>
      <w:r>
        <w:t xml:space="preserve">As a plausibility check, the block’s baseline is 27.7 Mt of fuel CO2 and 31.0 Mt of process CO2 in 2030, which is 31% of CPAT’s industry energy CO2 (88.4 Mt) and 36% of its IPPU (85.5 Mt). Calibrating the levels and growth rates to CPAT’s baseline, and to CAPMAS and UN Comtrade data, would remove most of this sensitivity.</w:t>
      </w:r>
    </w:p>
    <w:bookmarkEnd w:id="41"/>
    <w:sectPr>
      <w:pgMar w:left="1304" w:right="1304"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CBAM products (heavy industry in this table): the seven goods covered by the EU’s Carbon Border Adjustment Mechanism (CBAM) that Egypt makes (DRI-EAF and scrap-EAF steel, gray clinker, ammonia, urea, ammonium nitrate, primary aluminum). National emissions use the shares of Egypt’s 2022 inventory, where energy CO2 is about 65% of the total, against 53% in CPAT’s 2030 baseline. CPAT’s coverage for 3A to 3C (8.7 to 9.0% of its own total) differs only because the 3B run counts diesel and gasoline, so 9% is used, or 11.1% on the inventory basis. CPAT’s 3A and 3C runs imply implausibly more deaths from fuel switching, so their deaths avoided are 3B’s scaled by the emission cut.</w:t>
      </w:r>
    </w:p>
  </w:footnote>
  <w:footnote w:id="21">
    <w:p>
      <w:pPr>
        <w:pStyle w:val="FootnoteText"/>
      </w:pPr>
      <w:r>
        <w:rPr>
          <w:rStyle w:val="FootnoteReference"/>
        </w:rPr>
        <w:footnoteRef/>
      </w:r>
      <w:r>
        <w:t xml:space="preserve"> </w:t>
      </w:r>
      <w:r>
        <w:t xml:space="preserve">Public investment raises GDP (about 0.4% more in 2030 than household refunds, in CPAT), so 2A cuts less than 2B. Household refunds go to the bottom 40% of households, with 90% coverage.</w:t>
      </w:r>
    </w:p>
  </w:footnote>
  <w:footnote w:id="22">
    <w:p>
      <w:pPr>
        <w:pStyle w:val="FootnoteText"/>
      </w:pPr>
      <w:r>
        <w:rPr>
          <w:rStyle w:val="FootnoteReference"/>
        </w:rPr>
        <w:footnoteRef/>
      </w:r>
      <w:r>
        <w:t xml:space="preserve"> </w:t>
      </w:r>
      <w:r>
        <w:t xml:space="preserve">Gross where revenue funds public investment or household refunds; net, and so zero, where it is rebated to firms (3B) or put into a fund (3C).</w:t>
      </w:r>
    </w:p>
  </w:footnote>
  <w:footnote w:id="23">
    <w:p>
      <w:pPr>
        <w:pStyle w:val="FootnoteText"/>
      </w:pPr>
      <w:r>
        <w:rPr>
          <w:rStyle w:val="FootnoteReference"/>
        </w:rPr>
        <w:footnoteRef/>
      </w:r>
      <w:r>
        <w:t xml:space="preserve"> </w:t>
      </w:r>
      <w:r>
        <w:t xml:space="preserve">Emissions per tonne of output. Heavy industry: products weighted by their emissions at policy output. EU border charge: products weighted by their EU exports. This assumes the EU recognizes the lower intensities, for example because Egyptian exporters report verified actual emissions under the CBAM monitoring, reporting and verification (MRV) rules rather than EU default values.</w:t>
      </w:r>
    </w:p>
  </w:footnote>
  <w:footnote w:id="24">
    <w:p>
      <w:pPr>
        <w:pStyle w:val="FootnoteText"/>
      </w:pPr>
      <w:r>
        <w:rPr>
          <w:rStyle w:val="FootnoteReference"/>
        </w:rPr>
        <w:footnoteRef/>
      </w:r>
      <w:r>
        <w:t xml:space="preserve"> </w:t>
      </w:r>
      <w:r>
        <w:t xml:space="preserve">(1 + total change) ÷ (1 + intensity change) − 1: the output change, weighted by each product’s emissions.</w:t>
      </w:r>
    </w:p>
  </w:footnote>
  <w:footnote w:id="25">
    <w:p>
      <w:pPr>
        <w:pStyle w:val="FootnoteText"/>
      </w:pPr>
      <w:r>
        <w:rPr>
          <w:rStyle w:val="FootnoteReference"/>
        </w:rPr>
        <w:footnoteRef/>
      </w:r>
      <w:r>
        <w:t xml:space="preserve"> </w:t>
      </w:r>
      <w:r>
        <w:t xml:space="preserve">The EU deducts the carbon price effectively paid in Egypt: the carbon price weighted by its coverage of the exported products’ emissions. Under the current interpretation of the rules, an output-based rebate (3B) invalidates the credit; an abatement fund (3C) does not, but earns no extra credit.</w:t>
      </w:r>
    </w:p>
  </w:footnote>
  <w:footnote w:id="26">
    <w:p>
      <w:pPr>
        <w:pStyle w:val="FootnoteText"/>
      </w:pPr>
      <w:r>
        <w:rPr>
          <w:rStyle w:val="FootnoteReference"/>
        </w:rPr>
        <w:footnoteRef/>
      </w:r>
      <w:r>
        <w:t xml:space="preserve"> </w:t>
      </w:r>
      <w:r>
        <w:t xml:space="preserve">Annual, not cumulative. In 1A to 2B, mostly from cleaner air as fuel use falls in food and agriculture (about 60% of the fall in fine-particle pollution in CPAT) and road transport (about 25%).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pPr>
      <w:spacing w:before="0" w:after="20" w:line="240" w:lineRule="auto"/>
    </w:pPr>
    <w:rPr>
      <w:rFonts w:ascii="Arial" w:hAnsi="Arial" w:cs="Arial" w:eastAsia="Arial"/>
      <w:sz w:val="1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results and methodology</dc:title>
  <dc:creator/>
  <cp:keywords/>
  <dcterms:created xsi:type="dcterms:W3CDTF">2026-10-07T17:50:15Z</dcterms:created>
  <dcterms:modified xsi:type="dcterms:W3CDTF">2026-10-07T17:50:15Z</dcterms:modified>
</cp:coreProperties>
</file>

<file path=docProps/custom.xml><?xml version="1.0" encoding="utf-8"?>
<Properties xmlns="http://schemas.openxmlformats.org/officeDocument/2006/custom-properties" xmlns:vt="http://schemas.openxmlformats.org/officeDocument/2006/docPropsVTypes"/>
</file>