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364A5" w14:textId="50186685" w:rsidR="007C5277" w:rsidRDefault="00FB7AE2" w:rsidP="00CD25F6">
      <w:pPr>
        <w:pStyle w:val="Title"/>
        <w:jc w:val="center"/>
      </w:pPr>
      <w:r w:rsidRPr="00ED3A93">
        <w:t>Ass</w:t>
      </w:r>
      <w:r w:rsidR="001D5A2B" w:rsidRPr="00ED3A93">
        <w:t>ess</w:t>
      </w:r>
      <w:r w:rsidR="004C04D7">
        <w:t xml:space="preserve">ing </w:t>
      </w:r>
      <w:r w:rsidR="00775E3F">
        <w:t xml:space="preserve">Egypt’s exposure to the EU </w:t>
      </w:r>
      <w:r w:rsidRPr="00ED3A93">
        <w:t>CBAM</w:t>
      </w:r>
      <w:r w:rsidR="00775E3F">
        <w:t xml:space="preserve"> and policy response options</w:t>
      </w:r>
      <w:r w:rsidR="00FC0DE1">
        <w:t xml:space="preserve"> in light of </w:t>
      </w:r>
      <w:r w:rsidR="00197AF9">
        <w:t xml:space="preserve">recent </w:t>
      </w:r>
      <w:r w:rsidR="00FC0DE1">
        <w:t>EU implementing regulations</w:t>
      </w:r>
      <w:commentRangeStart w:id="0"/>
      <w:r w:rsidR="002F16FF">
        <w:rPr>
          <w:rStyle w:val="FootnoteReference"/>
        </w:rPr>
        <w:footnoteReference w:id="2"/>
      </w:r>
      <w:commentRangeEnd w:id="0"/>
      <w:r w:rsidR="001C2453">
        <w:rPr>
          <w:rStyle w:val="CommentReference"/>
          <w:sz w:val="28"/>
          <w:szCs w:val="56"/>
        </w:rPr>
        <w:commentReference w:id="0"/>
      </w:r>
    </w:p>
    <w:p w14:paraId="55BC8287" w14:textId="77777777" w:rsidR="007E6E0C" w:rsidRDefault="007E6E0C" w:rsidP="007E6E0C"/>
    <w:sdt>
      <w:sdtPr>
        <w:rPr>
          <w:rFonts w:ascii="Segoe UI" w:eastAsiaTheme="minorEastAsia" w:hAnsi="Segoe UI" w:cstheme="minorBidi"/>
          <w:color w:val="auto"/>
          <w:sz w:val="22"/>
          <w:szCs w:val="22"/>
        </w:rPr>
        <w:id w:val="-1836527101"/>
        <w:docPartObj>
          <w:docPartGallery w:val="Table of Contents"/>
          <w:docPartUnique/>
        </w:docPartObj>
      </w:sdtPr>
      <w:sdtEndPr>
        <w:rPr>
          <w:b/>
          <w:bCs/>
          <w:noProof/>
        </w:rPr>
      </w:sdtEndPr>
      <w:sdtContent>
        <w:p w14:paraId="7079F89E" w14:textId="135544FF" w:rsidR="00C53700" w:rsidRDefault="00C53700">
          <w:pPr>
            <w:pStyle w:val="TOCHeading"/>
          </w:pPr>
          <w:r>
            <w:t>Contents</w:t>
          </w:r>
        </w:p>
        <w:p w14:paraId="1C9E437A" w14:textId="14EADF38" w:rsidR="00DF0BEF" w:rsidRDefault="002D247F">
          <w:pPr>
            <w:pStyle w:val="TOC1"/>
            <w:tabs>
              <w:tab w:val="right" w:leader="dot" w:pos="9350"/>
            </w:tabs>
            <w:rPr>
              <w:rFonts w:asciiTheme="minorHAnsi" w:hAnsiTheme="minorHAnsi"/>
              <w:noProof/>
              <w:kern w:val="2"/>
              <w:sz w:val="24"/>
              <w:szCs w:val="24"/>
              <w14:ligatures w14:val="standardContextual"/>
            </w:rPr>
          </w:pPr>
          <w:r>
            <w:fldChar w:fldCharType="begin"/>
          </w:r>
          <w:r>
            <w:instrText xml:space="preserve"> TOC \o "1-2" \h \z \u </w:instrText>
          </w:r>
          <w:r>
            <w:fldChar w:fldCharType="separate"/>
          </w:r>
          <w:hyperlink w:anchor="_Toc234844380" w:history="1">
            <w:r w:rsidR="00DF0BEF" w:rsidRPr="00D37B8F">
              <w:rPr>
                <w:rStyle w:val="Hyperlink"/>
                <w:noProof/>
              </w:rPr>
              <w:t>Summary</w:t>
            </w:r>
            <w:r w:rsidR="00DF0BEF">
              <w:rPr>
                <w:noProof/>
                <w:webHidden/>
              </w:rPr>
              <w:tab/>
            </w:r>
            <w:r w:rsidR="00DF0BEF">
              <w:rPr>
                <w:noProof/>
                <w:webHidden/>
              </w:rPr>
              <w:fldChar w:fldCharType="begin"/>
            </w:r>
            <w:r w:rsidR="00DF0BEF">
              <w:rPr>
                <w:noProof/>
                <w:webHidden/>
              </w:rPr>
              <w:instrText xml:space="preserve"> PAGEREF _Toc234844380 \h </w:instrText>
            </w:r>
            <w:r w:rsidR="00DF0BEF">
              <w:rPr>
                <w:noProof/>
                <w:webHidden/>
              </w:rPr>
            </w:r>
            <w:r w:rsidR="00DF0BEF">
              <w:rPr>
                <w:noProof/>
                <w:webHidden/>
              </w:rPr>
              <w:fldChar w:fldCharType="separate"/>
            </w:r>
            <w:r w:rsidR="00DF0BEF">
              <w:rPr>
                <w:noProof/>
                <w:webHidden/>
              </w:rPr>
              <w:t>2</w:t>
            </w:r>
            <w:r w:rsidR="00DF0BEF">
              <w:rPr>
                <w:noProof/>
                <w:webHidden/>
              </w:rPr>
              <w:fldChar w:fldCharType="end"/>
            </w:r>
          </w:hyperlink>
        </w:p>
        <w:p w14:paraId="7E8F702A" w14:textId="479398BA" w:rsidR="00DF0BEF" w:rsidRDefault="00DF0BEF">
          <w:pPr>
            <w:pStyle w:val="TOC1"/>
            <w:tabs>
              <w:tab w:val="left" w:pos="440"/>
              <w:tab w:val="right" w:leader="dot" w:pos="9350"/>
            </w:tabs>
            <w:rPr>
              <w:rFonts w:asciiTheme="minorHAnsi" w:hAnsiTheme="minorHAnsi"/>
              <w:noProof/>
              <w:kern w:val="2"/>
              <w:sz w:val="24"/>
              <w:szCs w:val="24"/>
              <w14:ligatures w14:val="standardContextual"/>
            </w:rPr>
          </w:pPr>
          <w:hyperlink w:anchor="_Toc234844381" w:history="1">
            <w:r w:rsidRPr="00D37B8F">
              <w:rPr>
                <w:rStyle w:val="Hyperlink"/>
                <w:bCs/>
                <w:noProof/>
              </w:rPr>
              <w:t>1</w:t>
            </w:r>
            <w:r>
              <w:rPr>
                <w:rFonts w:asciiTheme="minorHAnsi" w:hAnsiTheme="minorHAnsi"/>
                <w:noProof/>
                <w:kern w:val="2"/>
                <w:sz w:val="24"/>
                <w:szCs w:val="24"/>
                <w14:ligatures w14:val="standardContextual"/>
              </w:rPr>
              <w:tab/>
            </w:r>
            <w:r w:rsidRPr="00D37B8F">
              <w:rPr>
                <w:rStyle w:val="Hyperlink"/>
                <w:noProof/>
              </w:rPr>
              <w:t>Introduction</w:t>
            </w:r>
            <w:r>
              <w:rPr>
                <w:noProof/>
                <w:webHidden/>
              </w:rPr>
              <w:tab/>
            </w:r>
            <w:r>
              <w:rPr>
                <w:noProof/>
                <w:webHidden/>
              </w:rPr>
              <w:fldChar w:fldCharType="begin"/>
            </w:r>
            <w:r>
              <w:rPr>
                <w:noProof/>
                <w:webHidden/>
              </w:rPr>
              <w:instrText xml:space="preserve"> PAGEREF _Toc234844381 \h </w:instrText>
            </w:r>
            <w:r>
              <w:rPr>
                <w:noProof/>
                <w:webHidden/>
              </w:rPr>
            </w:r>
            <w:r>
              <w:rPr>
                <w:noProof/>
                <w:webHidden/>
              </w:rPr>
              <w:fldChar w:fldCharType="separate"/>
            </w:r>
            <w:r>
              <w:rPr>
                <w:noProof/>
                <w:webHidden/>
              </w:rPr>
              <w:t>2</w:t>
            </w:r>
            <w:r>
              <w:rPr>
                <w:noProof/>
                <w:webHidden/>
              </w:rPr>
              <w:fldChar w:fldCharType="end"/>
            </w:r>
          </w:hyperlink>
        </w:p>
        <w:p w14:paraId="5FCEFB15" w14:textId="1835A6C6" w:rsidR="00DF0BEF" w:rsidRDefault="00DF0BEF">
          <w:pPr>
            <w:pStyle w:val="TOC1"/>
            <w:tabs>
              <w:tab w:val="left" w:pos="440"/>
              <w:tab w:val="right" w:leader="dot" w:pos="9350"/>
            </w:tabs>
            <w:rPr>
              <w:rFonts w:asciiTheme="minorHAnsi" w:hAnsiTheme="minorHAnsi"/>
              <w:noProof/>
              <w:kern w:val="2"/>
              <w:sz w:val="24"/>
              <w:szCs w:val="24"/>
              <w14:ligatures w14:val="standardContextual"/>
            </w:rPr>
          </w:pPr>
          <w:hyperlink w:anchor="_Toc234844382" w:history="1">
            <w:r w:rsidRPr="00D37B8F">
              <w:rPr>
                <w:rStyle w:val="Hyperlink"/>
                <w:bCs/>
                <w:noProof/>
              </w:rPr>
              <w:t>2</w:t>
            </w:r>
            <w:r>
              <w:rPr>
                <w:rFonts w:asciiTheme="minorHAnsi" w:hAnsiTheme="minorHAnsi"/>
                <w:noProof/>
                <w:kern w:val="2"/>
                <w:sz w:val="24"/>
                <w:szCs w:val="24"/>
                <w14:ligatures w14:val="standardContextual"/>
              </w:rPr>
              <w:tab/>
            </w:r>
            <w:r w:rsidRPr="00D37B8F">
              <w:rPr>
                <w:rStyle w:val="Hyperlink"/>
                <w:noProof/>
              </w:rPr>
              <w:t>Overview of the EU CBAM regulation and recent updates</w:t>
            </w:r>
            <w:r>
              <w:rPr>
                <w:noProof/>
                <w:webHidden/>
              </w:rPr>
              <w:tab/>
            </w:r>
            <w:r>
              <w:rPr>
                <w:noProof/>
                <w:webHidden/>
              </w:rPr>
              <w:fldChar w:fldCharType="begin"/>
            </w:r>
            <w:r>
              <w:rPr>
                <w:noProof/>
                <w:webHidden/>
              </w:rPr>
              <w:instrText xml:space="preserve"> PAGEREF _Toc234844382 \h </w:instrText>
            </w:r>
            <w:r>
              <w:rPr>
                <w:noProof/>
                <w:webHidden/>
              </w:rPr>
            </w:r>
            <w:r>
              <w:rPr>
                <w:noProof/>
                <w:webHidden/>
              </w:rPr>
              <w:fldChar w:fldCharType="separate"/>
            </w:r>
            <w:r>
              <w:rPr>
                <w:noProof/>
                <w:webHidden/>
              </w:rPr>
              <w:t>4</w:t>
            </w:r>
            <w:r>
              <w:rPr>
                <w:noProof/>
                <w:webHidden/>
              </w:rPr>
              <w:fldChar w:fldCharType="end"/>
            </w:r>
          </w:hyperlink>
        </w:p>
        <w:p w14:paraId="22835056" w14:textId="3D398A15" w:rsidR="00DF0BEF" w:rsidRDefault="00DF0BEF">
          <w:pPr>
            <w:pStyle w:val="TOC2"/>
            <w:tabs>
              <w:tab w:val="left" w:pos="960"/>
              <w:tab w:val="right" w:leader="dot" w:pos="9350"/>
            </w:tabs>
            <w:rPr>
              <w:rFonts w:asciiTheme="minorHAnsi" w:hAnsiTheme="minorHAnsi"/>
              <w:noProof/>
              <w:kern w:val="2"/>
              <w:sz w:val="24"/>
              <w:szCs w:val="24"/>
              <w14:ligatures w14:val="standardContextual"/>
            </w:rPr>
          </w:pPr>
          <w:hyperlink w:anchor="_Toc234844383" w:history="1">
            <w:r w:rsidRPr="00D37B8F">
              <w:rPr>
                <w:rStyle w:val="Hyperlink"/>
                <w:noProof/>
              </w:rPr>
              <w:t>2.1</w:t>
            </w:r>
            <w:r>
              <w:rPr>
                <w:rFonts w:asciiTheme="minorHAnsi" w:hAnsiTheme="minorHAnsi"/>
                <w:noProof/>
                <w:kern w:val="2"/>
                <w:sz w:val="24"/>
                <w:szCs w:val="24"/>
                <w14:ligatures w14:val="standardContextual"/>
              </w:rPr>
              <w:tab/>
            </w:r>
            <w:r w:rsidRPr="00D37B8F">
              <w:rPr>
                <w:rStyle w:val="Hyperlink"/>
                <w:noProof/>
              </w:rPr>
              <w:t>Coverage and embedded emissions calculation</w:t>
            </w:r>
            <w:r>
              <w:rPr>
                <w:noProof/>
                <w:webHidden/>
              </w:rPr>
              <w:tab/>
            </w:r>
            <w:r>
              <w:rPr>
                <w:noProof/>
                <w:webHidden/>
              </w:rPr>
              <w:fldChar w:fldCharType="begin"/>
            </w:r>
            <w:r>
              <w:rPr>
                <w:noProof/>
                <w:webHidden/>
              </w:rPr>
              <w:instrText xml:space="preserve"> PAGEREF _Toc234844383 \h </w:instrText>
            </w:r>
            <w:r>
              <w:rPr>
                <w:noProof/>
                <w:webHidden/>
              </w:rPr>
            </w:r>
            <w:r>
              <w:rPr>
                <w:noProof/>
                <w:webHidden/>
              </w:rPr>
              <w:fldChar w:fldCharType="separate"/>
            </w:r>
            <w:r>
              <w:rPr>
                <w:noProof/>
                <w:webHidden/>
              </w:rPr>
              <w:t>5</w:t>
            </w:r>
            <w:r>
              <w:rPr>
                <w:noProof/>
                <w:webHidden/>
              </w:rPr>
              <w:fldChar w:fldCharType="end"/>
            </w:r>
          </w:hyperlink>
        </w:p>
        <w:p w14:paraId="22ADC8D0" w14:textId="4F6B11B6" w:rsidR="00DF0BEF" w:rsidRDefault="00DF0BEF">
          <w:pPr>
            <w:pStyle w:val="TOC2"/>
            <w:tabs>
              <w:tab w:val="left" w:pos="960"/>
              <w:tab w:val="right" w:leader="dot" w:pos="9350"/>
            </w:tabs>
            <w:rPr>
              <w:rFonts w:asciiTheme="minorHAnsi" w:hAnsiTheme="minorHAnsi"/>
              <w:noProof/>
              <w:kern w:val="2"/>
              <w:sz w:val="24"/>
              <w:szCs w:val="24"/>
              <w14:ligatures w14:val="standardContextual"/>
            </w:rPr>
          </w:pPr>
          <w:hyperlink w:anchor="_Toc234844384" w:history="1">
            <w:r w:rsidRPr="00D37B8F">
              <w:rPr>
                <w:rStyle w:val="Hyperlink"/>
                <w:noProof/>
              </w:rPr>
              <w:t>2.2</w:t>
            </w:r>
            <w:r>
              <w:rPr>
                <w:rFonts w:asciiTheme="minorHAnsi" w:hAnsiTheme="minorHAnsi"/>
                <w:noProof/>
                <w:kern w:val="2"/>
                <w:sz w:val="24"/>
                <w:szCs w:val="24"/>
                <w14:ligatures w14:val="standardContextual"/>
              </w:rPr>
              <w:tab/>
            </w:r>
            <w:r w:rsidRPr="00D37B8F">
              <w:rPr>
                <w:rStyle w:val="Hyperlink"/>
                <w:noProof/>
              </w:rPr>
              <w:t>Carbon prices paid</w:t>
            </w:r>
            <w:r>
              <w:rPr>
                <w:noProof/>
                <w:webHidden/>
              </w:rPr>
              <w:tab/>
            </w:r>
            <w:r>
              <w:rPr>
                <w:noProof/>
                <w:webHidden/>
              </w:rPr>
              <w:fldChar w:fldCharType="begin"/>
            </w:r>
            <w:r>
              <w:rPr>
                <w:noProof/>
                <w:webHidden/>
              </w:rPr>
              <w:instrText xml:space="preserve"> PAGEREF _Toc234844384 \h </w:instrText>
            </w:r>
            <w:r>
              <w:rPr>
                <w:noProof/>
                <w:webHidden/>
              </w:rPr>
            </w:r>
            <w:r>
              <w:rPr>
                <w:noProof/>
                <w:webHidden/>
              </w:rPr>
              <w:fldChar w:fldCharType="separate"/>
            </w:r>
            <w:r>
              <w:rPr>
                <w:noProof/>
                <w:webHidden/>
              </w:rPr>
              <w:t>7</w:t>
            </w:r>
            <w:r>
              <w:rPr>
                <w:noProof/>
                <w:webHidden/>
              </w:rPr>
              <w:fldChar w:fldCharType="end"/>
            </w:r>
          </w:hyperlink>
        </w:p>
        <w:p w14:paraId="7FFD97AB" w14:textId="018F151B" w:rsidR="00DF0BEF" w:rsidRDefault="00DF0BEF">
          <w:pPr>
            <w:pStyle w:val="TOC1"/>
            <w:tabs>
              <w:tab w:val="left" w:pos="440"/>
              <w:tab w:val="right" w:leader="dot" w:pos="9350"/>
            </w:tabs>
            <w:rPr>
              <w:rFonts w:asciiTheme="minorHAnsi" w:hAnsiTheme="minorHAnsi"/>
              <w:noProof/>
              <w:kern w:val="2"/>
              <w:sz w:val="24"/>
              <w:szCs w:val="24"/>
              <w14:ligatures w14:val="standardContextual"/>
            </w:rPr>
          </w:pPr>
          <w:hyperlink w:anchor="_Toc234844385" w:history="1">
            <w:r w:rsidRPr="00D37B8F">
              <w:rPr>
                <w:rStyle w:val="Hyperlink"/>
                <w:bCs/>
                <w:noProof/>
              </w:rPr>
              <w:t>3</w:t>
            </w:r>
            <w:r>
              <w:rPr>
                <w:rFonts w:asciiTheme="minorHAnsi" w:hAnsiTheme="minorHAnsi"/>
                <w:noProof/>
                <w:kern w:val="2"/>
                <w:sz w:val="24"/>
                <w:szCs w:val="24"/>
                <w14:ligatures w14:val="standardContextual"/>
              </w:rPr>
              <w:tab/>
            </w:r>
            <w:r w:rsidRPr="00D37B8F">
              <w:rPr>
                <w:rStyle w:val="Hyperlink"/>
                <w:noProof/>
              </w:rPr>
              <w:t>Potential implications of the EU CBAM for Egypt</w:t>
            </w:r>
            <w:r>
              <w:rPr>
                <w:noProof/>
                <w:webHidden/>
              </w:rPr>
              <w:tab/>
            </w:r>
            <w:r>
              <w:rPr>
                <w:noProof/>
                <w:webHidden/>
              </w:rPr>
              <w:fldChar w:fldCharType="begin"/>
            </w:r>
            <w:r>
              <w:rPr>
                <w:noProof/>
                <w:webHidden/>
              </w:rPr>
              <w:instrText xml:space="preserve"> PAGEREF _Toc234844385 \h </w:instrText>
            </w:r>
            <w:r>
              <w:rPr>
                <w:noProof/>
                <w:webHidden/>
              </w:rPr>
            </w:r>
            <w:r>
              <w:rPr>
                <w:noProof/>
                <w:webHidden/>
              </w:rPr>
              <w:fldChar w:fldCharType="separate"/>
            </w:r>
            <w:r>
              <w:rPr>
                <w:noProof/>
                <w:webHidden/>
              </w:rPr>
              <w:t>8</w:t>
            </w:r>
            <w:r>
              <w:rPr>
                <w:noProof/>
                <w:webHidden/>
              </w:rPr>
              <w:fldChar w:fldCharType="end"/>
            </w:r>
          </w:hyperlink>
        </w:p>
        <w:p w14:paraId="3EB07F98" w14:textId="71405AA2" w:rsidR="00DF0BEF" w:rsidRDefault="00DF0BEF">
          <w:pPr>
            <w:pStyle w:val="TOC2"/>
            <w:tabs>
              <w:tab w:val="left" w:pos="960"/>
              <w:tab w:val="right" w:leader="dot" w:pos="9350"/>
            </w:tabs>
            <w:rPr>
              <w:rFonts w:asciiTheme="minorHAnsi" w:hAnsiTheme="minorHAnsi"/>
              <w:noProof/>
              <w:kern w:val="2"/>
              <w:sz w:val="24"/>
              <w:szCs w:val="24"/>
              <w14:ligatures w14:val="standardContextual"/>
            </w:rPr>
          </w:pPr>
          <w:hyperlink w:anchor="_Toc234844386" w:history="1">
            <w:r w:rsidRPr="00D37B8F">
              <w:rPr>
                <w:rStyle w:val="Hyperlink"/>
                <w:noProof/>
              </w:rPr>
              <w:t>3.1</w:t>
            </w:r>
            <w:r>
              <w:rPr>
                <w:rFonts w:asciiTheme="minorHAnsi" w:hAnsiTheme="minorHAnsi"/>
                <w:noProof/>
                <w:kern w:val="2"/>
                <w:sz w:val="24"/>
                <w:szCs w:val="24"/>
                <w14:ligatures w14:val="standardContextual"/>
              </w:rPr>
              <w:tab/>
            </w:r>
            <w:r w:rsidRPr="00D37B8F">
              <w:rPr>
                <w:rStyle w:val="Hyperlink"/>
                <w:noProof/>
              </w:rPr>
              <w:t>Egypt’s sectoral exposure to the EU CBAM</w:t>
            </w:r>
            <w:r>
              <w:rPr>
                <w:noProof/>
                <w:webHidden/>
              </w:rPr>
              <w:tab/>
            </w:r>
            <w:r>
              <w:rPr>
                <w:noProof/>
                <w:webHidden/>
              </w:rPr>
              <w:fldChar w:fldCharType="begin"/>
            </w:r>
            <w:r>
              <w:rPr>
                <w:noProof/>
                <w:webHidden/>
              </w:rPr>
              <w:instrText xml:space="preserve"> PAGEREF _Toc234844386 \h </w:instrText>
            </w:r>
            <w:r>
              <w:rPr>
                <w:noProof/>
                <w:webHidden/>
              </w:rPr>
            </w:r>
            <w:r>
              <w:rPr>
                <w:noProof/>
                <w:webHidden/>
              </w:rPr>
              <w:fldChar w:fldCharType="separate"/>
            </w:r>
            <w:r>
              <w:rPr>
                <w:noProof/>
                <w:webHidden/>
              </w:rPr>
              <w:t>8</w:t>
            </w:r>
            <w:r>
              <w:rPr>
                <w:noProof/>
                <w:webHidden/>
              </w:rPr>
              <w:fldChar w:fldCharType="end"/>
            </w:r>
          </w:hyperlink>
        </w:p>
        <w:p w14:paraId="141BC975" w14:textId="11C0BAFF" w:rsidR="00DF0BEF" w:rsidRDefault="00DF0BEF">
          <w:pPr>
            <w:pStyle w:val="TOC2"/>
            <w:tabs>
              <w:tab w:val="left" w:pos="960"/>
              <w:tab w:val="right" w:leader="dot" w:pos="9350"/>
            </w:tabs>
            <w:rPr>
              <w:rFonts w:asciiTheme="minorHAnsi" w:hAnsiTheme="minorHAnsi"/>
              <w:noProof/>
              <w:kern w:val="2"/>
              <w:sz w:val="24"/>
              <w:szCs w:val="24"/>
              <w14:ligatures w14:val="standardContextual"/>
            </w:rPr>
          </w:pPr>
          <w:hyperlink w:anchor="_Toc234844387" w:history="1">
            <w:r w:rsidRPr="00D37B8F">
              <w:rPr>
                <w:rStyle w:val="Hyperlink"/>
                <w:noProof/>
              </w:rPr>
              <w:t>3.2</w:t>
            </w:r>
            <w:r>
              <w:rPr>
                <w:rFonts w:asciiTheme="minorHAnsi" w:hAnsiTheme="minorHAnsi"/>
                <w:noProof/>
                <w:kern w:val="2"/>
                <w:sz w:val="24"/>
                <w:szCs w:val="24"/>
                <w14:ligatures w14:val="standardContextual"/>
              </w:rPr>
              <w:tab/>
            </w:r>
            <w:r w:rsidRPr="00D37B8F">
              <w:rPr>
                <w:rStyle w:val="Hyperlink"/>
                <w:noProof/>
              </w:rPr>
              <w:t>CBAM and future clean energy exports</w:t>
            </w:r>
            <w:r>
              <w:rPr>
                <w:noProof/>
                <w:webHidden/>
              </w:rPr>
              <w:tab/>
            </w:r>
            <w:r>
              <w:rPr>
                <w:noProof/>
                <w:webHidden/>
              </w:rPr>
              <w:fldChar w:fldCharType="begin"/>
            </w:r>
            <w:r>
              <w:rPr>
                <w:noProof/>
                <w:webHidden/>
              </w:rPr>
              <w:instrText xml:space="preserve"> PAGEREF _Toc234844387 \h </w:instrText>
            </w:r>
            <w:r>
              <w:rPr>
                <w:noProof/>
                <w:webHidden/>
              </w:rPr>
            </w:r>
            <w:r>
              <w:rPr>
                <w:noProof/>
                <w:webHidden/>
              </w:rPr>
              <w:fldChar w:fldCharType="separate"/>
            </w:r>
            <w:r>
              <w:rPr>
                <w:noProof/>
                <w:webHidden/>
              </w:rPr>
              <w:t>17</w:t>
            </w:r>
            <w:r>
              <w:rPr>
                <w:noProof/>
                <w:webHidden/>
              </w:rPr>
              <w:fldChar w:fldCharType="end"/>
            </w:r>
          </w:hyperlink>
        </w:p>
        <w:p w14:paraId="090C3BD0" w14:textId="0960A830" w:rsidR="00DF0BEF" w:rsidRDefault="00DF0BEF">
          <w:pPr>
            <w:pStyle w:val="TOC2"/>
            <w:tabs>
              <w:tab w:val="left" w:pos="960"/>
              <w:tab w:val="right" w:leader="dot" w:pos="9350"/>
            </w:tabs>
            <w:rPr>
              <w:rFonts w:asciiTheme="minorHAnsi" w:hAnsiTheme="minorHAnsi"/>
              <w:noProof/>
              <w:kern w:val="2"/>
              <w:sz w:val="24"/>
              <w:szCs w:val="24"/>
              <w14:ligatures w14:val="standardContextual"/>
            </w:rPr>
          </w:pPr>
          <w:hyperlink w:anchor="_Toc234844388" w:history="1">
            <w:r w:rsidRPr="00D37B8F">
              <w:rPr>
                <w:rStyle w:val="Hyperlink"/>
                <w:noProof/>
              </w:rPr>
              <w:t>3.3</w:t>
            </w:r>
            <w:r>
              <w:rPr>
                <w:rFonts w:asciiTheme="minorHAnsi" w:hAnsiTheme="minorHAnsi"/>
                <w:noProof/>
                <w:kern w:val="2"/>
                <w:sz w:val="24"/>
                <w:szCs w:val="24"/>
                <w14:ligatures w14:val="standardContextual"/>
              </w:rPr>
              <w:tab/>
            </w:r>
            <w:r w:rsidRPr="00D37B8F">
              <w:rPr>
                <w:rStyle w:val="Hyperlink"/>
                <w:noProof/>
              </w:rPr>
              <w:t>Macroeconomic and trade implications for Egypt</w:t>
            </w:r>
            <w:r>
              <w:rPr>
                <w:noProof/>
                <w:webHidden/>
              </w:rPr>
              <w:tab/>
            </w:r>
            <w:r>
              <w:rPr>
                <w:noProof/>
                <w:webHidden/>
              </w:rPr>
              <w:fldChar w:fldCharType="begin"/>
            </w:r>
            <w:r>
              <w:rPr>
                <w:noProof/>
                <w:webHidden/>
              </w:rPr>
              <w:instrText xml:space="preserve"> PAGEREF _Toc234844388 \h </w:instrText>
            </w:r>
            <w:r>
              <w:rPr>
                <w:noProof/>
                <w:webHidden/>
              </w:rPr>
            </w:r>
            <w:r>
              <w:rPr>
                <w:noProof/>
                <w:webHidden/>
              </w:rPr>
              <w:fldChar w:fldCharType="separate"/>
            </w:r>
            <w:r>
              <w:rPr>
                <w:noProof/>
                <w:webHidden/>
              </w:rPr>
              <w:t>18</w:t>
            </w:r>
            <w:r>
              <w:rPr>
                <w:noProof/>
                <w:webHidden/>
              </w:rPr>
              <w:fldChar w:fldCharType="end"/>
            </w:r>
          </w:hyperlink>
        </w:p>
        <w:p w14:paraId="355F57C8" w14:textId="75B7C3FB" w:rsidR="00DF0BEF" w:rsidRDefault="00DF0BEF">
          <w:pPr>
            <w:pStyle w:val="TOC2"/>
            <w:tabs>
              <w:tab w:val="left" w:pos="960"/>
              <w:tab w:val="right" w:leader="dot" w:pos="9350"/>
            </w:tabs>
            <w:rPr>
              <w:rFonts w:asciiTheme="minorHAnsi" w:hAnsiTheme="minorHAnsi"/>
              <w:noProof/>
              <w:kern w:val="2"/>
              <w:sz w:val="24"/>
              <w:szCs w:val="24"/>
              <w14:ligatures w14:val="standardContextual"/>
            </w:rPr>
          </w:pPr>
          <w:hyperlink w:anchor="_Toc234844389" w:history="1">
            <w:r w:rsidRPr="00D37B8F">
              <w:rPr>
                <w:rStyle w:val="Hyperlink"/>
                <w:noProof/>
              </w:rPr>
              <w:t>3.4</w:t>
            </w:r>
            <w:r>
              <w:rPr>
                <w:rFonts w:asciiTheme="minorHAnsi" w:hAnsiTheme="minorHAnsi"/>
                <w:noProof/>
                <w:kern w:val="2"/>
                <w:sz w:val="24"/>
                <w:szCs w:val="24"/>
                <w14:ligatures w14:val="standardContextual"/>
              </w:rPr>
              <w:tab/>
            </w:r>
            <w:r w:rsidRPr="00D37B8F">
              <w:rPr>
                <w:rStyle w:val="Hyperlink"/>
                <w:noProof/>
              </w:rPr>
              <w:t>Risks and opportunities from CBAM for Egypt</w:t>
            </w:r>
            <w:r>
              <w:rPr>
                <w:noProof/>
                <w:webHidden/>
              </w:rPr>
              <w:tab/>
            </w:r>
            <w:r>
              <w:rPr>
                <w:noProof/>
                <w:webHidden/>
              </w:rPr>
              <w:fldChar w:fldCharType="begin"/>
            </w:r>
            <w:r>
              <w:rPr>
                <w:noProof/>
                <w:webHidden/>
              </w:rPr>
              <w:instrText xml:space="preserve"> PAGEREF _Toc234844389 \h </w:instrText>
            </w:r>
            <w:r>
              <w:rPr>
                <w:noProof/>
                <w:webHidden/>
              </w:rPr>
            </w:r>
            <w:r>
              <w:rPr>
                <w:noProof/>
                <w:webHidden/>
              </w:rPr>
              <w:fldChar w:fldCharType="separate"/>
            </w:r>
            <w:r>
              <w:rPr>
                <w:noProof/>
                <w:webHidden/>
              </w:rPr>
              <w:t>22</w:t>
            </w:r>
            <w:r>
              <w:rPr>
                <w:noProof/>
                <w:webHidden/>
              </w:rPr>
              <w:fldChar w:fldCharType="end"/>
            </w:r>
          </w:hyperlink>
        </w:p>
        <w:p w14:paraId="25B7567F" w14:textId="118DD3DC" w:rsidR="00DF0BEF" w:rsidRDefault="00DF0BEF">
          <w:pPr>
            <w:pStyle w:val="TOC1"/>
            <w:tabs>
              <w:tab w:val="left" w:pos="440"/>
              <w:tab w:val="right" w:leader="dot" w:pos="9350"/>
            </w:tabs>
            <w:rPr>
              <w:rFonts w:asciiTheme="minorHAnsi" w:hAnsiTheme="minorHAnsi"/>
              <w:noProof/>
              <w:kern w:val="2"/>
              <w:sz w:val="24"/>
              <w:szCs w:val="24"/>
              <w14:ligatures w14:val="standardContextual"/>
            </w:rPr>
          </w:pPr>
          <w:hyperlink w:anchor="_Toc234844390" w:history="1">
            <w:r w:rsidRPr="00D37B8F">
              <w:rPr>
                <w:rStyle w:val="Hyperlink"/>
                <w:bCs/>
                <w:noProof/>
              </w:rPr>
              <w:t>4</w:t>
            </w:r>
            <w:r>
              <w:rPr>
                <w:rFonts w:asciiTheme="minorHAnsi" w:hAnsiTheme="minorHAnsi"/>
                <w:noProof/>
                <w:kern w:val="2"/>
                <w:sz w:val="24"/>
                <w:szCs w:val="24"/>
                <w14:ligatures w14:val="standardContextual"/>
              </w:rPr>
              <w:tab/>
            </w:r>
            <w:r w:rsidRPr="00D37B8F">
              <w:rPr>
                <w:rStyle w:val="Hyperlink"/>
                <w:noProof/>
              </w:rPr>
              <w:t>Policy options in view of CBAM and national objectives</w:t>
            </w:r>
            <w:r>
              <w:rPr>
                <w:noProof/>
                <w:webHidden/>
              </w:rPr>
              <w:tab/>
            </w:r>
            <w:r>
              <w:rPr>
                <w:noProof/>
                <w:webHidden/>
              </w:rPr>
              <w:fldChar w:fldCharType="begin"/>
            </w:r>
            <w:r>
              <w:rPr>
                <w:noProof/>
                <w:webHidden/>
              </w:rPr>
              <w:instrText xml:space="preserve"> PAGEREF _Toc234844390 \h </w:instrText>
            </w:r>
            <w:r>
              <w:rPr>
                <w:noProof/>
                <w:webHidden/>
              </w:rPr>
            </w:r>
            <w:r>
              <w:rPr>
                <w:noProof/>
                <w:webHidden/>
              </w:rPr>
              <w:fldChar w:fldCharType="separate"/>
            </w:r>
            <w:r>
              <w:rPr>
                <w:noProof/>
                <w:webHidden/>
              </w:rPr>
              <w:t>23</w:t>
            </w:r>
            <w:r>
              <w:rPr>
                <w:noProof/>
                <w:webHidden/>
              </w:rPr>
              <w:fldChar w:fldCharType="end"/>
            </w:r>
          </w:hyperlink>
        </w:p>
        <w:p w14:paraId="057DFA84" w14:textId="2E7E6A7A" w:rsidR="00DF0BEF" w:rsidRDefault="00DF0BEF">
          <w:pPr>
            <w:pStyle w:val="TOC2"/>
            <w:tabs>
              <w:tab w:val="left" w:pos="960"/>
              <w:tab w:val="right" w:leader="dot" w:pos="9350"/>
            </w:tabs>
            <w:rPr>
              <w:rFonts w:asciiTheme="minorHAnsi" w:hAnsiTheme="minorHAnsi"/>
              <w:noProof/>
              <w:kern w:val="2"/>
              <w:sz w:val="24"/>
              <w:szCs w:val="24"/>
              <w14:ligatures w14:val="standardContextual"/>
            </w:rPr>
          </w:pPr>
          <w:hyperlink w:anchor="_Toc234844391" w:history="1">
            <w:r w:rsidRPr="00D37B8F">
              <w:rPr>
                <w:rStyle w:val="Hyperlink"/>
                <w:noProof/>
              </w:rPr>
              <w:t>4.1</w:t>
            </w:r>
            <w:r>
              <w:rPr>
                <w:rFonts w:asciiTheme="minorHAnsi" w:hAnsiTheme="minorHAnsi"/>
                <w:noProof/>
                <w:kern w:val="2"/>
                <w:sz w:val="24"/>
                <w:szCs w:val="24"/>
                <w14:ligatures w14:val="standardContextual"/>
              </w:rPr>
              <w:tab/>
            </w:r>
            <w:r w:rsidRPr="00D37B8F">
              <w:rPr>
                <w:rStyle w:val="Hyperlink"/>
                <w:noProof/>
              </w:rPr>
              <w:t>CBAM provisions regarding carbon pricing in third countries</w:t>
            </w:r>
            <w:r>
              <w:rPr>
                <w:noProof/>
                <w:webHidden/>
              </w:rPr>
              <w:tab/>
            </w:r>
            <w:r>
              <w:rPr>
                <w:noProof/>
                <w:webHidden/>
              </w:rPr>
              <w:fldChar w:fldCharType="begin"/>
            </w:r>
            <w:r>
              <w:rPr>
                <w:noProof/>
                <w:webHidden/>
              </w:rPr>
              <w:instrText xml:space="preserve"> PAGEREF _Toc234844391 \h </w:instrText>
            </w:r>
            <w:r>
              <w:rPr>
                <w:noProof/>
                <w:webHidden/>
              </w:rPr>
            </w:r>
            <w:r>
              <w:rPr>
                <w:noProof/>
                <w:webHidden/>
              </w:rPr>
              <w:fldChar w:fldCharType="separate"/>
            </w:r>
            <w:r>
              <w:rPr>
                <w:noProof/>
                <w:webHidden/>
              </w:rPr>
              <w:t>23</w:t>
            </w:r>
            <w:r>
              <w:rPr>
                <w:noProof/>
                <w:webHidden/>
              </w:rPr>
              <w:fldChar w:fldCharType="end"/>
            </w:r>
          </w:hyperlink>
        </w:p>
        <w:p w14:paraId="4D004C28" w14:textId="7B3D20C0" w:rsidR="00DF0BEF" w:rsidRDefault="00DF0BEF">
          <w:pPr>
            <w:pStyle w:val="TOC2"/>
            <w:tabs>
              <w:tab w:val="left" w:pos="960"/>
              <w:tab w:val="right" w:leader="dot" w:pos="9350"/>
            </w:tabs>
            <w:rPr>
              <w:rFonts w:asciiTheme="minorHAnsi" w:hAnsiTheme="minorHAnsi"/>
              <w:noProof/>
              <w:kern w:val="2"/>
              <w:sz w:val="24"/>
              <w:szCs w:val="24"/>
              <w14:ligatures w14:val="standardContextual"/>
            </w:rPr>
          </w:pPr>
          <w:hyperlink w:anchor="_Toc234844392" w:history="1">
            <w:r w:rsidRPr="00D37B8F">
              <w:rPr>
                <w:rStyle w:val="Hyperlink"/>
                <w:noProof/>
              </w:rPr>
              <w:t>4.2</w:t>
            </w:r>
            <w:r>
              <w:rPr>
                <w:rFonts w:asciiTheme="minorHAnsi" w:hAnsiTheme="minorHAnsi"/>
                <w:noProof/>
                <w:kern w:val="2"/>
                <w:sz w:val="24"/>
                <w:szCs w:val="24"/>
                <w14:ligatures w14:val="standardContextual"/>
              </w:rPr>
              <w:tab/>
            </w:r>
            <w:r w:rsidRPr="00D37B8F">
              <w:rPr>
                <w:rStyle w:val="Hyperlink"/>
                <w:noProof/>
              </w:rPr>
              <w:t>A range of policy options</w:t>
            </w:r>
            <w:r>
              <w:rPr>
                <w:noProof/>
                <w:webHidden/>
              </w:rPr>
              <w:tab/>
            </w:r>
            <w:r>
              <w:rPr>
                <w:noProof/>
                <w:webHidden/>
              </w:rPr>
              <w:fldChar w:fldCharType="begin"/>
            </w:r>
            <w:r>
              <w:rPr>
                <w:noProof/>
                <w:webHidden/>
              </w:rPr>
              <w:instrText xml:space="preserve"> PAGEREF _Toc234844392 \h </w:instrText>
            </w:r>
            <w:r>
              <w:rPr>
                <w:noProof/>
                <w:webHidden/>
              </w:rPr>
            </w:r>
            <w:r>
              <w:rPr>
                <w:noProof/>
                <w:webHidden/>
              </w:rPr>
              <w:fldChar w:fldCharType="separate"/>
            </w:r>
            <w:r>
              <w:rPr>
                <w:noProof/>
                <w:webHidden/>
              </w:rPr>
              <w:t>25</w:t>
            </w:r>
            <w:r>
              <w:rPr>
                <w:noProof/>
                <w:webHidden/>
              </w:rPr>
              <w:fldChar w:fldCharType="end"/>
            </w:r>
          </w:hyperlink>
        </w:p>
        <w:p w14:paraId="1F7668D5" w14:textId="70373397" w:rsidR="00DF0BEF" w:rsidRDefault="00DF0BEF">
          <w:pPr>
            <w:pStyle w:val="TOC2"/>
            <w:tabs>
              <w:tab w:val="left" w:pos="960"/>
              <w:tab w:val="right" w:leader="dot" w:pos="9350"/>
            </w:tabs>
            <w:rPr>
              <w:rFonts w:asciiTheme="minorHAnsi" w:hAnsiTheme="minorHAnsi"/>
              <w:noProof/>
              <w:kern w:val="2"/>
              <w:sz w:val="24"/>
              <w:szCs w:val="24"/>
              <w14:ligatures w14:val="standardContextual"/>
            </w:rPr>
          </w:pPr>
          <w:hyperlink w:anchor="_Toc234844393" w:history="1">
            <w:r w:rsidRPr="00D37B8F">
              <w:rPr>
                <w:rStyle w:val="Hyperlink"/>
                <w:noProof/>
              </w:rPr>
              <w:t>4.3</w:t>
            </w:r>
            <w:r>
              <w:rPr>
                <w:rFonts w:asciiTheme="minorHAnsi" w:hAnsiTheme="minorHAnsi"/>
                <w:noProof/>
                <w:kern w:val="2"/>
                <w:sz w:val="24"/>
                <w:szCs w:val="24"/>
                <w14:ligatures w14:val="standardContextual"/>
              </w:rPr>
              <w:tab/>
            </w:r>
            <w:r w:rsidRPr="00D37B8F">
              <w:rPr>
                <w:rStyle w:val="Hyperlink"/>
                <w:noProof/>
              </w:rPr>
              <w:t>Simulated policy outcomes for Egypt</w:t>
            </w:r>
            <w:r>
              <w:rPr>
                <w:noProof/>
                <w:webHidden/>
              </w:rPr>
              <w:tab/>
            </w:r>
            <w:r>
              <w:rPr>
                <w:noProof/>
                <w:webHidden/>
              </w:rPr>
              <w:fldChar w:fldCharType="begin"/>
            </w:r>
            <w:r>
              <w:rPr>
                <w:noProof/>
                <w:webHidden/>
              </w:rPr>
              <w:instrText xml:space="preserve"> PAGEREF _Toc234844393 \h </w:instrText>
            </w:r>
            <w:r>
              <w:rPr>
                <w:noProof/>
                <w:webHidden/>
              </w:rPr>
            </w:r>
            <w:r>
              <w:rPr>
                <w:noProof/>
                <w:webHidden/>
              </w:rPr>
              <w:fldChar w:fldCharType="separate"/>
            </w:r>
            <w:r>
              <w:rPr>
                <w:noProof/>
                <w:webHidden/>
              </w:rPr>
              <w:t>29</w:t>
            </w:r>
            <w:r>
              <w:rPr>
                <w:noProof/>
                <w:webHidden/>
              </w:rPr>
              <w:fldChar w:fldCharType="end"/>
            </w:r>
          </w:hyperlink>
        </w:p>
        <w:p w14:paraId="1CA0861A" w14:textId="26CB3CE4" w:rsidR="00DF0BEF" w:rsidRDefault="00DF0BEF">
          <w:pPr>
            <w:pStyle w:val="TOC2"/>
            <w:tabs>
              <w:tab w:val="left" w:pos="960"/>
              <w:tab w:val="right" w:leader="dot" w:pos="9350"/>
            </w:tabs>
            <w:rPr>
              <w:rFonts w:asciiTheme="minorHAnsi" w:hAnsiTheme="minorHAnsi"/>
              <w:noProof/>
              <w:kern w:val="2"/>
              <w:sz w:val="24"/>
              <w:szCs w:val="24"/>
              <w14:ligatures w14:val="standardContextual"/>
            </w:rPr>
          </w:pPr>
          <w:hyperlink w:anchor="_Toc234844394" w:history="1">
            <w:r w:rsidRPr="00D37B8F">
              <w:rPr>
                <w:rStyle w:val="Hyperlink"/>
                <w:noProof/>
              </w:rPr>
              <w:t>4.4</w:t>
            </w:r>
            <w:r>
              <w:rPr>
                <w:rFonts w:asciiTheme="minorHAnsi" w:hAnsiTheme="minorHAnsi"/>
                <w:noProof/>
                <w:kern w:val="2"/>
                <w:sz w:val="24"/>
                <w:szCs w:val="24"/>
                <w14:ligatures w14:val="standardContextual"/>
              </w:rPr>
              <w:tab/>
            </w:r>
            <w:r w:rsidRPr="00D37B8F">
              <w:rPr>
                <w:rStyle w:val="Hyperlink"/>
                <w:noProof/>
              </w:rPr>
              <w:t>Importance of complementary options for decarbonizing industry</w:t>
            </w:r>
            <w:r>
              <w:rPr>
                <w:noProof/>
                <w:webHidden/>
              </w:rPr>
              <w:tab/>
            </w:r>
            <w:r>
              <w:rPr>
                <w:noProof/>
                <w:webHidden/>
              </w:rPr>
              <w:fldChar w:fldCharType="begin"/>
            </w:r>
            <w:r>
              <w:rPr>
                <w:noProof/>
                <w:webHidden/>
              </w:rPr>
              <w:instrText xml:space="preserve"> PAGEREF _Toc234844394 \h </w:instrText>
            </w:r>
            <w:r>
              <w:rPr>
                <w:noProof/>
                <w:webHidden/>
              </w:rPr>
            </w:r>
            <w:r>
              <w:rPr>
                <w:noProof/>
                <w:webHidden/>
              </w:rPr>
              <w:fldChar w:fldCharType="separate"/>
            </w:r>
            <w:r>
              <w:rPr>
                <w:noProof/>
                <w:webHidden/>
              </w:rPr>
              <w:t>37</w:t>
            </w:r>
            <w:r>
              <w:rPr>
                <w:noProof/>
                <w:webHidden/>
              </w:rPr>
              <w:fldChar w:fldCharType="end"/>
            </w:r>
          </w:hyperlink>
        </w:p>
        <w:p w14:paraId="55455B4D" w14:textId="39A5ADD2" w:rsidR="00DF0BEF" w:rsidRDefault="00DF0BEF">
          <w:pPr>
            <w:pStyle w:val="TOC1"/>
            <w:tabs>
              <w:tab w:val="left" w:pos="440"/>
              <w:tab w:val="right" w:leader="dot" w:pos="9350"/>
            </w:tabs>
            <w:rPr>
              <w:rFonts w:asciiTheme="minorHAnsi" w:hAnsiTheme="minorHAnsi"/>
              <w:noProof/>
              <w:kern w:val="2"/>
              <w:sz w:val="24"/>
              <w:szCs w:val="24"/>
              <w14:ligatures w14:val="standardContextual"/>
            </w:rPr>
          </w:pPr>
          <w:hyperlink w:anchor="_Toc234844395" w:history="1">
            <w:r w:rsidRPr="00D37B8F">
              <w:rPr>
                <w:rStyle w:val="Hyperlink"/>
                <w:bCs/>
                <w:noProof/>
              </w:rPr>
              <w:t>5</w:t>
            </w:r>
            <w:r>
              <w:rPr>
                <w:rFonts w:asciiTheme="minorHAnsi" w:hAnsiTheme="minorHAnsi"/>
                <w:noProof/>
                <w:kern w:val="2"/>
                <w:sz w:val="24"/>
                <w:szCs w:val="24"/>
                <w14:ligatures w14:val="standardContextual"/>
              </w:rPr>
              <w:tab/>
            </w:r>
            <w:r w:rsidRPr="00D37B8F">
              <w:rPr>
                <w:rStyle w:val="Hyperlink"/>
                <w:noProof/>
              </w:rPr>
              <w:t>Conclusion</w:t>
            </w:r>
            <w:r>
              <w:rPr>
                <w:noProof/>
                <w:webHidden/>
              </w:rPr>
              <w:tab/>
            </w:r>
            <w:r>
              <w:rPr>
                <w:noProof/>
                <w:webHidden/>
              </w:rPr>
              <w:fldChar w:fldCharType="begin"/>
            </w:r>
            <w:r>
              <w:rPr>
                <w:noProof/>
                <w:webHidden/>
              </w:rPr>
              <w:instrText xml:space="preserve"> PAGEREF _Toc234844395 \h </w:instrText>
            </w:r>
            <w:r>
              <w:rPr>
                <w:noProof/>
                <w:webHidden/>
              </w:rPr>
            </w:r>
            <w:r>
              <w:rPr>
                <w:noProof/>
                <w:webHidden/>
              </w:rPr>
              <w:fldChar w:fldCharType="separate"/>
            </w:r>
            <w:r>
              <w:rPr>
                <w:noProof/>
                <w:webHidden/>
              </w:rPr>
              <w:t>38</w:t>
            </w:r>
            <w:r>
              <w:rPr>
                <w:noProof/>
                <w:webHidden/>
              </w:rPr>
              <w:fldChar w:fldCharType="end"/>
            </w:r>
          </w:hyperlink>
        </w:p>
        <w:p w14:paraId="60CC7A3A" w14:textId="3505C415" w:rsidR="00DF0BEF" w:rsidRDefault="00DF0BEF">
          <w:pPr>
            <w:pStyle w:val="TOC1"/>
            <w:tabs>
              <w:tab w:val="left" w:pos="440"/>
              <w:tab w:val="right" w:leader="dot" w:pos="9350"/>
            </w:tabs>
            <w:rPr>
              <w:rFonts w:asciiTheme="minorHAnsi" w:hAnsiTheme="minorHAnsi"/>
              <w:noProof/>
              <w:kern w:val="2"/>
              <w:sz w:val="24"/>
              <w:szCs w:val="24"/>
              <w14:ligatures w14:val="standardContextual"/>
            </w:rPr>
          </w:pPr>
          <w:hyperlink w:anchor="_Toc234844396" w:history="1">
            <w:r w:rsidRPr="00D37B8F">
              <w:rPr>
                <w:rStyle w:val="Hyperlink"/>
                <w:bCs/>
                <w:noProof/>
              </w:rPr>
              <w:t>6</w:t>
            </w:r>
            <w:r>
              <w:rPr>
                <w:rFonts w:asciiTheme="minorHAnsi" w:hAnsiTheme="minorHAnsi"/>
                <w:noProof/>
                <w:kern w:val="2"/>
                <w:sz w:val="24"/>
                <w:szCs w:val="24"/>
                <w14:ligatures w14:val="standardContextual"/>
              </w:rPr>
              <w:tab/>
            </w:r>
            <w:r w:rsidRPr="00D37B8F">
              <w:rPr>
                <w:rStyle w:val="Hyperlink"/>
                <w:noProof/>
              </w:rPr>
              <w:t>Supplemental information</w:t>
            </w:r>
            <w:r>
              <w:rPr>
                <w:noProof/>
                <w:webHidden/>
              </w:rPr>
              <w:tab/>
            </w:r>
            <w:r>
              <w:rPr>
                <w:noProof/>
                <w:webHidden/>
              </w:rPr>
              <w:fldChar w:fldCharType="begin"/>
            </w:r>
            <w:r>
              <w:rPr>
                <w:noProof/>
                <w:webHidden/>
              </w:rPr>
              <w:instrText xml:space="preserve"> PAGEREF _Toc234844396 \h </w:instrText>
            </w:r>
            <w:r>
              <w:rPr>
                <w:noProof/>
                <w:webHidden/>
              </w:rPr>
            </w:r>
            <w:r>
              <w:rPr>
                <w:noProof/>
                <w:webHidden/>
              </w:rPr>
              <w:fldChar w:fldCharType="separate"/>
            </w:r>
            <w:r>
              <w:rPr>
                <w:noProof/>
                <w:webHidden/>
              </w:rPr>
              <w:t>42</w:t>
            </w:r>
            <w:r>
              <w:rPr>
                <w:noProof/>
                <w:webHidden/>
              </w:rPr>
              <w:fldChar w:fldCharType="end"/>
            </w:r>
          </w:hyperlink>
        </w:p>
        <w:p w14:paraId="1F79FA6F" w14:textId="6FFD6903" w:rsidR="00DF0BEF" w:rsidRDefault="00DF0BEF">
          <w:pPr>
            <w:pStyle w:val="TOC2"/>
            <w:tabs>
              <w:tab w:val="left" w:pos="960"/>
              <w:tab w:val="right" w:leader="dot" w:pos="9350"/>
            </w:tabs>
            <w:rPr>
              <w:rFonts w:asciiTheme="minorHAnsi" w:hAnsiTheme="minorHAnsi"/>
              <w:noProof/>
              <w:kern w:val="2"/>
              <w:sz w:val="24"/>
              <w:szCs w:val="24"/>
              <w14:ligatures w14:val="standardContextual"/>
            </w:rPr>
          </w:pPr>
          <w:hyperlink w:anchor="_Toc234844397" w:history="1">
            <w:r w:rsidRPr="00D37B8F">
              <w:rPr>
                <w:rStyle w:val="Hyperlink"/>
                <w:noProof/>
              </w:rPr>
              <w:t>6.1</w:t>
            </w:r>
            <w:r>
              <w:rPr>
                <w:rFonts w:asciiTheme="minorHAnsi" w:hAnsiTheme="minorHAnsi"/>
                <w:noProof/>
                <w:kern w:val="2"/>
                <w:sz w:val="24"/>
                <w:szCs w:val="24"/>
                <w14:ligatures w14:val="standardContextual"/>
              </w:rPr>
              <w:tab/>
            </w:r>
            <w:r w:rsidRPr="00D37B8F">
              <w:rPr>
                <w:rStyle w:val="Hyperlink"/>
                <w:noProof/>
              </w:rPr>
              <w:t>Global experience with carbon pricing</w:t>
            </w:r>
            <w:r>
              <w:rPr>
                <w:noProof/>
                <w:webHidden/>
              </w:rPr>
              <w:tab/>
            </w:r>
            <w:r>
              <w:rPr>
                <w:noProof/>
                <w:webHidden/>
              </w:rPr>
              <w:fldChar w:fldCharType="begin"/>
            </w:r>
            <w:r>
              <w:rPr>
                <w:noProof/>
                <w:webHidden/>
              </w:rPr>
              <w:instrText xml:space="preserve"> PAGEREF _Toc234844397 \h </w:instrText>
            </w:r>
            <w:r>
              <w:rPr>
                <w:noProof/>
                <w:webHidden/>
              </w:rPr>
            </w:r>
            <w:r>
              <w:rPr>
                <w:noProof/>
                <w:webHidden/>
              </w:rPr>
              <w:fldChar w:fldCharType="separate"/>
            </w:r>
            <w:r>
              <w:rPr>
                <w:noProof/>
                <w:webHidden/>
              </w:rPr>
              <w:t>42</w:t>
            </w:r>
            <w:r>
              <w:rPr>
                <w:noProof/>
                <w:webHidden/>
              </w:rPr>
              <w:fldChar w:fldCharType="end"/>
            </w:r>
          </w:hyperlink>
        </w:p>
        <w:p w14:paraId="2589355D" w14:textId="477B3E96" w:rsidR="00DF0BEF" w:rsidRDefault="00DF0BEF">
          <w:pPr>
            <w:pStyle w:val="TOC2"/>
            <w:tabs>
              <w:tab w:val="left" w:pos="960"/>
              <w:tab w:val="right" w:leader="dot" w:pos="9350"/>
            </w:tabs>
            <w:rPr>
              <w:rFonts w:asciiTheme="minorHAnsi" w:hAnsiTheme="minorHAnsi"/>
              <w:noProof/>
              <w:kern w:val="2"/>
              <w:sz w:val="24"/>
              <w:szCs w:val="24"/>
              <w14:ligatures w14:val="standardContextual"/>
            </w:rPr>
          </w:pPr>
          <w:hyperlink w:anchor="_Toc234844398" w:history="1">
            <w:r w:rsidRPr="00D37B8F">
              <w:rPr>
                <w:rStyle w:val="Hyperlink"/>
                <w:noProof/>
              </w:rPr>
              <w:t>6.2</w:t>
            </w:r>
            <w:r>
              <w:rPr>
                <w:rFonts w:asciiTheme="minorHAnsi" w:hAnsiTheme="minorHAnsi"/>
                <w:noProof/>
                <w:kern w:val="2"/>
                <w:sz w:val="24"/>
                <w:szCs w:val="24"/>
                <w14:ligatures w14:val="standardContextual"/>
              </w:rPr>
              <w:tab/>
            </w:r>
            <w:r w:rsidRPr="00D37B8F">
              <w:rPr>
                <w:rStyle w:val="Hyperlink"/>
                <w:noProof/>
              </w:rPr>
              <w:t>The interplay of carbon pricing with energy taxes and subsidies in Egypt</w:t>
            </w:r>
            <w:r>
              <w:rPr>
                <w:noProof/>
                <w:webHidden/>
              </w:rPr>
              <w:tab/>
            </w:r>
            <w:r>
              <w:rPr>
                <w:noProof/>
                <w:webHidden/>
              </w:rPr>
              <w:fldChar w:fldCharType="begin"/>
            </w:r>
            <w:r>
              <w:rPr>
                <w:noProof/>
                <w:webHidden/>
              </w:rPr>
              <w:instrText xml:space="preserve"> PAGEREF _Toc234844398 \h </w:instrText>
            </w:r>
            <w:r>
              <w:rPr>
                <w:noProof/>
                <w:webHidden/>
              </w:rPr>
            </w:r>
            <w:r>
              <w:rPr>
                <w:noProof/>
                <w:webHidden/>
              </w:rPr>
              <w:fldChar w:fldCharType="separate"/>
            </w:r>
            <w:r>
              <w:rPr>
                <w:noProof/>
                <w:webHidden/>
              </w:rPr>
              <w:t>49</w:t>
            </w:r>
            <w:r>
              <w:rPr>
                <w:noProof/>
                <w:webHidden/>
              </w:rPr>
              <w:fldChar w:fldCharType="end"/>
            </w:r>
          </w:hyperlink>
        </w:p>
        <w:p w14:paraId="1BD0FDBD" w14:textId="11E877F6" w:rsidR="00DF0BEF" w:rsidRDefault="00DF0BEF">
          <w:pPr>
            <w:pStyle w:val="TOC2"/>
            <w:tabs>
              <w:tab w:val="left" w:pos="960"/>
              <w:tab w:val="right" w:leader="dot" w:pos="9350"/>
            </w:tabs>
            <w:rPr>
              <w:rFonts w:asciiTheme="minorHAnsi" w:hAnsiTheme="minorHAnsi"/>
              <w:noProof/>
              <w:kern w:val="2"/>
              <w:sz w:val="24"/>
              <w:szCs w:val="24"/>
              <w14:ligatures w14:val="standardContextual"/>
            </w:rPr>
          </w:pPr>
          <w:hyperlink w:anchor="_Toc234844399" w:history="1">
            <w:r w:rsidRPr="00D37B8F">
              <w:rPr>
                <w:rStyle w:val="Hyperlink"/>
                <w:noProof/>
              </w:rPr>
              <w:t>6.3</w:t>
            </w:r>
            <w:r>
              <w:rPr>
                <w:rFonts w:asciiTheme="minorHAnsi" w:hAnsiTheme="minorHAnsi"/>
                <w:noProof/>
                <w:kern w:val="2"/>
                <w:sz w:val="24"/>
                <w:szCs w:val="24"/>
                <w14:ligatures w14:val="standardContextual"/>
              </w:rPr>
              <w:tab/>
            </w:r>
            <w:r w:rsidRPr="00D37B8F">
              <w:rPr>
                <w:rStyle w:val="Hyperlink"/>
                <w:noProof/>
              </w:rPr>
              <w:t>Practical pathways toward carbon pricing</w:t>
            </w:r>
            <w:r>
              <w:rPr>
                <w:noProof/>
                <w:webHidden/>
              </w:rPr>
              <w:tab/>
            </w:r>
            <w:r>
              <w:rPr>
                <w:noProof/>
                <w:webHidden/>
              </w:rPr>
              <w:fldChar w:fldCharType="begin"/>
            </w:r>
            <w:r>
              <w:rPr>
                <w:noProof/>
                <w:webHidden/>
              </w:rPr>
              <w:instrText xml:space="preserve"> PAGEREF _Toc234844399 \h </w:instrText>
            </w:r>
            <w:r>
              <w:rPr>
                <w:noProof/>
                <w:webHidden/>
              </w:rPr>
            </w:r>
            <w:r>
              <w:rPr>
                <w:noProof/>
                <w:webHidden/>
              </w:rPr>
              <w:fldChar w:fldCharType="separate"/>
            </w:r>
            <w:r>
              <w:rPr>
                <w:noProof/>
                <w:webHidden/>
              </w:rPr>
              <w:t>52</w:t>
            </w:r>
            <w:r>
              <w:rPr>
                <w:noProof/>
                <w:webHidden/>
              </w:rPr>
              <w:fldChar w:fldCharType="end"/>
            </w:r>
          </w:hyperlink>
        </w:p>
        <w:p w14:paraId="1243C71A" w14:textId="3BA3040B" w:rsidR="00C53700" w:rsidRDefault="002D247F">
          <w:r>
            <w:fldChar w:fldCharType="end"/>
          </w:r>
        </w:p>
      </w:sdtContent>
    </w:sdt>
    <w:p w14:paraId="7FDDD732" w14:textId="7F499C23" w:rsidR="003F26DF" w:rsidRDefault="003F26DF">
      <w:pPr>
        <w:jc w:val="left"/>
      </w:pPr>
      <w:r>
        <w:br w:type="page"/>
      </w:r>
    </w:p>
    <w:p w14:paraId="43FFAB72" w14:textId="3EA27573" w:rsidR="000505C6" w:rsidRDefault="000505C6" w:rsidP="000D3921">
      <w:pPr>
        <w:pStyle w:val="Heading1"/>
        <w:numPr>
          <w:ilvl w:val="0"/>
          <w:numId w:val="0"/>
        </w:numPr>
        <w:ind w:right="360"/>
      </w:pPr>
      <w:bookmarkStart w:id="1" w:name="_Toc234844380"/>
      <w:r>
        <w:lastRenderedPageBreak/>
        <w:t>Summary</w:t>
      </w:r>
      <w:bookmarkEnd w:id="1"/>
    </w:p>
    <w:p w14:paraId="0C6195ED" w14:textId="5C5AA51F" w:rsidR="007442FF" w:rsidRDefault="007442FF" w:rsidP="007442FF">
      <w:r w:rsidRPr="009E17C0">
        <w:rPr>
          <w:b/>
          <w:bCs/>
        </w:rPr>
        <w:t xml:space="preserve">The </w:t>
      </w:r>
      <w:r w:rsidR="00B303FE" w:rsidRPr="009E17C0">
        <w:rPr>
          <w:b/>
          <w:bCs/>
        </w:rPr>
        <w:t>Egyptian economy faces</w:t>
      </w:r>
      <w:r w:rsidR="009E17C0" w:rsidRPr="009E17C0">
        <w:rPr>
          <w:b/>
          <w:bCs/>
        </w:rPr>
        <w:t xml:space="preserve"> </w:t>
      </w:r>
      <w:r w:rsidR="008E088C">
        <w:rPr>
          <w:b/>
          <w:bCs/>
        </w:rPr>
        <w:t>important</w:t>
      </w:r>
      <w:r w:rsidR="009E17C0" w:rsidRPr="009E17C0">
        <w:rPr>
          <w:b/>
          <w:bCs/>
        </w:rPr>
        <w:t xml:space="preserve"> risks and </w:t>
      </w:r>
      <w:r w:rsidR="008E088C">
        <w:rPr>
          <w:b/>
          <w:bCs/>
        </w:rPr>
        <w:t xml:space="preserve">also </w:t>
      </w:r>
      <w:r w:rsidR="009E17C0" w:rsidRPr="009E17C0">
        <w:rPr>
          <w:b/>
          <w:bCs/>
        </w:rPr>
        <w:t xml:space="preserve">opportunities from </w:t>
      </w:r>
      <w:r w:rsidRPr="009E17C0">
        <w:rPr>
          <w:b/>
          <w:bCs/>
        </w:rPr>
        <w:t>the EU's Carbon Border Adjustment Mechanism (CBAM)</w:t>
      </w:r>
      <w:r w:rsidR="009E17C0" w:rsidRPr="009E17C0">
        <w:rPr>
          <w:b/>
          <w:bCs/>
        </w:rPr>
        <w:t>.</w:t>
      </w:r>
      <w:r w:rsidR="009E17C0">
        <w:t xml:space="preserve"> </w:t>
      </w:r>
      <w:r w:rsidR="009F2167">
        <w:t xml:space="preserve">Among </w:t>
      </w:r>
      <w:r w:rsidR="00DB64C7">
        <w:t xml:space="preserve">the </w:t>
      </w:r>
      <w:r>
        <w:t xml:space="preserve">six </w:t>
      </w:r>
      <w:r w:rsidR="00DB64C7">
        <w:t xml:space="preserve">covered </w:t>
      </w:r>
      <w:r>
        <w:t>sectors—aluminum, cement, electricity, fertilizers, hydrogen, and iron and steel</w:t>
      </w:r>
      <w:r w:rsidR="00BE5BA0">
        <w:t>—</w:t>
      </w:r>
      <w:r w:rsidR="008B7817">
        <w:t xml:space="preserve">roughly two-fifths </w:t>
      </w:r>
      <w:r>
        <w:t xml:space="preserve">of </w:t>
      </w:r>
      <w:r w:rsidR="009F2167">
        <w:t xml:space="preserve">Egyptian </w:t>
      </w:r>
      <w:r>
        <w:t xml:space="preserve">CBAM-sector exports go to the EU, with potential annual CBAM payments reaching USD 400 million by 2034. </w:t>
      </w:r>
      <w:r w:rsidR="008B7817">
        <w:t>However, e</w:t>
      </w:r>
      <w:r>
        <w:t xml:space="preserve">xposure </w:t>
      </w:r>
      <w:r w:rsidR="0031799A">
        <w:t xml:space="preserve">ultimately </w:t>
      </w:r>
      <w:r w:rsidR="00866C4E">
        <w:t xml:space="preserve">depends </w:t>
      </w:r>
      <w:r w:rsidR="006E2AAA">
        <w:t xml:space="preserve">less on the total obligations assessed than </w:t>
      </w:r>
      <w:r w:rsidR="00866C4E">
        <w:t xml:space="preserve">on the relative carbon-competitiveness </w:t>
      </w:r>
      <w:r w:rsidR="0031799A">
        <w:t>of Egyptian firms</w:t>
      </w:r>
      <w:r w:rsidR="0060249A">
        <w:t xml:space="preserve"> in </w:t>
      </w:r>
      <w:r w:rsidR="00B21884">
        <w:t>EU markets</w:t>
      </w:r>
      <w:r w:rsidR="00444516">
        <w:t>,</w:t>
      </w:r>
      <w:r w:rsidR="0031799A">
        <w:t xml:space="preserve"> and </w:t>
      </w:r>
      <w:r w:rsidR="00B21884">
        <w:t xml:space="preserve">this </w:t>
      </w:r>
      <w:r>
        <w:t>varies considerably by sector</w:t>
      </w:r>
      <w:r w:rsidR="004A2364">
        <w:t>.</w:t>
      </w:r>
      <w:r>
        <w:t xml:space="preserve"> </w:t>
      </w:r>
      <w:r w:rsidR="004A2364">
        <w:t>I</w:t>
      </w:r>
      <w:r>
        <w:t xml:space="preserve">ron and steel faces the highest risk due to the high default emission intensities assigned by the EU, while Egyptian fertilizer producers are relatively clean and could actually gain competitiveness if they document their actual emissions. At the macroeconomic level, the overall impact is projected to be modest — a roughly 0.2% reduction in GDP — though individual firms in highly exposed sectors face more </w:t>
      </w:r>
      <w:r w:rsidR="006526D8">
        <w:t xml:space="preserve">specific </w:t>
      </w:r>
      <w:r>
        <w:t>risks</w:t>
      </w:r>
      <w:r w:rsidR="00DB64C7">
        <w:t>—</w:t>
      </w:r>
      <w:r w:rsidR="00C07296">
        <w:t xml:space="preserve">or </w:t>
      </w:r>
      <w:r w:rsidR="00DB64C7">
        <w:t xml:space="preserve">potential </w:t>
      </w:r>
      <w:r w:rsidR="00C07296">
        <w:t>gains</w:t>
      </w:r>
      <w:r w:rsidR="00CA2AB9">
        <w:t xml:space="preserve"> if they are prepared</w:t>
      </w:r>
      <w:r>
        <w:t>.</w:t>
      </w:r>
    </w:p>
    <w:p w14:paraId="14CE55CA" w14:textId="0B5DF822" w:rsidR="007442FF" w:rsidRDefault="00FE12E2" w:rsidP="007442FF">
      <w:r>
        <w:rPr>
          <w:b/>
          <w:bCs/>
        </w:rPr>
        <w:t>Modeling of a</w:t>
      </w:r>
      <w:r w:rsidR="00F253E8" w:rsidRPr="00115279">
        <w:rPr>
          <w:b/>
          <w:bCs/>
        </w:rPr>
        <w:t xml:space="preserve"> range of </w:t>
      </w:r>
      <w:r w:rsidR="007442FF" w:rsidRPr="00115279">
        <w:rPr>
          <w:b/>
          <w:bCs/>
        </w:rPr>
        <w:t xml:space="preserve">policy scenarios </w:t>
      </w:r>
      <w:r w:rsidR="00115279" w:rsidRPr="00115279">
        <w:rPr>
          <w:b/>
          <w:bCs/>
        </w:rPr>
        <w:t>reveal</w:t>
      </w:r>
      <w:r>
        <w:rPr>
          <w:b/>
          <w:bCs/>
        </w:rPr>
        <w:t>s</w:t>
      </w:r>
      <w:r w:rsidR="00D264EA" w:rsidRPr="00242185">
        <w:rPr>
          <w:b/>
          <w:bCs/>
        </w:rPr>
        <w:t xml:space="preserve"> clear tradeoffs: broader carbon pricing delivers the largest domestic gains, while targeted industrial support best reduces CBAM exposure.</w:t>
      </w:r>
      <w:r w:rsidR="00D264EA" w:rsidRPr="00D264EA">
        <w:t xml:space="preserve"> </w:t>
      </w:r>
      <w:r w:rsidR="00D61A0D">
        <w:t xml:space="preserve">A </w:t>
      </w:r>
      <w:r w:rsidR="00D264EA" w:rsidRPr="00D264EA">
        <w:t>comprehensive carbon levy</w:t>
      </w:r>
      <w:r w:rsidR="00D61A0D">
        <w:t>—covering both</w:t>
      </w:r>
      <w:r w:rsidR="00851BA0">
        <w:t xml:space="preserve"> upstream emissions from fuel consumption and downstream industrial process emissions—</w:t>
      </w:r>
      <w:r w:rsidR="002603EA">
        <w:t>achieves the most objectives</w:t>
      </w:r>
      <w:r w:rsidR="00D264EA" w:rsidRPr="00D264EA">
        <w:t xml:space="preserve">, raising about $5.8 billion, cutting emissions by 41.6 MtCO₂, avoiding 1,656 premature deaths, and reducing CBAM obligations by 26.1%. Upstream carbon levies achieve similar economy-wide mitigation, revenues, and health gains but </w:t>
      </w:r>
      <w:r w:rsidR="00D57864">
        <w:t xml:space="preserve">fewer </w:t>
      </w:r>
      <w:r w:rsidR="00D264EA" w:rsidRPr="00D264EA">
        <w:t>CBAM obligation</w:t>
      </w:r>
      <w:r w:rsidR="00E50468">
        <w:t xml:space="preserve"> reduction</w:t>
      </w:r>
      <w:r w:rsidR="00D264EA" w:rsidRPr="00D264EA">
        <w:t>s</w:t>
      </w:r>
      <w:r w:rsidR="00E50468">
        <w:t xml:space="preserve">, </w:t>
      </w:r>
      <w:r w:rsidR="00D264EA" w:rsidRPr="00D264EA">
        <w:t>cover</w:t>
      </w:r>
      <w:r w:rsidR="000B1417">
        <w:t>ing</w:t>
      </w:r>
      <w:r w:rsidR="00D264EA" w:rsidRPr="00D264EA">
        <w:t xml:space="preserve"> only part of CBAM-sector emissions. Downstream pricing </w:t>
      </w:r>
      <w:r w:rsidR="000B1417">
        <w:t xml:space="preserve">of </w:t>
      </w:r>
      <w:r w:rsidR="000B1417" w:rsidRPr="00D264EA">
        <w:t xml:space="preserve">industrial </w:t>
      </w:r>
      <w:r w:rsidR="000B1417">
        <w:t xml:space="preserve">point-source emissions </w:t>
      </w:r>
      <w:r w:rsidR="00D264EA" w:rsidRPr="00D264EA">
        <w:t>is more targeted</w:t>
      </w:r>
      <w:r w:rsidR="00573030">
        <w:t>, and common rebating options</w:t>
      </w:r>
      <w:r w:rsidR="000C6F9F">
        <w:t xml:space="preserve"> forego fiscal revenues. F</w:t>
      </w:r>
      <w:r w:rsidR="00D264EA" w:rsidRPr="00D264EA">
        <w:t>ree allocation dilutes the carbon price signal</w:t>
      </w:r>
      <w:r w:rsidR="00373658">
        <w:t xml:space="preserve"> and </w:t>
      </w:r>
      <w:r w:rsidR="0021584F">
        <w:t>the carbon price effectively paid under CBAM</w:t>
      </w:r>
      <w:r w:rsidR="00D264EA" w:rsidRPr="00D264EA">
        <w:t>, while a</w:t>
      </w:r>
      <w:r w:rsidR="004F4CD2">
        <w:t xml:space="preserve"> </w:t>
      </w:r>
      <w:r w:rsidR="00D264EA" w:rsidRPr="00D264EA">
        <w:t xml:space="preserve">rebate </w:t>
      </w:r>
      <w:r w:rsidR="004F4CD2">
        <w:t xml:space="preserve">toward industrial </w:t>
      </w:r>
      <w:r w:rsidR="004F4CD2" w:rsidRPr="00D264EA">
        <w:t xml:space="preserve">abatement </w:t>
      </w:r>
      <w:r w:rsidR="00D264EA" w:rsidRPr="00D264EA">
        <w:t xml:space="preserve">achieves the largest CBAM-obligation reduction, at 30.4%. Overall, a sequenced strategy combining broad-based pricing with abatement-linked support for CBAM-exposed firms </w:t>
      </w:r>
      <w:r w:rsidR="00176C6D">
        <w:t>c</w:t>
      </w:r>
      <w:r w:rsidR="00D264EA" w:rsidRPr="00D264EA">
        <w:t>ould best balance revenue, emissions reductions, competitiveness, and domestic co-benefits.</w:t>
      </w:r>
    </w:p>
    <w:p w14:paraId="005101C6" w14:textId="6A5639B8" w:rsidR="00943878" w:rsidRPr="00943878" w:rsidRDefault="00F610BB" w:rsidP="007442FF">
      <w:r w:rsidRPr="00592A0A">
        <w:rPr>
          <w:b/>
          <w:bCs/>
        </w:rPr>
        <w:t>A</w:t>
      </w:r>
      <w:r w:rsidR="007442FF" w:rsidRPr="00592A0A">
        <w:rPr>
          <w:b/>
          <w:bCs/>
        </w:rPr>
        <w:t xml:space="preserve"> robust Monitoring, Reporting, and Verification (MRV) system is a prerequisite for Egypt's exporters to demonstrate actual emission intensities</w:t>
      </w:r>
      <w:r w:rsidR="005545E1" w:rsidRPr="00592A0A">
        <w:rPr>
          <w:b/>
          <w:bCs/>
        </w:rPr>
        <w:t>,</w:t>
      </w:r>
      <w:r w:rsidR="007442FF" w:rsidRPr="00592A0A">
        <w:rPr>
          <w:b/>
          <w:bCs/>
        </w:rPr>
        <w:t xml:space="preserve"> allowing them to avoid </w:t>
      </w:r>
      <w:r w:rsidR="00592A0A">
        <w:rPr>
          <w:b/>
          <w:bCs/>
        </w:rPr>
        <w:t>onerous</w:t>
      </w:r>
      <w:r w:rsidR="007442FF" w:rsidRPr="00592A0A">
        <w:rPr>
          <w:b/>
          <w:bCs/>
        </w:rPr>
        <w:t xml:space="preserve"> default values and prove their carbon competitiveness.</w:t>
      </w:r>
      <w:r w:rsidR="007442FF">
        <w:t xml:space="preserve"> These measures should be paired with </w:t>
      </w:r>
      <w:r w:rsidR="00272596">
        <w:t xml:space="preserve">continued mitigation strategies, </w:t>
      </w:r>
      <w:r w:rsidR="007442FF">
        <w:t>fossil fuel subsidy reform</w:t>
      </w:r>
      <w:r w:rsidR="00272596">
        <w:t>,</w:t>
      </w:r>
      <w:r w:rsidR="007442FF">
        <w:t xml:space="preserve"> and strategic use of concessional finance to accelerate industrial decarbonization over the longer term.</w:t>
      </w:r>
    </w:p>
    <w:p w14:paraId="204AE3C6" w14:textId="0930287A" w:rsidR="004F72EA" w:rsidRPr="00ED3A93" w:rsidRDefault="004F72EA" w:rsidP="00EC7D7C">
      <w:pPr>
        <w:pStyle w:val="Heading1"/>
        <w:spacing w:before="400"/>
      </w:pPr>
      <w:bookmarkStart w:id="2" w:name="_Toc234844381"/>
      <w:r w:rsidRPr="00ED3A93">
        <w:t>Introduction</w:t>
      </w:r>
      <w:bookmarkEnd w:id="2"/>
    </w:p>
    <w:p w14:paraId="4E41302C" w14:textId="36B6D66E" w:rsidR="005D2AAD" w:rsidRPr="001834CB" w:rsidRDefault="00B019F2" w:rsidP="00483F2C">
      <w:r w:rsidRPr="0069091F">
        <w:rPr>
          <w:b/>
          <w:bCs/>
        </w:rPr>
        <w:t xml:space="preserve">As a major producer and exporter of emissions-intensive </w:t>
      </w:r>
      <w:r w:rsidR="005062C5">
        <w:rPr>
          <w:b/>
          <w:bCs/>
        </w:rPr>
        <w:t xml:space="preserve">industrial </w:t>
      </w:r>
      <w:r w:rsidRPr="0069091F">
        <w:rPr>
          <w:b/>
          <w:bCs/>
        </w:rPr>
        <w:t>goods, Egypt faces significant climate transition risks.</w:t>
      </w:r>
      <w:r w:rsidRPr="0069091F">
        <w:t xml:space="preserve"> </w:t>
      </w:r>
      <w:r w:rsidR="005D2AAD" w:rsidRPr="00483F2C">
        <w:t>The introduction of the EU Carbon Border Adjustment Mechanism (CBAM), which covers EU imports of aluminum, cement, electricity, fertilizers, hydrogen, and iron and steel, will likely affect a significant number of Egyptian exporting firms.</w:t>
      </w:r>
      <w:r w:rsidR="005D2AAD" w:rsidRPr="11357084">
        <w:t xml:space="preserve"> The EU is the main and geographically natural destination for Egypt’s exports, </w:t>
      </w:r>
      <w:r w:rsidR="005D2AAD">
        <w:t xml:space="preserve">including for this set of </w:t>
      </w:r>
      <w:r w:rsidR="005D2AAD" w:rsidRPr="11357084">
        <w:t xml:space="preserve">carbon-intensive </w:t>
      </w:r>
      <w:r w:rsidR="005D2AAD">
        <w:t>products</w:t>
      </w:r>
      <w:r w:rsidR="005D2AAD" w:rsidRPr="11357084">
        <w:t xml:space="preserve">. </w:t>
      </w:r>
      <w:commentRangeStart w:id="3"/>
      <w:r w:rsidR="005D2AAD" w:rsidRPr="11357084">
        <w:t xml:space="preserve">Approximately </w:t>
      </w:r>
      <w:r w:rsidR="005D2AAD">
        <w:t xml:space="preserve">6 percent of Egypt's exports (by traded value) fall </w:t>
      </w:r>
      <w:r w:rsidR="005D2AAD">
        <w:lastRenderedPageBreak/>
        <w:t xml:space="preserve">under the scope of the CBAM, and </w:t>
      </w:r>
      <w:r w:rsidR="005D2AAD" w:rsidRPr="11357084">
        <w:t xml:space="preserve">49 percent of Egypt’s exports of CBAM products are destined to the EU. </w:t>
      </w:r>
      <w:commentRangeEnd w:id="3"/>
      <w:r w:rsidR="005D2AAD">
        <w:rPr>
          <w:rStyle w:val="CommentReference"/>
          <w:sz w:val="22"/>
          <w:szCs w:val="22"/>
        </w:rPr>
        <w:commentReference w:id="3"/>
      </w:r>
      <w:r w:rsidR="00850E23">
        <w:t>Other jurisdictions</w:t>
      </w:r>
      <w:r w:rsidR="00520C44">
        <w:t xml:space="preserve"> like </w:t>
      </w:r>
      <w:r w:rsidR="00850E23">
        <w:t>the UK</w:t>
      </w:r>
      <w:r w:rsidR="00520C44">
        <w:t xml:space="preserve"> and Australia are also planning to implement their own border carbon adjustment mechanisms, signaling expanding global demand for low-carbon industrial goods and shrinking demand for emissions-intensive ones.</w:t>
      </w:r>
    </w:p>
    <w:p w14:paraId="35E1DC6E" w14:textId="495FEE17" w:rsidR="005D2AAD" w:rsidRPr="00A851B1" w:rsidRDefault="005D2AAD" w:rsidP="005D2AAD">
      <w:r w:rsidRPr="11357084">
        <w:rPr>
          <w:b/>
          <w:bCs/>
        </w:rPr>
        <w:t xml:space="preserve">Some Egyptian exports of CBAM goods could face </w:t>
      </w:r>
      <w:r>
        <w:rPr>
          <w:b/>
          <w:bCs/>
        </w:rPr>
        <w:t xml:space="preserve">substantial </w:t>
      </w:r>
      <w:r w:rsidRPr="11357084">
        <w:rPr>
          <w:b/>
          <w:bCs/>
        </w:rPr>
        <w:t>carbon cost obligations in the EU.</w:t>
      </w:r>
      <w:r>
        <w:t xml:space="preserve"> These costs </w:t>
      </w:r>
      <w:r w:rsidRPr="11357084">
        <w:rPr>
          <w:rFonts w:eastAsia="Calibri"/>
          <w:lang w:val="en-GB"/>
        </w:rPr>
        <w:t xml:space="preserve">heavily depend on several elements, including: (i) the </w:t>
      </w:r>
      <w:r>
        <w:rPr>
          <w:rFonts w:eastAsia="Calibri"/>
          <w:lang w:val="en-GB"/>
        </w:rPr>
        <w:t xml:space="preserve">amount </w:t>
      </w:r>
      <w:r w:rsidRPr="11357084">
        <w:rPr>
          <w:rFonts w:eastAsia="Calibri"/>
          <w:lang w:val="en-GB"/>
        </w:rPr>
        <w:t xml:space="preserve">of exports in CBAM-covered goods destined to the EU; (ii) </w:t>
      </w:r>
      <w:r>
        <w:rPr>
          <w:rFonts w:eastAsia="Calibri"/>
          <w:lang w:val="en-GB"/>
        </w:rPr>
        <w:t xml:space="preserve">declared </w:t>
      </w:r>
      <w:r w:rsidRPr="11357084">
        <w:rPr>
          <w:rFonts w:eastAsia="Calibri"/>
          <w:lang w:val="en-GB"/>
        </w:rPr>
        <w:t>embedded emissions in CBAM-covered goods</w:t>
      </w:r>
      <w:r>
        <w:rPr>
          <w:rFonts w:eastAsia="Calibri"/>
          <w:lang w:val="en-GB"/>
        </w:rPr>
        <w:t>,</w:t>
      </w:r>
      <w:r w:rsidRPr="11357084">
        <w:rPr>
          <w:rFonts w:eastAsia="Calibri"/>
          <w:lang w:val="en-GB"/>
        </w:rPr>
        <w:t xml:space="preserve"> because higher carbon intensity will result in steeper CBAM charges; </w:t>
      </w:r>
      <w:r>
        <w:rPr>
          <w:rFonts w:eastAsia="Calibri"/>
          <w:lang w:val="en-GB"/>
        </w:rPr>
        <w:t xml:space="preserve">and </w:t>
      </w:r>
      <w:r w:rsidRPr="11357084">
        <w:rPr>
          <w:rFonts w:eastAsia="Calibri"/>
          <w:lang w:val="en-GB"/>
        </w:rPr>
        <w:t xml:space="preserve">(iii) the presence (or not) of a </w:t>
      </w:r>
      <w:r>
        <w:rPr>
          <w:rFonts w:eastAsia="Calibri"/>
          <w:lang w:val="en-GB"/>
        </w:rPr>
        <w:t xml:space="preserve">domestic </w:t>
      </w:r>
      <w:r w:rsidRPr="11357084">
        <w:rPr>
          <w:rFonts w:eastAsia="Calibri"/>
          <w:lang w:val="en-GB"/>
        </w:rPr>
        <w:t>direct carbon pricing instrument, which could be deducted from the CBAM obligations</w:t>
      </w:r>
      <w:r>
        <w:rPr>
          <w:rFonts w:eastAsia="Calibri"/>
          <w:lang w:val="en-GB"/>
        </w:rPr>
        <w:t xml:space="preserve">. Furthermore, </w:t>
      </w:r>
      <w:r w:rsidRPr="11357084">
        <w:rPr>
          <w:rFonts w:eastAsia="Calibri"/>
          <w:lang w:val="en-GB"/>
        </w:rPr>
        <w:t xml:space="preserve">administrative </w:t>
      </w:r>
      <w:r w:rsidRPr="11357084">
        <w:rPr>
          <w:rFonts w:eastAsia="Calibri" w:cs="Segoe UI"/>
          <w:lang w:val="en-GB"/>
        </w:rPr>
        <w:t>costs arising from the calculation and reporting of embedded emissions at the product level</w:t>
      </w:r>
      <w:r>
        <w:rPr>
          <w:rFonts w:eastAsia="Calibri" w:cs="Segoe UI"/>
          <w:lang w:val="en-GB"/>
        </w:rPr>
        <w:t xml:space="preserve"> could add to the overall </w:t>
      </w:r>
      <w:r w:rsidRPr="11357084">
        <w:rPr>
          <w:rFonts w:eastAsia="Calibri" w:cs="Segoe UI"/>
          <w:lang w:val="en-GB"/>
        </w:rPr>
        <w:t>compliance</w:t>
      </w:r>
      <w:r>
        <w:rPr>
          <w:rFonts w:eastAsia="Calibri" w:cs="Segoe UI"/>
          <w:lang w:val="en-GB"/>
        </w:rPr>
        <w:t xml:space="preserve"> costs</w:t>
      </w:r>
      <w:r w:rsidRPr="11357084">
        <w:rPr>
          <w:rFonts w:eastAsia="Calibri" w:cs="Segoe UI"/>
          <w:lang w:val="en-GB"/>
        </w:rPr>
        <w:t>.</w:t>
      </w:r>
      <w:r w:rsidR="00A851B1">
        <w:rPr>
          <w:rFonts w:eastAsia="Calibri" w:cs="Segoe UI"/>
          <w:lang w:val="en-GB"/>
        </w:rPr>
        <w:t xml:space="preserve"> </w:t>
      </w:r>
      <w:r w:rsidR="00A851B1" w:rsidRPr="0069091F">
        <w:t xml:space="preserve">Without a domestic carbon price, Egyptian businesses could face annual CBAM-related payments of USD </w:t>
      </w:r>
      <w:r w:rsidR="00AC1D02">
        <w:t>4</w:t>
      </w:r>
      <w:r w:rsidR="00A851B1" w:rsidRPr="0069091F">
        <w:t>00 million by 2034, when the mechanism is fully phased in. These funds could instead be retained domestically through the introduction of a carbon pricing instrument.</w:t>
      </w:r>
    </w:p>
    <w:p w14:paraId="0F16431E" w14:textId="77777777" w:rsidR="00E51143" w:rsidRDefault="005D2AAD" w:rsidP="00B019F2">
      <w:pPr>
        <w:rPr>
          <w:b/>
          <w:bCs/>
        </w:rPr>
      </w:pPr>
      <w:r w:rsidRPr="71592105">
        <w:rPr>
          <w:b/>
          <w:bCs/>
        </w:rPr>
        <w:t xml:space="preserve">CBAM payments may result in some Egyptian exporters losing export competitiveness in the EU market, and some other Egyptian exporters gaining export competitiveness, depending on </w:t>
      </w:r>
      <w:r>
        <w:rPr>
          <w:b/>
          <w:bCs/>
        </w:rPr>
        <w:t xml:space="preserve">the emission intensity of firms in </w:t>
      </w:r>
      <w:r w:rsidRPr="71592105">
        <w:rPr>
          <w:b/>
          <w:bCs/>
        </w:rPr>
        <w:t xml:space="preserve">CBAM sectors. </w:t>
      </w:r>
      <w:r w:rsidRPr="71592105">
        <w:t xml:space="preserve">Those Egyptian </w:t>
      </w:r>
      <w:r>
        <w:t>firms</w:t>
      </w:r>
      <w:r w:rsidRPr="71592105">
        <w:t xml:space="preserve"> with greater carbon emissions than EU producers will be subject to higher costs </w:t>
      </w:r>
      <w:r w:rsidR="005863BC">
        <w:t>than</w:t>
      </w:r>
      <w:r w:rsidR="00A478B3">
        <w:t xml:space="preserve"> many competitors </w:t>
      </w:r>
      <w:r w:rsidRPr="71592105">
        <w:t xml:space="preserve">when they enter the EU market, while those with lower emissions </w:t>
      </w:r>
      <w:r w:rsidR="00A478B3">
        <w:t xml:space="preserve">could </w:t>
      </w:r>
      <w:r w:rsidRPr="71592105">
        <w:t xml:space="preserve">gain competitiveness. </w:t>
      </w:r>
      <w:commentRangeStart w:id="4"/>
      <w:r w:rsidRPr="71592105">
        <w:t>Those</w:t>
      </w:r>
      <w:r w:rsidRPr="71592105" w:rsidDel="004D0D04">
        <w:t xml:space="preserve"> </w:t>
      </w:r>
      <w:r>
        <w:t>firms</w:t>
      </w:r>
      <w:r w:rsidRPr="71592105">
        <w:t xml:space="preserve"> that lose competitiveness will experience export and job losses and may require restructuring to lower emissions and remain competitive in the EU market.</w:t>
      </w:r>
      <w:commentRangeEnd w:id="4"/>
      <w:r w:rsidR="00F01AB2">
        <w:rPr>
          <w:rStyle w:val="CommentReference"/>
          <w:sz w:val="22"/>
          <w:szCs w:val="22"/>
        </w:rPr>
        <w:commentReference w:id="4"/>
      </w:r>
      <w:r w:rsidR="00013D01">
        <w:t xml:space="preserve"> </w:t>
      </w:r>
      <w:r w:rsidR="007372E3">
        <w:t>CBAM applies to individual firm</w:t>
      </w:r>
      <w:r w:rsidR="00171821">
        <w:t>s</w:t>
      </w:r>
      <w:r w:rsidR="00D12EFD">
        <w:t>, but looking at the default emission</w:t>
      </w:r>
      <w:r w:rsidR="00035831">
        <w:t xml:space="preserve"> intensities applied and </w:t>
      </w:r>
      <w:r w:rsidR="00B01B21">
        <w:t>Egypt’s product-level trade data</w:t>
      </w:r>
      <w:r w:rsidR="00EA7D23">
        <w:t xml:space="preserve"> </w:t>
      </w:r>
      <w:r w:rsidR="00524C45">
        <w:t xml:space="preserve">gives a useful </w:t>
      </w:r>
      <w:r w:rsidR="00EA7D23">
        <w:t>indicat</w:t>
      </w:r>
      <w:r w:rsidR="00524C45">
        <w:t>or of</w:t>
      </w:r>
      <w:r w:rsidR="00EA7D23">
        <w:t xml:space="preserve"> potential exposure</w:t>
      </w:r>
      <w:r w:rsidR="005D0BB7">
        <w:t xml:space="preserve"> at the sector level. </w:t>
      </w:r>
      <w:r w:rsidR="00F862BE">
        <w:t>In the fertilizer, aluminum, and cement sectors</w:t>
      </w:r>
      <w:r w:rsidR="00E86F35">
        <w:t>, Egypt’s default emission intensity values are very similar to</w:t>
      </w:r>
      <w:r w:rsidR="00B87F82">
        <w:t xml:space="preserve"> those of the average EU producer, meaning little change in relative competitiveness is expected</w:t>
      </w:r>
      <w:r w:rsidR="00106C55">
        <w:t>. However,</w:t>
      </w:r>
      <w:r w:rsidR="00E34DA0">
        <w:t xml:space="preserve"> for iron and steel products, Egypt was assigned the default of </w:t>
      </w:r>
      <w:r w:rsidR="009E1382">
        <w:t>“other countries”, which</w:t>
      </w:r>
      <w:r w:rsidR="00FB34B9">
        <w:t xml:space="preserve"> is much higher than that of average EU producers or of</w:t>
      </w:r>
      <w:r w:rsidR="00837DF3">
        <w:t xml:space="preserve"> the large Egyptian </w:t>
      </w:r>
      <w:r w:rsidR="00C17FC2">
        <w:t xml:space="preserve">production </w:t>
      </w:r>
      <w:r w:rsidR="00837DF3">
        <w:t>facilities</w:t>
      </w:r>
      <w:r w:rsidR="00CF0664">
        <w:t>, resulting in the sector being highly exposed</w:t>
      </w:r>
      <w:r w:rsidR="00C17FC2">
        <w:t>. Egyptian steel producers that cannot or do not</w:t>
      </w:r>
      <w:r w:rsidR="00CF0664">
        <w:t xml:space="preserve"> </w:t>
      </w:r>
      <w:r w:rsidR="00F73392">
        <w:t>report</w:t>
      </w:r>
      <w:r w:rsidR="00CF0664">
        <w:t xml:space="preserve"> and verify their actual emissions</w:t>
      </w:r>
      <w:r w:rsidR="002D0293">
        <w:t>—including manufacturers that rely on imported</w:t>
      </w:r>
      <w:r w:rsidR="00B22374">
        <w:t xml:space="preserve"> steel precursor goods</w:t>
      </w:r>
      <w:r w:rsidR="0048673B">
        <w:t xml:space="preserve">—will find themselves at a competitive disadvantage. </w:t>
      </w:r>
      <w:r w:rsidR="0035498B">
        <w:t xml:space="preserve">In reality, most Egyptian steel and also fertilizer </w:t>
      </w:r>
      <w:r w:rsidR="00C41991">
        <w:t xml:space="preserve">plants are less carbon intensive than global </w:t>
      </w:r>
      <w:r w:rsidR="00474FB7">
        <w:t>and many European counterparts, meaning they could gain competitiveness under CBAM—as long as they are able to document their emissions.</w:t>
      </w:r>
      <w:r w:rsidR="0048673B">
        <w:t xml:space="preserve"> </w:t>
      </w:r>
      <w:r w:rsidR="005545EA">
        <w:t>For this reason—and with growing markups to default values expected—</w:t>
      </w:r>
      <w:r w:rsidR="005545EA" w:rsidRPr="005E6E04">
        <w:rPr>
          <w:b/>
          <w:bCs/>
        </w:rPr>
        <w:t xml:space="preserve">implementing robust </w:t>
      </w:r>
      <w:r w:rsidR="009619C8" w:rsidRPr="005E6E04">
        <w:rPr>
          <w:b/>
          <w:bCs/>
        </w:rPr>
        <w:t xml:space="preserve">monitoring, reporting, and verification systems </w:t>
      </w:r>
      <w:r w:rsidR="0037440C" w:rsidRPr="005E6E04">
        <w:rPr>
          <w:b/>
          <w:bCs/>
        </w:rPr>
        <w:t xml:space="preserve">in </w:t>
      </w:r>
      <w:r w:rsidR="002742A9" w:rsidRPr="005E6E04">
        <w:rPr>
          <w:b/>
          <w:bCs/>
        </w:rPr>
        <w:t xml:space="preserve">these </w:t>
      </w:r>
      <w:r w:rsidR="0037440C" w:rsidRPr="005E6E04">
        <w:rPr>
          <w:b/>
          <w:bCs/>
        </w:rPr>
        <w:t>industries will be critical to</w:t>
      </w:r>
      <w:r w:rsidR="002742A9" w:rsidRPr="005E6E04">
        <w:rPr>
          <w:b/>
          <w:bCs/>
        </w:rPr>
        <w:t xml:space="preserve"> prospering under CBAM.</w:t>
      </w:r>
      <w:r w:rsidR="00D12F46">
        <w:rPr>
          <w:b/>
          <w:bCs/>
        </w:rPr>
        <w:t xml:space="preserve"> </w:t>
      </w:r>
    </w:p>
    <w:p w14:paraId="0CB1D538" w14:textId="6F02621C" w:rsidR="00B019F2" w:rsidRDefault="00D12F46" w:rsidP="00C27042">
      <w:r>
        <w:t xml:space="preserve">At the same time, </w:t>
      </w:r>
      <w:r w:rsidR="00661A3B" w:rsidRPr="00074A98">
        <w:rPr>
          <w:b/>
          <w:bCs/>
        </w:rPr>
        <w:t>the CBAM provisions allow for the deduction of carbon prices effectively paid in third countries</w:t>
      </w:r>
      <w:r w:rsidR="00722BC4" w:rsidRPr="00074A98">
        <w:rPr>
          <w:b/>
          <w:bCs/>
        </w:rPr>
        <w:t xml:space="preserve">, creating </w:t>
      </w:r>
      <w:r w:rsidR="008D01EE" w:rsidRPr="00074A98">
        <w:rPr>
          <w:b/>
          <w:bCs/>
        </w:rPr>
        <w:t xml:space="preserve">opportunities for countries that </w:t>
      </w:r>
      <w:r w:rsidR="0070517B" w:rsidRPr="00074A98">
        <w:rPr>
          <w:b/>
          <w:bCs/>
        </w:rPr>
        <w:t xml:space="preserve">implement </w:t>
      </w:r>
      <w:r w:rsidR="00436291" w:rsidRPr="00074A98">
        <w:rPr>
          <w:b/>
          <w:bCs/>
        </w:rPr>
        <w:t xml:space="preserve">their own </w:t>
      </w:r>
      <w:r w:rsidR="0070517B" w:rsidRPr="00074A98">
        <w:rPr>
          <w:b/>
          <w:bCs/>
        </w:rPr>
        <w:t>domestic carbon pricing instruments</w:t>
      </w:r>
      <w:r w:rsidR="00722BC4" w:rsidRPr="00074A98">
        <w:rPr>
          <w:b/>
          <w:bCs/>
        </w:rPr>
        <w:t xml:space="preserve"> </w:t>
      </w:r>
      <w:r w:rsidR="00436291" w:rsidRPr="00074A98">
        <w:rPr>
          <w:b/>
          <w:bCs/>
        </w:rPr>
        <w:t xml:space="preserve">to </w:t>
      </w:r>
      <w:r w:rsidR="007439FD" w:rsidRPr="00074A98">
        <w:rPr>
          <w:b/>
          <w:bCs/>
        </w:rPr>
        <w:t xml:space="preserve">keep emissions </w:t>
      </w:r>
      <w:r w:rsidR="000472A3" w:rsidRPr="00074A98">
        <w:rPr>
          <w:b/>
          <w:bCs/>
        </w:rPr>
        <w:t>revenues</w:t>
      </w:r>
      <w:r w:rsidR="007439FD" w:rsidRPr="00074A98">
        <w:rPr>
          <w:b/>
          <w:bCs/>
        </w:rPr>
        <w:t xml:space="preserve"> at home and reduce payments to the EU.</w:t>
      </w:r>
      <w:r w:rsidR="00074A98">
        <w:rPr>
          <w:b/>
          <w:bCs/>
        </w:rPr>
        <w:t xml:space="preserve"> </w:t>
      </w:r>
      <w:r w:rsidR="00B019F2" w:rsidRPr="00074A98">
        <w:t xml:space="preserve">Carbon pricing instruments, </w:t>
      </w:r>
      <w:r w:rsidR="006B4142" w:rsidRPr="00074A98">
        <w:t xml:space="preserve">like </w:t>
      </w:r>
      <w:r w:rsidR="00B019F2" w:rsidRPr="00074A98">
        <w:t xml:space="preserve">a carbon tax or emissions trading system </w:t>
      </w:r>
      <w:r w:rsidR="00B019F2" w:rsidRPr="00074A98">
        <w:lastRenderedPageBreak/>
        <w:t xml:space="preserve">(ETS), are market-based </w:t>
      </w:r>
      <w:r w:rsidR="00241ABC">
        <w:t>mechanisms</w:t>
      </w:r>
      <w:r w:rsidR="00B019F2" w:rsidRPr="00074A98">
        <w:t xml:space="preserve"> </w:t>
      </w:r>
      <w:r w:rsidR="002E601D" w:rsidRPr="00074A98">
        <w:t xml:space="preserve">used </w:t>
      </w:r>
      <w:r w:rsidR="00B019F2" w:rsidRPr="00074A98">
        <w:t>by many countries to reduce their GHG emissions</w:t>
      </w:r>
      <w:r w:rsidR="00426F7D" w:rsidRPr="00074A98">
        <w:t>.</w:t>
      </w:r>
      <w:r w:rsidR="00B019F2" w:rsidRPr="00074A98">
        <w:t xml:space="preserve"> </w:t>
      </w:r>
      <w:r w:rsidR="00B019F2" w:rsidRPr="002A38B9">
        <w:t xml:space="preserve">At present, </w:t>
      </w:r>
      <w:r w:rsidR="000A12E2">
        <w:t xml:space="preserve">100 </w:t>
      </w:r>
      <w:r w:rsidR="00C560B7">
        <w:t xml:space="preserve">jurisdictions </w:t>
      </w:r>
      <w:r w:rsidR="00B019F2" w:rsidRPr="002A38B9">
        <w:t>(regional, national and sub-national)</w:t>
      </w:r>
      <w:r w:rsidR="00C560B7" w:rsidRPr="002A38B9">
        <w:t xml:space="preserve">, including </w:t>
      </w:r>
      <w:r w:rsidR="00C560B7">
        <w:t xml:space="preserve">many </w:t>
      </w:r>
      <w:r w:rsidR="00C560B7" w:rsidRPr="002A38B9">
        <w:t>developing countries,</w:t>
      </w:r>
      <w:r w:rsidR="00B019F2" w:rsidRPr="002A38B9">
        <w:t xml:space="preserve"> have already introduced </w:t>
      </w:r>
      <w:r w:rsidR="00B019F2">
        <w:t xml:space="preserve">direct </w:t>
      </w:r>
      <w:r w:rsidR="00B019F2" w:rsidRPr="002A38B9">
        <w:t>carbon pricing instruments (</w:t>
      </w:r>
      <w:hyperlink r:id="rId12">
        <w:r w:rsidR="00B019F2" w:rsidRPr="5D97283C">
          <w:rPr>
            <w:rStyle w:val="Hyperlink"/>
          </w:rPr>
          <w:t>World Bank, 202</w:t>
        </w:r>
        <w:r w:rsidR="006900A9">
          <w:rPr>
            <w:rStyle w:val="Hyperlink"/>
          </w:rPr>
          <w:t>6</w:t>
        </w:r>
      </w:hyperlink>
      <w:r w:rsidR="00B019F2">
        <w:t>)</w:t>
      </w:r>
      <w:r w:rsidR="00C42724">
        <w:t>, playing both central and supporting roles in achieving nationally determined contributions (NDC)</w:t>
      </w:r>
      <w:r w:rsidR="00B019F2" w:rsidRPr="002A38B9">
        <w:t>.</w:t>
      </w:r>
      <w:commentRangeStart w:id="5"/>
      <w:r w:rsidR="000A340C">
        <w:t xml:space="preserve"> </w:t>
      </w:r>
      <w:commentRangeEnd w:id="5"/>
      <w:r w:rsidR="00A42D32" w:rsidRPr="004D20AE">
        <w:rPr>
          <w:rStyle w:val="CommentReference"/>
          <w:b/>
          <w:bCs/>
          <w:sz w:val="22"/>
          <w:szCs w:val="22"/>
        </w:rPr>
        <w:commentReference w:id="5"/>
      </w:r>
      <w:r w:rsidR="004D20AE" w:rsidRPr="004D20AE">
        <w:rPr>
          <w:b/>
          <w:bCs/>
        </w:rPr>
        <w:t xml:space="preserve">Carbon pricing </w:t>
      </w:r>
      <w:r w:rsidR="000A340C" w:rsidRPr="004D20AE">
        <w:rPr>
          <w:b/>
          <w:bCs/>
        </w:rPr>
        <w:t xml:space="preserve">policies </w:t>
      </w:r>
      <w:r w:rsidR="00053EC5" w:rsidRPr="004D20AE">
        <w:rPr>
          <w:b/>
          <w:bCs/>
        </w:rPr>
        <w:t>are attractive because they are economically efficient</w:t>
      </w:r>
      <w:r w:rsidR="00007D0B" w:rsidRPr="004D20AE">
        <w:rPr>
          <w:b/>
          <w:bCs/>
        </w:rPr>
        <w:t>—leveraging financial incentives rather than</w:t>
      </w:r>
      <w:r w:rsidR="00EB29B6" w:rsidRPr="004D20AE">
        <w:rPr>
          <w:b/>
          <w:bCs/>
        </w:rPr>
        <w:t xml:space="preserve"> </w:t>
      </w:r>
      <w:r w:rsidR="00767B57" w:rsidRPr="004D20AE">
        <w:rPr>
          <w:b/>
          <w:bCs/>
        </w:rPr>
        <w:t>mandating behavior</w:t>
      </w:r>
      <w:r w:rsidR="00A14B9B" w:rsidRPr="004D20AE">
        <w:rPr>
          <w:b/>
          <w:bCs/>
        </w:rPr>
        <w:t>—and because</w:t>
      </w:r>
      <w:r w:rsidR="00A14B9B">
        <w:t xml:space="preserve"> </w:t>
      </w:r>
      <w:r w:rsidR="00A14B9B">
        <w:rPr>
          <w:b/>
          <w:bCs/>
        </w:rPr>
        <w:t xml:space="preserve">they </w:t>
      </w:r>
      <w:r w:rsidR="00E64B71">
        <w:rPr>
          <w:b/>
          <w:bCs/>
        </w:rPr>
        <w:t xml:space="preserve">can </w:t>
      </w:r>
      <w:commentRangeStart w:id="6"/>
      <w:r w:rsidR="00E64B71">
        <w:rPr>
          <w:b/>
          <w:bCs/>
        </w:rPr>
        <w:t>help</w:t>
      </w:r>
      <w:r w:rsidR="00B019F2" w:rsidRPr="007F3E5C">
        <w:rPr>
          <w:b/>
          <w:bCs/>
        </w:rPr>
        <w:t xml:space="preserve"> achieve</w:t>
      </w:r>
      <w:r w:rsidR="00B019F2">
        <w:rPr>
          <w:b/>
          <w:bCs/>
        </w:rPr>
        <w:t xml:space="preserve"> multiple objectives:</w:t>
      </w:r>
      <w:r w:rsidR="00B019F2" w:rsidRPr="007F3E5C">
        <w:rPr>
          <w:b/>
          <w:bCs/>
        </w:rPr>
        <w:t xml:space="preserve"> </w:t>
      </w:r>
      <w:r w:rsidR="00B019F2" w:rsidRPr="004D20AE">
        <w:t>fiscal consolidation, improved local air quality, transport-related co-benefits such as reduced congestion and fewer road accidents, and low</w:t>
      </w:r>
      <w:r w:rsidR="00E64B71" w:rsidRPr="004D20AE">
        <w:t>er</w:t>
      </w:r>
      <w:r w:rsidR="00B019F2" w:rsidRPr="004D20AE">
        <w:t xml:space="preserve"> carbon </w:t>
      </w:r>
      <w:commentRangeEnd w:id="6"/>
      <w:r w:rsidR="00CF1C3F" w:rsidRPr="004D20AE">
        <w:rPr>
          <w:rStyle w:val="CommentReference"/>
          <w:sz w:val="22"/>
          <w:szCs w:val="22"/>
        </w:rPr>
        <w:commentReference w:id="6"/>
      </w:r>
      <w:r w:rsidR="00B019F2" w:rsidRPr="004D20AE">
        <w:t>growth</w:t>
      </w:r>
      <w:r w:rsidR="00EA7946">
        <w:t>, as well</w:t>
      </w:r>
      <w:r w:rsidR="001F0F84">
        <w:t xml:space="preserve"> as reducing CBAM exposure</w:t>
      </w:r>
      <w:r w:rsidR="00B019F2" w:rsidRPr="004D20AE">
        <w:t>.</w:t>
      </w:r>
      <w:r w:rsidR="00B019F2">
        <w:t xml:space="preserve"> </w:t>
      </w:r>
    </w:p>
    <w:p w14:paraId="1D4D72D4" w14:textId="4DC00603" w:rsidR="00B019F2" w:rsidRDefault="00B019F2" w:rsidP="00B019F2">
      <w:pPr>
        <w:spacing w:after="120" w:line="254" w:lineRule="auto"/>
        <w:ind w:left="14" w:hanging="14"/>
      </w:pPr>
      <w:r>
        <w:rPr>
          <w:b/>
          <w:bCs/>
        </w:rPr>
        <w:t>The g</w:t>
      </w:r>
      <w:r w:rsidRPr="00DE41C1">
        <w:rPr>
          <w:b/>
          <w:bCs/>
        </w:rPr>
        <w:t xml:space="preserve">reen transition is a critical priority for Egypt, driven by both domestic needs and international imperatives. </w:t>
      </w:r>
      <w:r w:rsidRPr="00DE41C1">
        <w:t xml:space="preserve">Greener industries and infrastructure can create jobs, </w:t>
      </w:r>
      <w:r>
        <w:t>generate revenues</w:t>
      </w:r>
      <w:r w:rsidRPr="00DE41C1">
        <w:t>, and support sustainable economic growth. Internationally, Egypt’s competitiveness and access to global markets increasingly depend on meeting rising environmental standards and climate commitments, as major trading partners and investors demand lower carbon footprints and compliance with mechanisms such as the EU</w:t>
      </w:r>
      <w:r>
        <w:t xml:space="preserve"> </w:t>
      </w:r>
      <w:r w:rsidRPr="00DE41C1">
        <w:t xml:space="preserve">CBAM. For Egypt, the green transition means reimagining its growth model to decouple economic development from high carbon and pollution intensity, ensuring long-term prosperity and resilience for its citizens while fulfilling its global </w:t>
      </w:r>
      <w:r w:rsidR="008A1EC8">
        <w:t>commitments</w:t>
      </w:r>
      <w:r w:rsidRPr="00DE41C1">
        <w:t>.</w:t>
      </w:r>
    </w:p>
    <w:p w14:paraId="558FEE77" w14:textId="083B6841" w:rsidR="002D6F08" w:rsidRPr="00ED3A93" w:rsidRDefault="00457A18" w:rsidP="11357084">
      <w:pPr>
        <w:rPr>
          <w:b/>
          <w:bCs/>
          <w:color w:val="538135" w:themeColor="accent6" w:themeShade="BF"/>
          <w:sz w:val="28"/>
          <w:szCs w:val="28"/>
        </w:rPr>
      </w:pPr>
      <w:commentRangeStart w:id="7"/>
      <w:r>
        <w:rPr>
          <w:b/>
          <w:bCs/>
        </w:rPr>
        <w:t>T</w:t>
      </w:r>
      <w:r w:rsidR="00CA399E" w:rsidRPr="11357084">
        <w:rPr>
          <w:b/>
          <w:bCs/>
        </w:rPr>
        <w:t xml:space="preserve">his </w:t>
      </w:r>
      <w:r w:rsidR="00C4629A" w:rsidRPr="11357084">
        <w:rPr>
          <w:b/>
          <w:bCs/>
        </w:rPr>
        <w:t>note</w:t>
      </w:r>
      <w:r w:rsidR="00CA399E" w:rsidRPr="11357084">
        <w:rPr>
          <w:b/>
          <w:bCs/>
        </w:rPr>
        <w:t xml:space="preserve"> </w:t>
      </w:r>
      <w:r w:rsidR="005A55A8" w:rsidRPr="11357084">
        <w:rPr>
          <w:b/>
          <w:bCs/>
        </w:rPr>
        <w:t xml:space="preserve">aims to </w:t>
      </w:r>
      <w:r w:rsidR="00B1522E" w:rsidRPr="11357084">
        <w:rPr>
          <w:b/>
          <w:bCs/>
        </w:rPr>
        <w:t>address</w:t>
      </w:r>
      <w:r>
        <w:rPr>
          <w:b/>
          <w:bCs/>
        </w:rPr>
        <w:t xml:space="preserve"> the request of the Government of Egypt to increase</w:t>
      </w:r>
      <w:r w:rsidR="00B1522E" w:rsidRPr="11357084">
        <w:rPr>
          <w:b/>
          <w:bCs/>
        </w:rPr>
        <w:t xml:space="preserve"> </w:t>
      </w:r>
      <w:r w:rsidR="00700826" w:rsidRPr="11357084">
        <w:rPr>
          <w:b/>
          <w:bCs/>
        </w:rPr>
        <w:t>officials’ understanding of the implications of CBAM</w:t>
      </w:r>
      <w:r w:rsidR="009A4EBD" w:rsidRPr="11357084">
        <w:rPr>
          <w:b/>
          <w:bCs/>
        </w:rPr>
        <w:t xml:space="preserve"> and </w:t>
      </w:r>
      <w:r w:rsidR="00A8492B" w:rsidRPr="11357084">
        <w:rPr>
          <w:b/>
          <w:bCs/>
        </w:rPr>
        <w:t xml:space="preserve">support </w:t>
      </w:r>
      <w:r w:rsidR="009A4EBD" w:rsidRPr="11357084">
        <w:rPr>
          <w:b/>
          <w:bCs/>
        </w:rPr>
        <w:t xml:space="preserve">them </w:t>
      </w:r>
      <w:r w:rsidR="001E6EDB">
        <w:rPr>
          <w:b/>
          <w:bCs/>
        </w:rPr>
        <w:t>in designing</w:t>
      </w:r>
      <w:r w:rsidR="009A4EBD" w:rsidRPr="11357084">
        <w:rPr>
          <w:b/>
          <w:bCs/>
        </w:rPr>
        <w:t xml:space="preserve"> policies that </w:t>
      </w:r>
      <w:r w:rsidR="005A55A8" w:rsidRPr="11357084">
        <w:rPr>
          <w:b/>
          <w:bCs/>
        </w:rPr>
        <w:t xml:space="preserve">help Egypt respond effectively to </w:t>
      </w:r>
      <w:r w:rsidR="009F4B55" w:rsidRPr="11357084">
        <w:rPr>
          <w:b/>
          <w:bCs/>
        </w:rPr>
        <w:t>it</w:t>
      </w:r>
      <w:r w:rsidR="003953F0">
        <w:t xml:space="preserve">. The </w:t>
      </w:r>
      <w:r w:rsidR="007233E1">
        <w:t xml:space="preserve">paper is structured as follows. </w:t>
      </w:r>
      <w:r w:rsidR="00B8646E">
        <w:t>S</w:t>
      </w:r>
      <w:r w:rsidR="003953F0">
        <w:t>ection</w:t>
      </w:r>
      <w:r w:rsidR="00B8646E">
        <w:t xml:space="preserve"> </w:t>
      </w:r>
      <w:r w:rsidR="006276B0">
        <w:t>2</w:t>
      </w:r>
      <w:r w:rsidR="003953F0">
        <w:t xml:space="preserve"> </w:t>
      </w:r>
      <w:r w:rsidR="00381DC9">
        <w:t xml:space="preserve">provides an overview of </w:t>
      </w:r>
      <w:r w:rsidR="007233E1">
        <w:t xml:space="preserve">the </w:t>
      </w:r>
      <w:r w:rsidR="00821414">
        <w:t xml:space="preserve">EU </w:t>
      </w:r>
      <w:r w:rsidR="007233E1">
        <w:t>CBAM</w:t>
      </w:r>
      <w:r w:rsidR="00821414">
        <w:t>. Section 3</w:t>
      </w:r>
      <w:r w:rsidR="0099068D">
        <w:t xml:space="preserve"> </w:t>
      </w:r>
      <w:r w:rsidR="00B8646E">
        <w:t xml:space="preserve">assesses the </w:t>
      </w:r>
      <w:r w:rsidR="00145864">
        <w:t xml:space="preserve">potential </w:t>
      </w:r>
      <w:r w:rsidR="00B8646E">
        <w:t xml:space="preserve">exposure of </w:t>
      </w:r>
      <w:r w:rsidR="00222009">
        <w:t xml:space="preserve">Egyptian </w:t>
      </w:r>
      <w:r w:rsidR="00A142EF">
        <w:t>sectors to CBAM</w:t>
      </w:r>
      <w:r w:rsidR="00222009">
        <w:t xml:space="preserve"> and</w:t>
      </w:r>
      <w:r w:rsidR="00974B17">
        <w:t xml:space="preserve"> the role of improved data </w:t>
      </w:r>
      <w:r w:rsidR="00CD1E21">
        <w:t>in</w:t>
      </w:r>
      <w:r w:rsidR="00C5340D">
        <w:t xml:space="preserve"> identifying </w:t>
      </w:r>
      <w:r w:rsidR="00E06A33">
        <w:t xml:space="preserve">the degree of carbon-competitiveness or </w:t>
      </w:r>
      <w:r w:rsidR="00C5340D">
        <w:t>risk</w:t>
      </w:r>
      <w:r w:rsidR="00DD2E3E">
        <w:t>s for</w:t>
      </w:r>
      <w:r w:rsidR="00C5340D">
        <w:t xml:space="preserve"> </w:t>
      </w:r>
      <w:r w:rsidR="00CD1E21">
        <w:t xml:space="preserve">firms and </w:t>
      </w:r>
      <w:r w:rsidR="00C5340D">
        <w:t>sectors</w:t>
      </w:r>
      <w:r w:rsidR="00A142EF">
        <w:t xml:space="preserve">. </w:t>
      </w:r>
      <w:r w:rsidR="00C5340D">
        <w:t xml:space="preserve">Section </w:t>
      </w:r>
      <w:r w:rsidR="0099068D">
        <w:t>4</w:t>
      </w:r>
      <w:r w:rsidR="00C5340D">
        <w:t xml:space="preserve"> </w:t>
      </w:r>
      <w:r w:rsidR="009A59C4">
        <w:t xml:space="preserve">reviews </w:t>
      </w:r>
      <w:r w:rsidR="00CD78BB">
        <w:t xml:space="preserve">global experience with </w:t>
      </w:r>
      <w:r w:rsidR="00FA33BC">
        <w:t xml:space="preserve">different forms of </w:t>
      </w:r>
      <w:r w:rsidR="00CD78BB">
        <w:t xml:space="preserve">carbon pricing and </w:t>
      </w:r>
      <w:r w:rsidR="00D5723D">
        <w:t xml:space="preserve">analyzes </w:t>
      </w:r>
      <w:r w:rsidR="00AB0C3C">
        <w:t xml:space="preserve">policy </w:t>
      </w:r>
      <w:r w:rsidR="009A1595">
        <w:t xml:space="preserve">options </w:t>
      </w:r>
      <w:r w:rsidR="00D5723D">
        <w:t xml:space="preserve">for Egypt </w:t>
      </w:r>
      <w:r w:rsidR="009A1595">
        <w:t xml:space="preserve">to </w:t>
      </w:r>
      <w:r w:rsidR="00AB0C3C">
        <w:t>reduce exposure to CBAM</w:t>
      </w:r>
      <w:r w:rsidR="00FA33BC">
        <w:t xml:space="preserve">, </w:t>
      </w:r>
      <w:r w:rsidR="00A33902">
        <w:t>unlock</w:t>
      </w:r>
      <w:r w:rsidR="003E6E3D">
        <w:t xml:space="preserve"> low-carbon </w:t>
      </w:r>
      <w:r w:rsidR="005E7088">
        <w:t>competitive</w:t>
      </w:r>
      <w:r w:rsidR="003E6E3D">
        <w:t>ness</w:t>
      </w:r>
      <w:r w:rsidR="00FA33BC">
        <w:t xml:space="preserve">, and </w:t>
      </w:r>
      <w:r w:rsidR="00BB299B">
        <w:t>retain carbon payments domestically.</w:t>
      </w:r>
      <w:r w:rsidR="00ED31FB">
        <w:t xml:space="preserve"> Section </w:t>
      </w:r>
      <w:r w:rsidR="003826F0">
        <w:t>5</w:t>
      </w:r>
      <w:r w:rsidR="00ED31FB">
        <w:t xml:space="preserve"> concludes.</w:t>
      </w:r>
      <w:commentRangeEnd w:id="7"/>
      <w:r w:rsidRPr="00ED3A93">
        <w:rPr>
          <w:rStyle w:val="CommentReference"/>
          <w:b/>
          <w:bCs/>
          <w:color w:val="538135" w:themeColor="accent6" w:themeShade="BF"/>
          <w:sz w:val="28"/>
          <w:szCs w:val="28"/>
        </w:rPr>
        <w:commentReference w:id="7"/>
      </w:r>
    </w:p>
    <w:p w14:paraId="3BBBB690" w14:textId="065B950E" w:rsidR="00821414" w:rsidRPr="00EC7D7C" w:rsidRDefault="00A43067" w:rsidP="00815ECA">
      <w:pPr>
        <w:pStyle w:val="Heading1"/>
        <w:rPr>
          <w:sz w:val="22"/>
          <w:szCs w:val="22"/>
        </w:rPr>
      </w:pPr>
      <w:bookmarkStart w:id="8" w:name="_Toc234844382"/>
      <w:r>
        <w:t>O</w:t>
      </w:r>
      <w:r w:rsidR="008478D9">
        <w:t>verview of t</w:t>
      </w:r>
      <w:r w:rsidR="00052918" w:rsidRPr="00ED3A93">
        <w:t xml:space="preserve">he EU CBAM </w:t>
      </w:r>
      <w:r w:rsidR="00564C4D">
        <w:t xml:space="preserve">regulation </w:t>
      </w:r>
      <w:r w:rsidR="00391D46">
        <w:t>an</w:t>
      </w:r>
      <w:r w:rsidR="00CC049B">
        <w:t>d recent updates</w:t>
      </w:r>
      <w:bookmarkEnd w:id="8"/>
    </w:p>
    <w:p w14:paraId="1DF25957" w14:textId="52048A5E" w:rsidR="00CE171A" w:rsidRDefault="00F21056" w:rsidP="11357084">
      <w:pPr>
        <w:spacing w:line="240" w:lineRule="auto"/>
      </w:pPr>
      <w:r w:rsidRPr="00815ECA">
        <w:rPr>
          <w:b/>
          <w:bCs/>
        </w:rPr>
        <w:t>The CBAM</w:t>
      </w:r>
      <w:r w:rsidR="00C86FFA">
        <w:rPr>
          <w:rStyle w:val="FootnoteReference"/>
        </w:rPr>
        <w:footnoteReference w:id="3"/>
      </w:r>
      <w:r w:rsidRPr="006411CD" w:rsidDel="0016251B">
        <w:t xml:space="preserve"> </w:t>
      </w:r>
      <w:r w:rsidRPr="00815ECA">
        <w:rPr>
          <w:b/>
          <w:bCs/>
        </w:rPr>
        <w:t>is a</w:t>
      </w:r>
      <w:r>
        <w:rPr>
          <w:b/>
          <w:bCs/>
        </w:rPr>
        <w:t xml:space="preserve"> climate</w:t>
      </w:r>
      <w:r w:rsidRPr="00815ECA">
        <w:rPr>
          <w:b/>
          <w:bCs/>
        </w:rPr>
        <w:t xml:space="preserve"> policy designed to </w:t>
      </w:r>
      <w:r w:rsidR="009F7FA1">
        <w:rPr>
          <w:b/>
          <w:bCs/>
        </w:rPr>
        <w:t>mirror</w:t>
      </w:r>
      <w:r w:rsidR="00B57B4F">
        <w:rPr>
          <w:b/>
          <w:bCs/>
        </w:rPr>
        <w:t xml:space="preserve"> </w:t>
      </w:r>
      <w:r w:rsidR="00236084">
        <w:rPr>
          <w:b/>
          <w:bCs/>
        </w:rPr>
        <w:t xml:space="preserve">the </w:t>
      </w:r>
      <w:r w:rsidR="00B56909">
        <w:rPr>
          <w:b/>
          <w:bCs/>
        </w:rPr>
        <w:t xml:space="preserve">EU’s </w:t>
      </w:r>
      <w:r w:rsidR="00B57B4F" w:rsidRPr="00B57B4F">
        <w:rPr>
          <w:b/>
          <w:bCs/>
        </w:rPr>
        <w:t>Emissions Trading Scheme (ETS)</w:t>
      </w:r>
      <w:r w:rsidR="002460FE">
        <w:rPr>
          <w:b/>
          <w:bCs/>
        </w:rPr>
        <w:t xml:space="preserve"> </w:t>
      </w:r>
      <w:r w:rsidR="00E4004E">
        <w:rPr>
          <w:b/>
          <w:bCs/>
        </w:rPr>
        <w:t>for industrial emitters</w:t>
      </w:r>
      <w:r w:rsidR="00173E78">
        <w:rPr>
          <w:b/>
          <w:bCs/>
        </w:rPr>
        <w:t xml:space="preserve"> that aims to </w:t>
      </w:r>
      <w:r w:rsidRPr="00815ECA">
        <w:rPr>
          <w:b/>
          <w:bCs/>
        </w:rPr>
        <w:t xml:space="preserve">reduce greenhouse gas (GHG) emissions by accounting for the carbon costs of </w:t>
      </w:r>
      <w:r w:rsidR="00FD56F1">
        <w:rPr>
          <w:b/>
          <w:bCs/>
        </w:rPr>
        <w:t xml:space="preserve">certain </w:t>
      </w:r>
      <w:r w:rsidRPr="00815ECA">
        <w:rPr>
          <w:b/>
          <w:bCs/>
        </w:rPr>
        <w:t xml:space="preserve">imported goods. </w:t>
      </w:r>
      <w:r w:rsidRPr="11357084">
        <w:t>Its goal is to prevent carbon leakage, a potential consequence of the EU</w:t>
      </w:r>
      <w:r w:rsidR="00B57B4F">
        <w:t xml:space="preserve"> ETS</w:t>
      </w:r>
      <w:r w:rsidRPr="11357084">
        <w:t xml:space="preserve">, where industries with high GHG emissions relocate production to regions with less stringent climate policies </w:t>
      </w:r>
      <w:r w:rsidRPr="00A156C0">
        <w:t>or substitute domestic production with imports of high-carbon goods</w:t>
      </w:r>
      <w:r w:rsidRPr="11357084">
        <w:t xml:space="preserve">. </w:t>
      </w:r>
      <w:r w:rsidR="00795383" w:rsidRPr="00AB258A">
        <w:t xml:space="preserve">The CBAM replaces the previous approach of providing free allowances to EU producers as a leakage-protection measure, </w:t>
      </w:r>
      <w:r w:rsidR="000B4E5D">
        <w:t xml:space="preserve">now </w:t>
      </w:r>
      <w:r w:rsidR="00795383" w:rsidRPr="00AB258A">
        <w:t>leveling the playing field at the border.</w:t>
      </w:r>
    </w:p>
    <w:p w14:paraId="6326F47C" w14:textId="133D0EEB" w:rsidR="00F21056" w:rsidRDefault="00C12BD8" w:rsidP="11357084">
      <w:pPr>
        <w:spacing w:line="240" w:lineRule="auto"/>
      </w:pPr>
      <w:r w:rsidRPr="00CE171A">
        <w:rPr>
          <w:b/>
          <w:bCs/>
        </w:rPr>
        <w:lastRenderedPageBreak/>
        <w:t xml:space="preserve">The CBAM </w:t>
      </w:r>
      <w:r w:rsidR="00F50FCF" w:rsidRPr="00CE171A">
        <w:rPr>
          <w:b/>
          <w:bCs/>
        </w:rPr>
        <w:t>applies</w:t>
      </w:r>
      <w:r w:rsidRPr="00CE171A">
        <w:rPr>
          <w:b/>
          <w:bCs/>
        </w:rPr>
        <w:t xml:space="preserve"> to </w:t>
      </w:r>
      <w:r w:rsidR="00180C2D">
        <w:rPr>
          <w:b/>
          <w:bCs/>
        </w:rPr>
        <w:t xml:space="preserve">EU importers of </w:t>
      </w:r>
      <w:r w:rsidRPr="00CE171A">
        <w:rPr>
          <w:b/>
          <w:bCs/>
        </w:rPr>
        <w:t>specific industri</w:t>
      </w:r>
      <w:r w:rsidR="00DB746B">
        <w:rPr>
          <w:b/>
          <w:bCs/>
        </w:rPr>
        <w:t>al goods</w:t>
      </w:r>
      <w:r w:rsidRPr="00CE171A">
        <w:rPr>
          <w:b/>
          <w:bCs/>
        </w:rPr>
        <w:t xml:space="preserve">, </w:t>
      </w:r>
      <w:r w:rsidR="00C7101F">
        <w:rPr>
          <w:b/>
          <w:bCs/>
        </w:rPr>
        <w:t>who must</w:t>
      </w:r>
      <w:r w:rsidR="00D070E7">
        <w:rPr>
          <w:b/>
          <w:bCs/>
        </w:rPr>
        <w:t xml:space="preserve"> declare and</w:t>
      </w:r>
      <w:r w:rsidR="008A2A34">
        <w:rPr>
          <w:b/>
          <w:bCs/>
        </w:rPr>
        <w:t xml:space="preserve"> purchase </w:t>
      </w:r>
      <w:r w:rsidR="003642F3">
        <w:rPr>
          <w:b/>
          <w:bCs/>
        </w:rPr>
        <w:t xml:space="preserve">CBAM </w:t>
      </w:r>
      <w:r w:rsidR="008A2A34">
        <w:rPr>
          <w:b/>
          <w:bCs/>
        </w:rPr>
        <w:t xml:space="preserve">certificates for </w:t>
      </w:r>
      <w:r w:rsidRPr="00CE171A">
        <w:rPr>
          <w:b/>
          <w:bCs/>
        </w:rPr>
        <w:t xml:space="preserve">different types of </w:t>
      </w:r>
      <w:r w:rsidR="00EC5BB1">
        <w:rPr>
          <w:b/>
          <w:bCs/>
        </w:rPr>
        <w:t xml:space="preserve">embedded </w:t>
      </w:r>
      <w:r w:rsidRPr="00CE171A">
        <w:rPr>
          <w:b/>
          <w:bCs/>
        </w:rPr>
        <w:t>emissions.</w:t>
      </w:r>
      <w:r w:rsidRPr="11357084">
        <w:t xml:space="preserve"> </w:t>
      </w:r>
      <w:r>
        <w:t>D</w:t>
      </w:r>
      <w:r>
        <w:rPr>
          <w:lang w:val="en-GB"/>
        </w:rPr>
        <w:t>irect</w:t>
      </w:r>
      <w:r w:rsidR="00C30A85" w:rsidRPr="000E4209">
        <w:rPr>
          <w:lang w:val="en-GB"/>
        </w:rPr>
        <w:t xml:space="preserve"> </w:t>
      </w:r>
      <w:r w:rsidR="00204FC0">
        <w:rPr>
          <w:lang w:val="en-GB"/>
        </w:rPr>
        <w:t>(Scope 1)</w:t>
      </w:r>
      <w:r w:rsidR="00204FC0" w:rsidRPr="000E4209">
        <w:rPr>
          <w:lang w:val="en-GB"/>
        </w:rPr>
        <w:t xml:space="preserve"> </w:t>
      </w:r>
      <w:r w:rsidR="00C30A85" w:rsidRPr="000E4209">
        <w:rPr>
          <w:lang w:val="en-GB"/>
        </w:rPr>
        <w:t>emissions</w:t>
      </w:r>
      <w:r w:rsidR="005A2A96">
        <w:rPr>
          <w:rStyle w:val="FootnoteReference"/>
          <w:lang w:val="en-GB"/>
        </w:rPr>
        <w:footnoteReference w:id="4"/>
      </w:r>
      <w:r w:rsidR="002B3401">
        <w:rPr>
          <w:lang w:val="en-GB"/>
        </w:rPr>
        <w:t xml:space="preserve"> </w:t>
      </w:r>
      <w:r w:rsidR="00C477AA">
        <w:rPr>
          <w:rFonts w:cs="Segoe UI"/>
          <w:szCs w:val="18"/>
        </w:rPr>
        <w:t xml:space="preserve">are </w:t>
      </w:r>
      <w:r w:rsidR="006650CC">
        <w:t xml:space="preserve">the </w:t>
      </w:r>
      <w:r w:rsidR="006650CC" w:rsidRPr="00AB258A">
        <w:t xml:space="preserve">CO₂, nitrous oxide, and perfluorocarbon </w:t>
      </w:r>
      <w:r w:rsidR="004F4D80">
        <w:t>gases</w:t>
      </w:r>
      <w:r w:rsidR="00E93842">
        <w:rPr>
          <w:rFonts w:cs="Segoe UI"/>
          <w:szCs w:val="18"/>
        </w:rPr>
        <w:t xml:space="preserve"> emitted during </w:t>
      </w:r>
      <w:r w:rsidR="00FD7192" w:rsidRPr="000A00BF">
        <w:rPr>
          <w:rFonts w:cs="Segoe UI"/>
          <w:szCs w:val="18"/>
        </w:rPr>
        <w:t xml:space="preserve">the production </w:t>
      </w:r>
      <w:r w:rsidR="000E06F1">
        <w:rPr>
          <w:rFonts w:cs="Segoe UI"/>
          <w:szCs w:val="18"/>
        </w:rPr>
        <w:t xml:space="preserve">of industrial </w:t>
      </w:r>
      <w:r w:rsidR="00FD7192" w:rsidRPr="000A00BF">
        <w:rPr>
          <w:rFonts w:cs="Segoe UI"/>
          <w:szCs w:val="18"/>
        </w:rPr>
        <w:t>goods</w:t>
      </w:r>
      <w:r w:rsidR="008B59BB">
        <w:rPr>
          <w:rFonts w:cs="Segoe UI"/>
          <w:szCs w:val="18"/>
        </w:rPr>
        <w:t xml:space="preserve">—either from the consumption of fuels or </w:t>
      </w:r>
      <w:r w:rsidR="00A92FDD">
        <w:rPr>
          <w:rFonts w:cs="Segoe UI"/>
          <w:szCs w:val="18"/>
        </w:rPr>
        <w:t>because of</w:t>
      </w:r>
      <w:r w:rsidR="008B59BB">
        <w:rPr>
          <w:rFonts w:cs="Segoe UI"/>
          <w:szCs w:val="18"/>
        </w:rPr>
        <w:t xml:space="preserve"> p</w:t>
      </w:r>
      <w:r w:rsidR="009250CA">
        <w:rPr>
          <w:rFonts w:cs="Segoe UI"/>
          <w:szCs w:val="18"/>
        </w:rPr>
        <w:t xml:space="preserve">roduction processes; </w:t>
      </w:r>
      <w:r w:rsidR="00E944DC">
        <w:rPr>
          <w:rFonts w:cs="Segoe UI"/>
          <w:szCs w:val="18"/>
        </w:rPr>
        <w:t xml:space="preserve">they </w:t>
      </w:r>
      <w:r w:rsidR="00D87ACE">
        <w:rPr>
          <w:lang w:val="en-GB"/>
        </w:rPr>
        <w:t>are</w:t>
      </w:r>
      <w:r w:rsidR="00C30A85">
        <w:rPr>
          <w:lang w:val="en-GB"/>
        </w:rPr>
        <w:t xml:space="preserve"> subject to CBAM </w:t>
      </w:r>
      <w:r w:rsidR="00C30A85" w:rsidRPr="000E4209">
        <w:rPr>
          <w:lang w:val="en-GB"/>
        </w:rPr>
        <w:t xml:space="preserve">for </w:t>
      </w:r>
      <w:r w:rsidR="00E944DC">
        <w:rPr>
          <w:lang w:val="en-GB"/>
        </w:rPr>
        <w:t xml:space="preserve">all </w:t>
      </w:r>
      <w:r w:rsidR="003D1C58">
        <w:rPr>
          <w:lang w:val="en-GB"/>
        </w:rPr>
        <w:t xml:space="preserve">specified goods </w:t>
      </w:r>
      <w:r w:rsidR="000043ED">
        <w:rPr>
          <w:lang w:val="en-GB"/>
        </w:rPr>
        <w:t xml:space="preserve">in </w:t>
      </w:r>
      <w:r w:rsidR="00E944DC">
        <w:rPr>
          <w:lang w:val="en-GB"/>
        </w:rPr>
        <w:t>covered sectors. I</w:t>
      </w:r>
      <w:r w:rsidR="00C30A85" w:rsidRPr="000E4209">
        <w:rPr>
          <w:lang w:val="en-GB"/>
        </w:rPr>
        <w:t xml:space="preserve">ndirect </w:t>
      </w:r>
      <w:r w:rsidR="002E5392">
        <w:rPr>
          <w:lang w:val="en-GB"/>
        </w:rPr>
        <w:t>(Scope 2)</w:t>
      </w:r>
      <w:r w:rsidR="002E5392" w:rsidRPr="000E4209">
        <w:rPr>
          <w:lang w:val="en-GB"/>
        </w:rPr>
        <w:t xml:space="preserve"> </w:t>
      </w:r>
      <w:r w:rsidR="00C30A85" w:rsidRPr="000E4209">
        <w:rPr>
          <w:lang w:val="en-GB"/>
        </w:rPr>
        <w:t>emissions</w:t>
      </w:r>
      <w:r w:rsidR="00077CD4">
        <w:rPr>
          <w:lang w:val="en-GB"/>
        </w:rPr>
        <w:t xml:space="preserve"> </w:t>
      </w:r>
      <w:r w:rsidR="00087E75">
        <w:rPr>
          <w:rFonts w:cs="Segoe UI"/>
          <w:szCs w:val="18"/>
        </w:rPr>
        <w:t xml:space="preserve">are </w:t>
      </w:r>
      <w:r w:rsidR="00996FB4">
        <w:rPr>
          <w:rFonts w:cs="Segoe UI"/>
          <w:szCs w:val="18"/>
        </w:rPr>
        <w:t xml:space="preserve">those </w:t>
      </w:r>
      <w:r w:rsidR="00CF4D22">
        <w:rPr>
          <w:rFonts w:cs="Segoe UI"/>
          <w:szCs w:val="18"/>
        </w:rPr>
        <w:t xml:space="preserve">that arise from </w:t>
      </w:r>
      <w:r w:rsidR="00077CD4" w:rsidRPr="000A00BF">
        <w:rPr>
          <w:rFonts w:cs="Segoe UI"/>
          <w:szCs w:val="18"/>
        </w:rPr>
        <w:t xml:space="preserve">the </w:t>
      </w:r>
      <w:r w:rsidR="00CF4D22">
        <w:rPr>
          <w:rFonts w:cs="Segoe UI"/>
          <w:szCs w:val="18"/>
        </w:rPr>
        <w:t xml:space="preserve">generation </w:t>
      </w:r>
      <w:r w:rsidR="00077CD4" w:rsidRPr="000A00BF">
        <w:rPr>
          <w:rFonts w:cs="Segoe UI"/>
          <w:szCs w:val="18"/>
        </w:rPr>
        <w:t xml:space="preserve">of </w:t>
      </w:r>
      <w:r w:rsidR="00715D73">
        <w:rPr>
          <w:rFonts w:cs="Segoe UI"/>
          <w:szCs w:val="18"/>
        </w:rPr>
        <w:t xml:space="preserve">the </w:t>
      </w:r>
      <w:r w:rsidR="00077CD4" w:rsidRPr="000A00BF">
        <w:rPr>
          <w:rFonts w:cs="Segoe UI"/>
          <w:szCs w:val="18"/>
        </w:rPr>
        <w:t>electricity</w:t>
      </w:r>
      <w:r w:rsidR="00715D73">
        <w:rPr>
          <w:rFonts w:cs="Segoe UI"/>
          <w:szCs w:val="18"/>
        </w:rPr>
        <w:t xml:space="preserve"> that </w:t>
      </w:r>
      <w:r w:rsidR="00077CD4" w:rsidRPr="000A00BF">
        <w:rPr>
          <w:rFonts w:cs="Segoe UI"/>
          <w:szCs w:val="18"/>
        </w:rPr>
        <w:t xml:space="preserve">is consumed during the production of </w:t>
      </w:r>
      <w:r w:rsidR="00D13FD7">
        <w:rPr>
          <w:rFonts w:cs="Segoe UI"/>
          <w:szCs w:val="18"/>
        </w:rPr>
        <w:t xml:space="preserve">industrial </w:t>
      </w:r>
      <w:r w:rsidR="00077CD4" w:rsidRPr="000A00BF">
        <w:rPr>
          <w:rFonts w:cs="Segoe UI"/>
          <w:szCs w:val="18"/>
        </w:rPr>
        <w:t>goods</w:t>
      </w:r>
      <w:r w:rsidR="00D13FD7">
        <w:rPr>
          <w:rFonts w:cs="Segoe UI"/>
          <w:szCs w:val="18"/>
        </w:rPr>
        <w:t>; they</w:t>
      </w:r>
      <w:r w:rsidR="002B3401">
        <w:rPr>
          <w:lang w:val="en-GB"/>
        </w:rPr>
        <w:t xml:space="preserve"> </w:t>
      </w:r>
      <w:r w:rsidR="00D87ACE">
        <w:t>are</w:t>
      </w:r>
      <w:r w:rsidR="00C30A85" w:rsidRPr="000F6FA8">
        <w:t xml:space="preserve"> accounted for in </w:t>
      </w:r>
      <w:r w:rsidR="0038475F">
        <w:t xml:space="preserve">certain </w:t>
      </w:r>
      <w:r w:rsidR="00A12FBD">
        <w:t>sectors</w:t>
      </w:r>
      <w:r w:rsidR="00C30A85" w:rsidRPr="000F6FA8">
        <w:t>.</w:t>
      </w:r>
      <w:r w:rsidR="00C30A85" w:rsidRPr="000E4209">
        <w:rPr>
          <w:lang w:val="en-GB"/>
        </w:rPr>
        <w:t xml:space="preserve"> </w:t>
      </w:r>
      <w:r w:rsidR="00F21056" w:rsidRPr="11357084">
        <w:t xml:space="preserve">By requiring EU importers </w:t>
      </w:r>
      <w:r w:rsidR="0038653D">
        <w:t>covered by the CBAM</w:t>
      </w:r>
      <w:r w:rsidR="00F21056" w:rsidRPr="11357084">
        <w:t xml:space="preserve"> to purchase CBAM certificates for </w:t>
      </w:r>
      <w:r w:rsidR="00E86299" w:rsidRPr="00912693">
        <w:t>carbon dioxide equivalent</w:t>
      </w:r>
      <w:r w:rsidR="00E86299">
        <w:t xml:space="preserve"> (</w:t>
      </w:r>
      <w:r w:rsidR="00E86299" w:rsidRPr="00912693">
        <w:t>CO</w:t>
      </w:r>
      <w:r w:rsidR="00E86299" w:rsidRPr="00912693">
        <w:rPr>
          <w:vertAlign w:val="subscript"/>
        </w:rPr>
        <w:t>2</w:t>
      </w:r>
      <w:r w:rsidR="00E86299" w:rsidRPr="00912693">
        <w:t>e</w:t>
      </w:r>
      <w:r w:rsidR="00E86299">
        <w:t>)</w:t>
      </w:r>
      <w:r w:rsidR="00446E8A" w:rsidRPr="11357084">
        <w:t xml:space="preserve"> </w:t>
      </w:r>
      <w:r w:rsidR="00F21056" w:rsidRPr="11357084">
        <w:t>emissions</w:t>
      </w:r>
      <w:r w:rsidR="00F21056" w:rsidRPr="00263CA5">
        <w:t xml:space="preserve"> </w:t>
      </w:r>
      <w:r w:rsidR="00F21056" w:rsidRPr="00DD00F8">
        <w:t>not priced domestically</w:t>
      </w:r>
      <w:r w:rsidR="00F21056" w:rsidRPr="11357084">
        <w:t xml:space="preserve">, the mechanism aims to </w:t>
      </w:r>
      <w:r w:rsidR="00F04C41">
        <w:t>ensure that EU consumers pay for</w:t>
      </w:r>
      <w:r w:rsidR="00F97BCD">
        <w:t xml:space="preserve"> their embedded carbon</w:t>
      </w:r>
      <w:r w:rsidR="00AF3AB0">
        <w:t xml:space="preserve"> equivalent</w:t>
      </w:r>
      <w:r w:rsidR="00F21056" w:rsidRPr="11357084">
        <w:t xml:space="preserve">, </w:t>
      </w:r>
      <w:r w:rsidR="00F97BCD">
        <w:t>regardless of where</w:t>
      </w:r>
      <w:r w:rsidR="00CA264A">
        <w:t xml:space="preserve"> the goods are produced.</w:t>
      </w:r>
      <w:r w:rsidR="005A0606">
        <w:t xml:space="preserve"> </w:t>
      </w:r>
      <w:r w:rsidR="00830E18">
        <w:t>The</w:t>
      </w:r>
      <w:r w:rsidR="0020293C">
        <w:t xml:space="preserve"> i</w:t>
      </w:r>
      <w:r w:rsidR="00D4254F">
        <w:t xml:space="preserve">dea is to </w:t>
      </w:r>
      <w:r w:rsidR="00F21056" w:rsidRPr="11357084">
        <w:t>level the playing field for businesses and creat</w:t>
      </w:r>
      <w:r w:rsidR="00D4254F">
        <w:t>e</w:t>
      </w:r>
      <w:r w:rsidR="00F21056" w:rsidRPr="11357084">
        <w:t xml:space="preserve"> incentives for non-EU companies to reduce emissions.</w:t>
      </w:r>
      <w:r w:rsidR="00C6407A">
        <w:t xml:space="preserve"> </w:t>
      </w:r>
      <w:r w:rsidR="00C6407A" w:rsidRPr="00AB258A">
        <w:t>The CBAM applies to all non-EU countries in principle, though countries linked to the EU ETS are exempt.</w:t>
      </w:r>
    </w:p>
    <w:p w14:paraId="7697A67E" w14:textId="28720DE3" w:rsidR="00D210E4" w:rsidRPr="00D210E4" w:rsidRDefault="00612ED8" w:rsidP="00461043">
      <w:r>
        <w:rPr>
          <w:b/>
          <w:bCs/>
        </w:rPr>
        <w:t xml:space="preserve">The CBAM </w:t>
      </w:r>
      <w:r w:rsidR="00674BCB">
        <w:rPr>
          <w:b/>
          <w:bCs/>
        </w:rPr>
        <w:t xml:space="preserve">financial obligation </w:t>
      </w:r>
      <w:r w:rsidR="00CA74C9">
        <w:rPr>
          <w:b/>
          <w:bCs/>
        </w:rPr>
        <w:t xml:space="preserve">now applies for imports into the EU </w:t>
      </w:r>
      <w:r w:rsidR="00EC3237">
        <w:rPr>
          <w:b/>
          <w:bCs/>
        </w:rPr>
        <w:t xml:space="preserve">starting </w:t>
      </w:r>
      <w:r w:rsidR="00CA74C9">
        <w:rPr>
          <w:b/>
          <w:bCs/>
        </w:rPr>
        <w:t>1 January 2026</w:t>
      </w:r>
      <w:r w:rsidR="004D4299">
        <w:rPr>
          <w:b/>
          <w:bCs/>
        </w:rPr>
        <w:t xml:space="preserve">. </w:t>
      </w:r>
      <w:r w:rsidR="00D210E4" w:rsidRPr="00D210E4">
        <w:t>From that date, imports of CBAM goods can only be made to the EU by a pre-authorized CBAM declarant</w:t>
      </w:r>
      <w:r w:rsidR="00CC3452">
        <w:t xml:space="preserve"> (the importer)</w:t>
      </w:r>
      <w:r w:rsidR="00D210E4" w:rsidRPr="00D210E4">
        <w:t>, who will face a carbon price comparable to that paid by EU companies running installations covered by the EU ETS. Each authorized CBAM declarant will</w:t>
      </w:r>
      <w:r w:rsidR="00EB2353">
        <w:t xml:space="preserve"> </w:t>
      </w:r>
      <w:r w:rsidR="00357ACC">
        <w:t>declare</w:t>
      </w:r>
      <w:r w:rsidR="00D210E4" w:rsidRPr="009549B7">
        <w:t xml:space="preserve"> the embedded emissions</w:t>
      </w:r>
      <w:r w:rsidR="009549B7" w:rsidRPr="00815ECA">
        <w:t xml:space="preserve"> (</w:t>
      </w:r>
      <w:r w:rsidR="009549B7">
        <w:t xml:space="preserve">using </w:t>
      </w:r>
      <w:r w:rsidR="009549B7" w:rsidRPr="00815ECA">
        <w:t>actual or</w:t>
      </w:r>
      <w:r w:rsidR="009F02CA">
        <w:t xml:space="preserve"> </w:t>
      </w:r>
      <w:r w:rsidR="009549B7" w:rsidRPr="00815ECA">
        <w:t xml:space="preserve">default </w:t>
      </w:r>
      <w:r w:rsidR="009F02CA">
        <w:t>emissions intensities</w:t>
      </w:r>
      <w:r w:rsidR="009549B7" w:rsidRPr="00815ECA">
        <w:t>)</w:t>
      </w:r>
      <w:r w:rsidR="00D210E4" w:rsidRPr="009549B7">
        <w:t xml:space="preserve"> in CBAM goods imported into the EU during the previous calendar year to EU authorities and surrender</w:t>
      </w:r>
      <w:r w:rsidR="00D210E4" w:rsidRPr="00D210E4">
        <w:t xml:space="preserve"> CBAM certificates covering those emissions. </w:t>
      </w:r>
      <w:r w:rsidR="00727E21">
        <w:t xml:space="preserve">Deductions will be made for </w:t>
      </w:r>
      <w:r w:rsidR="00FC59FE">
        <w:t xml:space="preserve">qualifying </w:t>
      </w:r>
      <w:r w:rsidR="00D210E4" w:rsidRPr="00D210E4">
        <w:t>direct carbon pric</w:t>
      </w:r>
      <w:r w:rsidR="00FC59FE">
        <w:t>ing</w:t>
      </w:r>
      <w:r w:rsidR="00D210E4" w:rsidRPr="00D210E4">
        <w:t xml:space="preserve"> </w:t>
      </w:r>
      <w:r w:rsidR="00FC59FE">
        <w:t xml:space="preserve">payments made on those embedded emissions </w:t>
      </w:r>
      <w:r w:rsidR="00D210E4" w:rsidRPr="00D210E4">
        <w:t xml:space="preserve">in </w:t>
      </w:r>
      <w:r w:rsidR="00D6567D">
        <w:t xml:space="preserve">a third </w:t>
      </w:r>
      <w:r w:rsidR="00D210E4" w:rsidRPr="00D210E4">
        <w:t xml:space="preserve">country. The </w:t>
      </w:r>
      <w:r w:rsidR="002565E2">
        <w:t xml:space="preserve">amount of the </w:t>
      </w:r>
      <w:r w:rsidR="002623FB">
        <w:t xml:space="preserve">CBAM </w:t>
      </w:r>
      <w:r w:rsidR="00D6567D">
        <w:t xml:space="preserve">financial </w:t>
      </w:r>
      <w:r w:rsidR="00D210E4" w:rsidRPr="00D210E4">
        <w:t>obligation will be gradually phased in during 2026 to 2034</w:t>
      </w:r>
      <w:r w:rsidR="005A02A2">
        <w:t>,</w:t>
      </w:r>
      <w:r w:rsidR="00423BDA">
        <w:rPr>
          <w:rStyle w:val="FootnoteReference"/>
        </w:rPr>
        <w:footnoteReference w:id="5"/>
      </w:r>
      <w:r w:rsidR="00D210E4" w:rsidRPr="00D210E4">
        <w:t xml:space="preserve"> reflecting the extent to which EU ETS allowances are allocated free of charge in installations producing CBAM goods within the EU. </w:t>
      </w:r>
    </w:p>
    <w:p w14:paraId="0F3D5054" w14:textId="532FD51D" w:rsidR="00023999" w:rsidRDefault="005B111E" w:rsidP="005B111E">
      <w:pPr>
        <w:pStyle w:val="Heading2"/>
      </w:pPr>
      <w:bookmarkStart w:id="9" w:name="_Toc234844383"/>
      <w:r>
        <w:t xml:space="preserve">Coverage and </w:t>
      </w:r>
      <w:r w:rsidR="00B9100F">
        <w:t>embedded emissions calculation</w:t>
      </w:r>
      <w:bookmarkEnd w:id="9"/>
    </w:p>
    <w:p w14:paraId="548BB329" w14:textId="640ACF17" w:rsidR="00AB258A" w:rsidRDefault="00AB258A" w:rsidP="00AB258A">
      <w:r w:rsidRPr="00F9790E">
        <w:rPr>
          <w:b/>
          <w:bCs/>
        </w:rPr>
        <w:t xml:space="preserve">Currently, the CBAM covers carbon-intensive goods at high risk of carbon leakage: iron and steel, aluminum, fertilizers, </w:t>
      </w:r>
      <w:r w:rsidR="002C5BB0" w:rsidRPr="00F9790E">
        <w:rPr>
          <w:b/>
          <w:bCs/>
        </w:rPr>
        <w:t xml:space="preserve">cement, </w:t>
      </w:r>
      <w:r w:rsidRPr="00F9790E">
        <w:rPr>
          <w:b/>
          <w:bCs/>
        </w:rPr>
        <w:t xml:space="preserve">electricity, and </w:t>
      </w:r>
      <w:commentRangeStart w:id="10"/>
      <w:commentRangeStart w:id="11"/>
      <w:r w:rsidRPr="00F9790E">
        <w:rPr>
          <w:b/>
          <w:bCs/>
        </w:rPr>
        <w:t>hydrogen</w:t>
      </w:r>
      <w:commentRangeEnd w:id="10"/>
      <w:r w:rsidR="00AD6A2E" w:rsidRPr="00AB258A">
        <w:rPr>
          <w:rStyle w:val="CommentReference"/>
          <w:sz w:val="22"/>
          <w:szCs w:val="22"/>
        </w:rPr>
        <w:commentReference w:id="10"/>
      </w:r>
      <w:commentRangeEnd w:id="11"/>
      <w:r w:rsidRPr="00AB258A">
        <w:rPr>
          <w:rStyle w:val="CommentReference"/>
          <w:sz w:val="22"/>
          <w:szCs w:val="22"/>
        </w:rPr>
        <w:commentReference w:id="11"/>
      </w:r>
      <w:r w:rsidRPr="00AB258A">
        <w:t xml:space="preserve">. Coverage applies to specific goods defined by tariff codes rather than entire sectors, meaning not all products from those industries are included. </w:t>
      </w:r>
      <w:r w:rsidR="001A122F">
        <w:t xml:space="preserve">While </w:t>
      </w:r>
      <w:r w:rsidR="007B07C0">
        <w:t xml:space="preserve">direct emissions </w:t>
      </w:r>
      <w:r w:rsidR="00AE0266">
        <w:t xml:space="preserve">are </w:t>
      </w:r>
      <w:r w:rsidR="007B07C0">
        <w:t>covered</w:t>
      </w:r>
      <w:r w:rsidR="00AE0266">
        <w:t xml:space="preserve"> for all sectors</w:t>
      </w:r>
      <w:r w:rsidR="007B07C0">
        <w:t xml:space="preserve">, </w:t>
      </w:r>
      <w:r w:rsidR="00C12FBC">
        <w:t>cement</w:t>
      </w:r>
      <w:r w:rsidR="00F278FD">
        <w:t xml:space="preserve"> and</w:t>
      </w:r>
      <w:r w:rsidR="00C12FBC">
        <w:t xml:space="preserve"> fertilizer</w:t>
      </w:r>
      <w:r w:rsidR="00175B2F">
        <w:t xml:space="preserve"> </w:t>
      </w:r>
      <w:r w:rsidR="00034DDE">
        <w:t xml:space="preserve">have indirect emissions included as </w:t>
      </w:r>
      <w:commentRangeStart w:id="13"/>
      <w:r w:rsidR="00034DDE">
        <w:t>well</w:t>
      </w:r>
      <w:commentRangeEnd w:id="13"/>
      <w:r w:rsidR="00D923DB">
        <w:rPr>
          <w:rStyle w:val="CommentReference"/>
          <w:sz w:val="22"/>
          <w:szCs w:val="22"/>
        </w:rPr>
        <w:commentReference w:id="13"/>
      </w:r>
      <w:r w:rsidR="00034DDE">
        <w:t xml:space="preserve">. </w:t>
      </w:r>
    </w:p>
    <w:p w14:paraId="3C88A98E" w14:textId="42410179" w:rsidR="00D2077E" w:rsidRDefault="00D2077E" w:rsidP="00D2077E">
      <w:pPr>
        <w:pStyle w:val="Caption"/>
        <w:keepNext/>
        <w:spacing w:after="80"/>
        <w:rPr>
          <w:b/>
          <w:i w:val="0"/>
          <w:color w:val="auto"/>
          <w:sz w:val="20"/>
          <w:szCs w:val="20"/>
        </w:rPr>
      </w:pPr>
      <w:bookmarkStart w:id="14" w:name="_Ref193100110"/>
      <w:r w:rsidRPr="00815ECA">
        <w:rPr>
          <w:b/>
          <w:i w:val="0"/>
          <w:color w:val="auto"/>
          <w:sz w:val="20"/>
          <w:szCs w:val="20"/>
        </w:rPr>
        <w:lastRenderedPageBreak/>
        <w:t xml:space="preserve">Figure </w:t>
      </w:r>
      <w:r w:rsidR="00A56AFF">
        <w:rPr>
          <w:b/>
          <w:i w:val="0"/>
          <w:color w:val="auto"/>
          <w:sz w:val="20"/>
          <w:szCs w:val="20"/>
        </w:rPr>
        <w:fldChar w:fldCharType="begin"/>
      </w:r>
      <w:r w:rsidR="00A56AFF">
        <w:rPr>
          <w:b/>
          <w:i w:val="0"/>
          <w:color w:val="auto"/>
          <w:sz w:val="20"/>
          <w:szCs w:val="20"/>
        </w:rPr>
        <w:instrText xml:space="preserve"> SEQ Figure \* ARABIC </w:instrText>
      </w:r>
      <w:r w:rsidR="00A56AFF">
        <w:rPr>
          <w:b/>
          <w:i w:val="0"/>
          <w:color w:val="auto"/>
          <w:sz w:val="20"/>
          <w:szCs w:val="20"/>
        </w:rPr>
        <w:fldChar w:fldCharType="separate"/>
      </w:r>
      <w:r w:rsidR="00A56AFF">
        <w:rPr>
          <w:b/>
          <w:i w:val="0"/>
          <w:noProof/>
          <w:color w:val="auto"/>
          <w:sz w:val="20"/>
          <w:szCs w:val="20"/>
        </w:rPr>
        <w:t>1</w:t>
      </w:r>
      <w:r w:rsidR="00A56AFF">
        <w:rPr>
          <w:b/>
          <w:i w:val="0"/>
          <w:color w:val="auto"/>
          <w:sz w:val="20"/>
          <w:szCs w:val="20"/>
        </w:rPr>
        <w:fldChar w:fldCharType="end"/>
      </w:r>
      <w:bookmarkEnd w:id="14"/>
      <w:r w:rsidRPr="00815ECA">
        <w:rPr>
          <w:b/>
          <w:i w:val="0"/>
          <w:color w:val="auto"/>
          <w:sz w:val="20"/>
          <w:szCs w:val="20"/>
        </w:rPr>
        <w:t>. CBAM product categories and emissions coverage</w:t>
      </w:r>
    </w:p>
    <w:p w14:paraId="78E1C151" w14:textId="7AE3748F" w:rsidR="00554CE1" w:rsidRPr="001348E8" w:rsidRDefault="00554CE1" w:rsidP="001348E8">
      <w:pPr>
        <w:rPr>
          <w:i/>
        </w:rPr>
      </w:pPr>
      <w:r w:rsidRPr="00554CE1">
        <w:rPr>
          <w:noProof/>
        </w:rPr>
        <w:drawing>
          <wp:inline distT="0" distB="0" distL="0" distR="0" wp14:anchorId="02FB9454" wp14:editId="08761018">
            <wp:extent cx="5569236" cy="1435174"/>
            <wp:effectExtent l="0" t="0" r="0" b="0"/>
            <wp:docPr id="169160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09963" name=""/>
                    <pic:cNvPicPr/>
                  </pic:nvPicPr>
                  <pic:blipFill>
                    <a:blip r:embed="rId13"/>
                    <a:stretch>
                      <a:fillRect/>
                    </a:stretch>
                  </pic:blipFill>
                  <pic:spPr>
                    <a:xfrm>
                      <a:off x="0" y="0"/>
                      <a:ext cx="5569236" cy="1435174"/>
                    </a:xfrm>
                    <a:prstGeom prst="rect">
                      <a:avLst/>
                    </a:prstGeom>
                  </pic:spPr>
                </pic:pic>
              </a:graphicData>
            </a:graphic>
          </wp:inline>
        </w:drawing>
      </w:r>
    </w:p>
    <w:p w14:paraId="61DD7D48" w14:textId="15EEB1E2" w:rsidR="00D2077E" w:rsidRDefault="00D2077E" w:rsidP="00D2077E">
      <w:pPr>
        <w:spacing w:after="0" w:line="240" w:lineRule="auto"/>
        <w:rPr>
          <w:rFonts w:cstheme="minorHAnsi"/>
        </w:rPr>
      </w:pPr>
    </w:p>
    <w:p w14:paraId="091C250D" w14:textId="3DBC4D44" w:rsidR="00D2077E" w:rsidRPr="007D7BB7" w:rsidRDefault="00D2077E" w:rsidP="00D2077E">
      <w:pPr>
        <w:spacing w:before="80" w:after="240" w:line="240" w:lineRule="auto"/>
        <w:rPr>
          <w:sz w:val="18"/>
          <w:szCs w:val="18"/>
        </w:rPr>
      </w:pPr>
      <w:r w:rsidRPr="11357084">
        <w:rPr>
          <w:i/>
          <w:iCs/>
          <w:sz w:val="18"/>
          <w:szCs w:val="18"/>
        </w:rPr>
        <w:t>Source</w:t>
      </w:r>
      <w:r w:rsidRPr="11357084">
        <w:rPr>
          <w:sz w:val="18"/>
          <w:szCs w:val="18"/>
        </w:rPr>
        <w:t>: World Bank staff based on R</w:t>
      </w:r>
      <w:r w:rsidR="005B70B0">
        <w:rPr>
          <w:sz w:val="18"/>
          <w:szCs w:val="18"/>
        </w:rPr>
        <w:t xml:space="preserve">egulation </w:t>
      </w:r>
      <w:r w:rsidRPr="11357084">
        <w:rPr>
          <w:sz w:val="18"/>
          <w:szCs w:val="18"/>
        </w:rPr>
        <w:t xml:space="preserve">(EU) 2023/956 </w:t>
      </w:r>
      <w:r w:rsidR="001426E6">
        <w:rPr>
          <w:sz w:val="18"/>
          <w:szCs w:val="18"/>
        </w:rPr>
        <w:t xml:space="preserve">of the European Parliament and of the Council </w:t>
      </w:r>
      <w:r w:rsidRPr="11357084">
        <w:rPr>
          <w:sz w:val="18"/>
          <w:szCs w:val="18"/>
        </w:rPr>
        <w:t>of 10 May 2023 establishing a carbon border adjustment mechanism”</w:t>
      </w:r>
      <w:r w:rsidR="00395992">
        <w:rPr>
          <w:sz w:val="18"/>
          <w:szCs w:val="18"/>
        </w:rPr>
        <w:t>, as amended by</w:t>
      </w:r>
      <w:r w:rsidR="007D7BB7">
        <w:rPr>
          <w:sz w:val="18"/>
          <w:szCs w:val="18"/>
        </w:rPr>
        <w:t xml:space="preserve"> </w:t>
      </w:r>
      <w:r w:rsidR="007D7BB7" w:rsidRPr="001348E8">
        <w:rPr>
          <w:sz w:val="18"/>
          <w:szCs w:val="18"/>
        </w:rPr>
        <w:t>Regulation (EU) 2025/2083</w:t>
      </w:r>
      <w:r w:rsidR="00CC5A38">
        <w:rPr>
          <w:sz w:val="18"/>
          <w:szCs w:val="18"/>
        </w:rPr>
        <w:t xml:space="preserve">. </w:t>
      </w:r>
    </w:p>
    <w:p w14:paraId="10C5FACE" w14:textId="0802FAC1" w:rsidR="00F9790E" w:rsidRPr="00AB258A" w:rsidRDefault="001019CC" w:rsidP="00F9790E">
      <w:r>
        <w:t xml:space="preserve">Coverage can be </w:t>
      </w:r>
      <w:r w:rsidR="00F9790E" w:rsidRPr="00AB258A">
        <w:t>expected to expand over time</w:t>
      </w:r>
      <w:r w:rsidR="00EC4B89">
        <w:t xml:space="preserve">; </w:t>
      </w:r>
      <w:r w:rsidR="00F9790E" w:rsidRPr="00AB258A">
        <w:t>in December 2025 the EU Commission proposed extending coverage to approximately 180 downstream "complex goods"</w:t>
      </w:r>
      <w:r w:rsidR="00745F28">
        <w:t>—</w:t>
      </w:r>
      <w:r w:rsidR="00F9790E" w:rsidRPr="00AB258A">
        <w:t>including machinery, vehicle parts, and domestic appliances</w:t>
      </w:r>
      <w:r w:rsidR="00D577CB">
        <w:t>,</w:t>
      </w:r>
      <w:r w:rsidR="00D20965">
        <w:t xml:space="preserve"> </w:t>
      </w:r>
      <w:r w:rsidR="00604182">
        <w:t xml:space="preserve">where the </w:t>
      </w:r>
      <w:r w:rsidR="001D3FE2">
        <w:t xml:space="preserve">parts of steel and aluminum </w:t>
      </w:r>
      <w:r w:rsidR="00D20965">
        <w:t>will be covered by the CBAM financial obligation</w:t>
      </w:r>
      <w:r w:rsidR="007B7E1E">
        <w:t>.</w:t>
      </w:r>
      <w:r w:rsidR="00BE4B3F">
        <w:rPr>
          <w:rStyle w:val="FootnoteReference"/>
        </w:rPr>
        <w:footnoteReference w:id="6"/>
      </w:r>
      <w:r w:rsidR="007B7E1E">
        <w:t xml:space="preserve"> </w:t>
      </w:r>
      <w:r w:rsidR="0045026F">
        <w:t>The proposal is currently discussed by the EU legis</w:t>
      </w:r>
      <w:r w:rsidR="00B004A5">
        <w:t xml:space="preserve">lators and </w:t>
      </w:r>
      <w:r w:rsidR="001F4ACE">
        <w:t xml:space="preserve">changes are likely to be in force from 1 January 2028. </w:t>
      </w:r>
    </w:p>
    <w:p w14:paraId="58656341" w14:textId="389439AD" w:rsidR="00AB258A" w:rsidRPr="00AB258A" w:rsidRDefault="00AB258A" w:rsidP="00AB258A">
      <w:r w:rsidRPr="001019CC">
        <w:rPr>
          <w:b/>
          <w:bCs/>
        </w:rPr>
        <w:t xml:space="preserve">The </w:t>
      </w:r>
      <w:r w:rsidR="00D577CB">
        <w:rPr>
          <w:b/>
          <w:bCs/>
        </w:rPr>
        <w:t xml:space="preserve">starting point for calculating </w:t>
      </w:r>
      <w:r w:rsidR="00D577CB" w:rsidRPr="001019CC">
        <w:rPr>
          <w:b/>
          <w:bCs/>
        </w:rPr>
        <w:t xml:space="preserve">CBAM liabilities </w:t>
      </w:r>
      <w:r w:rsidR="00AA2349">
        <w:rPr>
          <w:b/>
          <w:bCs/>
        </w:rPr>
        <w:t>are</w:t>
      </w:r>
      <w:r w:rsidRPr="001019CC">
        <w:rPr>
          <w:b/>
          <w:bCs/>
        </w:rPr>
        <w:t xml:space="preserve"> "embedded emissions"</w:t>
      </w:r>
      <w:r w:rsidR="00745F28">
        <w:rPr>
          <w:b/>
          <w:bCs/>
        </w:rPr>
        <w:t>—</w:t>
      </w:r>
      <w:r w:rsidRPr="001019CC">
        <w:rPr>
          <w:b/>
          <w:bCs/>
        </w:rPr>
        <w:t>the GHG emissions released during production of a good.</w:t>
      </w:r>
      <w:r w:rsidRPr="00AB258A">
        <w:t xml:space="preserve"> For non-electricity goods, importers may use either installation-level actual emissions</w:t>
      </w:r>
      <w:r w:rsidR="00D86E8D">
        <w:t>—</w:t>
      </w:r>
      <w:r w:rsidRPr="00AB258A">
        <w:t>subject to stringent measurement, reporting, and verification</w:t>
      </w:r>
      <w:r w:rsidR="00D86E8D">
        <w:t xml:space="preserve"> (MRV)</w:t>
      </w:r>
      <w:r w:rsidR="00AE5713" w:rsidRPr="00AB258A">
        <w:t xml:space="preserve"> </w:t>
      </w:r>
      <w:r w:rsidRPr="00AB258A">
        <w:t>requirements</w:t>
      </w:r>
      <w:r w:rsidR="00AE5713" w:rsidRPr="00D86E8D">
        <w:t>—</w:t>
      </w:r>
      <w:r w:rsidRPr="00AB258A">
        <w:t xml:space="preserve">or default values. Default values </w:t>
      </w:r>
      <w:r w:rsidR="00457F03">
        <w:t xml:space="preserve">were </w:t>
      </w:r>
      <w:r w:rsidR="00891554">
        <w:t xml:space="preserve">released </w:t>
      </w:r>
      <w:r w:rsidR="0021151A">
        <w:t xml:space="preserve">by the Commission </w:t>
      </w:r>
      <w:r w:rsidR="00E460E0">
        <w:t xml:space="preserve">in </w:t>
      </w:r>
      <w:r w:rsidR="00044A73">
        <w:t xml:space="preserve">December of 2025 </w:t>
      </w:r>
      <w:r w:rsidR="00E460E0">
        <w:t>for each product and country pair.</w:t>
      </w:r>
      <w:r w:rsidR="00CC1B22">
        <w:rPr>
          <w:rStyle w:val="FootnoteReference"/>
        </w:rPr>
        <w:footnoteReference w:id="7"/>
      </w:r>
      <w:r w:rsidR="00E460E0">
        <w:t xml:space="preserve"> Where country-specific values are not given, the </w:t>
      </w:r>
      <w:r w:rsidR="00E26992">
        <w:t xml:space="preserve">default values of the “other countries” category will apply, and they </w:t>
      </w:r>
      <w:r w:rsidR="0061075A">
        <w:t>are derived from the world’s</w:t>
      </w:r>
      <w:r w:rsidR="00082357">
        <w:t xml:space="preserve"> most emission-intensive producers.</w:t>
      </w:r>
    </w:p>
    <w:p w14:paraId="6F571CCE" w14:textId="6EE1DFD4" w:rsidR="00AB258A" w:rsidRPr="00AB258A" w:rsidRDefault="00AB258A" w:rsidP="00AB258A">
      <w:r w:rsidRPr="00AE5713">
        <w:rPr>
          <w:b/>
          <w:bCs/>
        </w:rPr>
        <w:t>In practice, using actual emissions data requires facility-level data that is more granular than what most national MRV systems currently capture.</w:t>
      </w:r>
      <w:r w:rsidRPr="00AB258A">
        <w:t xml:space="preserve"> Evidence from the transitional phase suggests that the majority of importers </w:t>
      </w:r>
      <w:r w:rsidR="00A95A1C">
        <w:t xml:space="preserve">have </w:t>
      </w:r>
      <w:r w:rsidRPr="00AB258A">
        <w:t>relied on default rather than actual values, meaning many exporters</w:t>
      </w:r>
      <w:r w:rsidR="00745F28">
        <w:t>—</w:t>
      </w:r>
      <w:r w:rsidRPr="00AB258A">
        <w:t>particularly in developing countries</w:t>
      </w:r>
      <w:r w:rsidR="00745F28">
        <w:t>—</w:t>
      </w:r>
      <w:r w:rsidRPr="00AB258A">
        <w:t xml:space="preserve">face the higher-cost default </w:t>
      </w:r>
      <w:r w:rsidR="001B2914">
        <w:t xml:space="preserve">route </w:t>
      </w:r>
      <w:r w:rsidRPr="00AB258A">
        <w:t xml:space="preserve">unless they invest in more rigorous </w:t>
      </w:r>
      <w:commentRangeStart w:id="15"/>
      <w:commentRangeStart w:id="16"/>
      <w:r w:rsidRPr="00AB258A">
        <w:t>emissions tracking and independent verification</w:t>
      </w:r>
      <w:commentRangeEnd w:id="15"/>
      <w:r w:rsidR="00C42B6C" w:rsidRPr="00AB258A">
        <w:rPr>
          <w:rStyle w:val="CommentReference"/>
          <w:sz w:val="22"/>
          <w:szCs w:val="22"/>
        </w:rPr>
        <w:commentReference w:id="15"/>
      </w:r>
      <w:commentRangeEnd w:id="16"/>
      <w:r w:rsidRPr="00AB258A">
        <w:rPr>
          <w:rStyle w:val="CommentReference"/>
          <w:sz w:val="22"/>
          <w:szCs w:val="22"/>
        </w:rPr>
        <w:commentReference w:id="16"/>
      </w:r>
      <w:r w:rsidRPr="00AB258A">
        <w:t>.</w:t>
      </w:r>
      <w:r w:rsidR="000472B9">
        <w:t xml:space="preserve"> </w:t>
      </w:r>
      <w:r w:rsidR="00654423">
        <w:t xml:space="preserve">Detailed </w:t>
      </w:r>
      <w:r w:rsidR="000472B9">
        <w:t xml:space="preserve">methods for calculating </w:t>
      </w:r>
      <w:r w:rsidR="00492080">
        <w:t xml:space="preserve">the embedded emissions </w:t>
      </w:r>
      <w:r w:rsidR="00AC0E5F">
        <w:t xml:space="preserve">as well as </w:t>
      </w:r>
      <w:r w:rsidR="00117E8C">
        <w:t xml:space="preserve">applicable </w:t>
      </w:r>
      <w:r w:rsidR="00DC317F">
        <w:t xml:space="preserve">verification </w:t>
      </w:r>
      <w:r w:rsidR="00117E8C">
        <w:t xml:space="preserve">principles </w:t>
      </w:r>
      <w:r w:rsidR="00DC317F">
        <w:t xml:space="preserve">are </w:t>
      </w:r>
      <w:r w:rsidR="00070F96">
        <w:t xml:space="preserve">laid down in </w:t>
      </w:r>
      <w:r w:rsidR="003F5B6D">
        <w:t>Commission Implementing Regulations</w:t>
      </w:r>
      <w:r w:rsidR="005B2F5F">
        <w:t xml:space="preserve"> published in December 2025</w:t>
      </w:r>
      <w:r w:rsidR="000E1C35">
        <w:t>.</w:t>
      </w:r>
      <w:r w:rsidR="00E23BD6">
        <w:rPr>
          <w:rStyle w:val="FootnoteReference"/>
        </w:rPr>
        <w:footnoteReference w:id="8"/>
      </w:r>
      <w:r w:rsidR="00117E8C">
        <w:t xml:space="preserve"> These </w:t>
      </w:r>
      <w:r w:rsidR="008D5686">
        <w:t xml:space="preserve">aim to mirror </w:t>
      </w:r>
      <w:r w:rsidR="00AE5641">
        <w:t xml:space="preserve">provisions </w:t>
      </w:r>
      <w:r w:rsidR="008D5686">
        <w:t xml:space="preserve">applicable to </w:t>
      </w:r>
      <w:r w:rsidR="003E549E">
        <w:t xml:space="preserve">stationary installations under the EU Emissions </w:t>
      </w:r>
      <w:r w:rsidR="008B2C42">
        <w:t xml:space="preserve">Trading Scheme, </w:t>
      </w:r>
      <w:r w:rsidR="001358D2">
        <w:t>considering</w:t>
      </w:r>
      <w:r w:rsidR="008B2C42">
        <w:t xml:space="preserve"> the further need for </w:t>
      </w:r>
      <w:r w:rsidR="00F84EC8">
        <w:t>data applicable to individual CBAM goods</w:t>
      </w:r>
      <w:r w:rsidR="00D923DB">
        <w:t xml:space="preserve">. </w:t>
      </w:r>
      <w:r w:rsidRPr="00AB258A">
        <w:t xml:space="preserve">For electricity, embedded emissions follow a similar </w:t>
      </w:r>
      <w:r w:rsidR="00952A0D">
        <w:t xml:space="preserve">determination </w:t>
      </w:r>
      <w:r w:rsidRPr="00AB258A">
        <w:t xml:space="preserve">of </w:t>
      </w:r>
      <w:r w:rsidR="00952A0D">
        <w:t>country</w:t>
      </w:r>
      <w:r w:rsidRPr="00AB258A">
        <w:t>-specific defaults</w:t>
      </w:r>
      <w:r w:rsidR="009B72CA">
        <w:t xml:space="preserve"> for grid-level </w:t>
      </w:r>
      <w:r w:rsidR="009B72CA">
        <w:lastRenderedPageBreak/>
        <w:t>emission intensity</w:t>
      </w:r>
      <w:r w:rsidRPr="00AB258A">
        <w:t xml:space="preserve">, </w:t>
      </w:r>
      <w:r w:rsidR="00A9227B">
        <w:t xml:space="preserve">although </w:t>
      </w:r>
      <w:r w:rsidRPr="00AB258A">
        <w:t xml:space="preserve">actual emissions </w:t>
      </w:r>
      <w:r w:rsidR="00F0783B">
        <w:t xml:space="preserve">can be established </w:t>
      </w:r>
      <w:r w:rsidRPr="00AB258A">
        <w:t>via a verified power purchase agreement meeting specific criteria.</w:t>
      </w:r>
      <w:r w:rsidR="00BA27BC">
        <w:t xml:space="preserve"> (See section</w:t>
      </w:r>
      <w:r w:rsidR="00AF169B">
        <w:t xml:space="preserve"> </w:t>
      </w:r>
      <w:r w:rsidR="00E945EB">
        <w:fldChar w:fldCharType="begin"/>
      </w:r>
      <w:r w:rsidR="00E945EB">
        <w:instrText xml:space="preserve"> REF _Ref230703490 \r \h </w:instrText>
      </w:r>
      <w:r w:rsidR="00E945EB">
        <w:fldChar w:fldCharType="separate"/>
      </w:r>
      <w:r w:rsidR="00E945EB">
        <w:t>3.3.1</w:t>
      </w:r>
      <w:r w:rsidR="00E945EB">
        <w:fldChar w:fldCharType="end"/>
      </w:r>
      <w:r w:rsidR="00D9139F">
        <w:t>).</w:t>
      </w:r>
    </w:p>
    <w:p w14:paraId="2E37C8B9" w14:textId="39B33CD9" w:rsidR="00D43084" w:rsidRDefault="005A5002" w:rsidP="00AB258A">
      <w:r>
        <w:rPr>
          <w:b/>
          <w:bCs/>
        </w:rPr>
        <w:t>CBAM obligations will be phased</w:t>
      </w:r>
      <w:r w:rsidR="00D86C93">
        <w:rPr>
          <w:b/>
          <w:bCs/>
        </w:rPr>
        <w:t xml:space="preserve"> in gradually, </w:t>
      </w:r>
      <w:r w:rsidR="0090568D">
        <w:rPr>
          <w:b/>
          <w:bCs/>
        </w:rPr>
        <w:t xml:space="preserve">in parallel </w:t>
      </w:r>
      <w:r w:rsidR="00D86C93">
        <w:rPr>
          <w:b/>
          <w:bCs/>
        </w:rPr>
        <w:t xml:space="preserve">with </w:t>
      </w:r>
      <w:r w:rsidR="00CC2FF7">
        <w:rPr>
          <w:b/>
          <w:bCs/>
        </w:rPr>
        <w:t xml:space="preserve">free </w:t>
      </w:r>
      <w:r w:rsidR="003A1179">
        <w:rPr>
          <w:b/>
          <w:bCs/>
        </w:rPr>
        <w:t xml:space="preserve">allocations </w:t>
      </w:r>
      <w:r w:rsidR="0090568D">
        <w:rPr>
          <w:b/>
          <w:bCs/>
        </w:rPr>
        <w:t xml:space="preserve">for EU producers </w:t>
      </w:r>
      <w:r w:rsidR="000F4AE7">
        <w:rPr>
          <w:b/>
          <w:bCs/>
        </w:rPr>
        <w:t xml:space="preserve">decreasing between 2026 and 2034 and </w:t>
      </w:r>
      <w:r w:rsidR="005F6170">
        <w:rPr>
          <w:b/>
          <w:bCs/>
        </w:rPr>
        <w:t>markups</w:t>
      </w:r>
      <w:r w:rsidR="000F4AE7">
        <w:rPr>
          <w:b/>
          <w:bCs/>
        </w:rPr>
        <w:t xml:space="preserve"> to </w:t>
      </w:r>
      <w:r w:rsidR="00F474BA">
        <w:rPr>
          <w:b/>
          <w:bCs/>
        </w:rPr>
        <w:t xml:space="preserve">CBAM </w:t>
      </w:r>
      <w:r w:rsidR="000F4AE7">
        <w:rPr>
          <w:b/>
          <w:bCs/>
        </w:rPr>
        <w:t xml:space="preserve">default values </w:t>
      </w:r>
      <w:r w:rsidR="00E666C0">
        <w:rPr>
          <w:b/>
          <w:bCs/>
        </w:rPr>
        <w:t xml:space="preserve">for the emission intensity of </w:t>
      </w:r>
      <w:r w:rsidR="00A15610">
        <w:rPr>
          <w:b/>
          <w:bCs/>
        </w:rPr>
        <w:t xml:space="preserve">other CBAM goods than electricity </w:t>
      </w:r>
      <w:r w:rsidR="000F4AE7">
        <w:rPr>
          <w:b/>
          <w:bCs/>
        </w:rPr>
        <w:t>increasing</w:t>
      </w:r>
      <w:r w:rsidR="002035FB">
        <w:rPr>
          <w:b/>
          <w:bCs/>
        </w:rPr>
        <w:t xml:space="preserve"> between 2026 and 2028. </w:t>
      </w:r>
      <w:r w:rsidR="00AB258A" w:rsidRPr="00AB258A">
        <w:t xml:space="preserve">First, to maintain symmetry with the treatment of EU producers, CBAM liabilities are reduced to reflect free allowances still allocated under the EU ETS. </w:t>
      </w:r>
      <w:r w:rsidR="006B2EF1">
        <w:t xml:space="preserve">Benchmark allocations for each product </w:t>
      </w:r>
      <w:r w:rsidR="00AB2524">
        <w:t>are detailed</w:t>
      </w:r>
      <w:r w:rsidR="006C7BC0">
        <w:t xml:space="preserve"> in the implementing regulation</w:t>
      </w:r>
      <w:r w:rsidR="006D3B26">
        <w:t xml:space="preserve"> and do not vary by country of origin</w:t>
      </w:r>
      <w:r w:rsidR="00377171">
        <w:t>, although they can vary by production route</w:t>
      </w:r>
      <w:r w:rsidR="00AB2524">
        <w:t>.</w:t>
      </w:r>
      <w:r w:rsidR="006D3B26">
        <w:rPr>
          <w:rStyle w:val="FootnoteReference"/>
        </w:rPr>
        <w:footnoteReference w:id="9"/>
      </w:r>
      <w:r w:rsidR="00AB2524">
        <w:t xml:space="preserve"> </w:t>
      </w:r>
      <w:r w:rsidR="00AB258A" w:rsidRPr="00AB258A">
        <w:t xml:space="preserve">As free allocations to EU producers are phased out between 2026 and 2034, </w:t>
      </w:r>
      <w:r w:rsidR="00DF43AE">
        <w:t xml:space="preserve">the symmetric treatment </w:t>
      </w:r>
      <w:r w:rsidR="00F36D32">
        <w:t xml:space="preserve">blunts the full force of the </w:t>
      </w:r>
      <w:r w:rsidR="00AB258A" w:rsidRPr="00AB258A">
        <w:t>CBAM obligations</w:t>
      </w:r>
      <w:r w:rsidR="00E87114">
        <w:t xml:space="preserve"> </w:t>
      </w:r>
      <w:r w:rsidR="006E09EB">
        <w:t>for a period</w:t>
      </w:r>
      <w:r w:rsidR="00A94634">
        <w:t xml:space="preserve"> of time.</w:t>
      </w:r>
      <w:r w:rsidR="005D15FD">
        <w:t xml:space="preserve"> </w:t>
      </w:r>
      <w:r w:rsidR="006677B8">
        <w:t xml:space="preserve">Second, </w:t>
      </w:r>
      <w:r w:rsidR="00567863">
        <w:t xml:space="preserve">importers using </w:t>
      </w:r>
      <w:r w:rsidR="00BF7F64" w:rsidRPr="00AB258A">
        <w:t>default</w:t>
      </w:r>
      <w:r w:rsidR="00567863">
        <w:t xml:space="preserve"> values will face </w:t>
      </w:r>
      <w:r w:rsidR="00BF7F64" w:rsidRPr="00AB258A">
        <w:t>a phased mark-up</w:t>
      </w:r>
      <w:r w:rsidR="00567863">
        <w:t>,</w:t>
      </w:r>
      <w:r w:rsidR="00BF7F64" w:rsidRPr="00AB258A">
        <w:t xml:space="preserve"> starting at 10% in 2026 and rising to 30% by 2028</w:t>
      </w:r>
      <w:r w:rsidR="002659C9">
        <w:t xml:space="preserve"> (for fertilizers </w:t>
      </w:r>
      <w:r w:rsidR="00942921">
        <w:t>a lower mark-up of 1</w:t>
      </w:r>
      <w:r w:rsidR="00046359">
        <w:t>% is applied)</w:t>
      </w:r>
      <w:r w:rsidR="00BF7F64" w:rsidRPr="00AB258A">
        <w:t>.</w:t>
      </w:r>
      <w:r w:rsidR="00407B02">
        <w:t xml:space="preserve"> The markup makes declaring actual emissions ever more important </w:t>
      </w:r>
      <w:r w:rsidR="001532E7">
        <w:t xml:space="preserve">for lower-carbon producers </w:t>
      </w:r>
      <w:r w:rsidR="00407B02">
        <w:t xml:space="preserve">to </w:t>
      </w:r>
      <w:r w:rsidR="001532E7">
        <w:t xml:space="preserve">reduce CBAM </w:t>
      </w:r>
      <w:r w:rsidR="003760C2">
        <w:t xml:space="preserve">financial </w:t>
      </w:r>
      <w:r w:rsidR="001532E7">
        <w:t>obligations.</w:t>
      </w:r>
      <w:r w:rsidR="00407B02">
        <w:t xml:space="preserve"> </w:t>
      </w:r>
      <w:r w:rsidR="00D43084">
        <w:t xml:space="preserve">The phase-in </w:t>
      </w:r>
      <w:r w:rsidR="005F0AF4">
        <w:t>o</w:t>
      </w:r>
      <w:r w:rsidR="00812497">
        <w:t>f CBAM</w:t>
      </w:r>
      <w:r w:rsidR="00E85D0A">
        <w:t xml:space="preserve"> </w:t>
      </w:r>
      <w:r w:rsidR="00D43084">
        <w:t>gives</w:t>
      </w:r>
      <w:r w:rsidR="00D43084" w:rsidRPr="00AB258A">
        <w:t xml:space="preserve"> trade partners </w:t>
      </w:r>
      <w:r w:rsidR="00D43084">
        <w:t xml:space="preserve">some </w:t>
      </w:r>
      <w:r w:rsidR="00D43084" w:rsidRPr="00AB258A">
        <w:t>time to adjust</w:t>
      </w:r>
      <w:r w:rsidR="00D43084">
        <w:t xml:space="preserve">; however, certain goods with relatively high default or actual emissions above the benchmarks may face a significant immediate CBAM </w:t>
      </w:r>
      <w:r w:rsidR="0022085B">
        <w:t>financial impact</w:t>
      </w:r>
      <w:r w:rsidR="00D43084" w:rsidRPr="00AB258A">
        <w:t xml:space="preserve">. </w:t>
      </w:r>
    </w:p>
    <w:p w14:paraId="0681A2C0" w14:textId="73B1CDC0" w:rsidR="000E7D8F" w:rsidRDefault="000E7D8F" w:rsidP="000E7D8F">
      <w:r w:rsidRPr="00AB4C7D">
        <w:rPr>
          <w:b/>
          <w:bCs/>
        </w:rPr>
        <w:t>A compliance thresho</w:t>
      </w:r>
      <w:r w:rsidR="00024223" w:rsidRPr="00AB4C7D">
        <w:rPr>
          <w:b/>
          <w:bCs/>
        </w:rPr>
        <w:t>ld would exclude</w:t>
      </w:r>
      <w:r w:rsidR="000F6F36">
        <w:rPr>
          <w:b/>
          <w:bCs/>
        </w:rPr>
        <w:t xml:space="preserve"> EU</w:t>
      </w:r>
      <w:r w:rsidR="00024223" w:rsidRPr="00AB4C7D">
        <w:rPr>
          <w:b/>
          <w:bCs/>
        </w:rPr>
        <w:t xml:space="preserve"> importers of small quantities of goods </w:t>
      </w:r>
      <w:r w:rsidR="00B567D8" w:rsidRPr="00AB4C7D">
        <w:rPr>
          <w:b/>
          <w:bCs/>
        </w:rPr>
        <w:t xml:space="preserve">but does not necessarily exclude </w:t>
      </w:r>
      <w:r w:rsidR="00AB4C7D">
        <w:rPr>
          <w:b/>
          <w:bCs/>
        </w:rPr>
        <w:t xml:space="preserve">the goods of </w:t>
      </w:r>
      <w:r w:rsidR="00B567D8" w:rsidRPr="00AB4C7D">
        <w:rPr>
          <w:b/>
          <w:bCs/>
        </w:rPr>
        <w:t>small exporters.</w:t>
      </w:r>
      <w:r w:rsidR="00B567D8">
        <w:t xml:space="preserve"> </w:t>
      </w:r>
      <w:r w:rsidR="003A5F2F">
        <w:t xml:space="preserve">The compliance </w:t>
      </w:r>
      <w:r w:rsidRPr="00C378A0">
        <w:t xml:space="preserve">threshold </w:t>
      </w:r>
      <w:r w:rsidR="003A5F2F">
        <w:t xml:space="preserve">is </w:t>
      </w:r>
      <w:r w:rsidRPr="00C378A0">
        <w:t>based on an annual cumulative net mass per importer, set at 50 tons</w:t>
      </w:r>
      <w:r w:rsidR="00A0181F">
        <w:t xml:space="preserve"> of weight </w:t>
      </w:r>
      <w:r w:rsidR="007D590D">
        <w:t>of the goods</w:t>
      </w:r>
      <w:r>
        <w:t xml:space="preserve">. </w:t>
      </w:r>
      <w:r w:rsidR="00C43713">
        <w:t xml:space="preserve">The EU claims that this threshold should </w:t>
      </w:r>
      <w:r w:rsidR="00EE5DF6">
        <w:t xml:space="preserve">greatly reduce the administrative burden while </w:t>
      </w:r>
      <w:r w:rsidR="00EE5DF6" w:rsidRPr="003845F3">
        <w:t>still ensuring that more than 99% of emissions are maintained in scope.</w:t>
      </w:r>
      <w:r w:rsidR="00EE5DF6">
        <w:t xml:space="preserve"> From an exporter perspective, </w:t>
      </w:r>
      <w:r w:rsidR="00C214D0">
        <w:t xml:space="preserve">the </w:t>
      </w:r>
      <w:r w:rsidR="00DE6C9E">
        <w:t xml:space="preserve">CBAM </w:t>
      </w:r>
      <w:r w:rsidR="00C214D0">
        <w:t>obligation</w:t>
      </w:r>
      <w:r w:rsidR="00DE6C9E">
        <w:t>s</w:t>
      </w:r>
      <w:r w:rsidR="00C214D0">
        <w:t xml:space="preserve"> remain unless </w:t>
      </w:r>
      <w:r w:rsidR="00085979">
        <w:t xml:space="preserve">they are just trading </w:t>
      </w:r>
      <w:r w:rsidR="00C214D0">
        <w:t>small amounts to these small importers.</w:t>
      </w:r>
    </w:p>
    <w:p w14:paraId="169363C7" w14:textId="53239E32" w:rsidR="00996AD7" w:rsidRDefault="00996AD7" w:rsidP="000E7D8F">
      <w:r w:rsidRPr="00F35B7A">
        <w:rPr>
          <w:b/>
          <w:bCs/>
        </w:rPr>
        <w:t xml:space="preserve">The CBAM introduces a significant new compliance burden for exporters to the EU, particularly in developing countries that may lack the </w:t>
      </w:r>
      <w:r>
        <w:rPr>
          <w:b/>
          <w:bCs/>
        </w:rPr>
        <w:t xml:space="preserve">capacity </w:t>
      </w:r>
      <w:r w:rsidRPr="00F35B7A">
        <w:rPr>
          <w:b/>
          <w:bCs/>
        </w:rPr>
        <w:t xml:space="preserve">to </w:t>
      </w:r>
      <w:r>
        <w:rPr>
          <w:b/>
          <w:bCs/>
        </w:rPr>
        <w:t xml:space="preserve">document </w:t>
      </w:r>
      <w:r w:rsidRPr="00F35B7A">
        <w:rPr>
          <w:b/>
          <w:bCs/>
        </w:rPr>
        <w:t>actual emissions and access more favorable certificate calculations.</w:t>
      </w:r>
      <w:r w:rsidRPr="00AB258A">
        <w:t xml:space="preserve"> </w:t>
      </w:r>
      <w:r>
        <w:t xml:space="preserve"> For this reason, a monitoring, reporting, and verification (MRV) strategy </w:t>
      </w:r>
      <w:r w:rsidR="00627080">
        <w:t xml:space="preserve">ought to be </w:t>
      </w:r>
      <w:r>
        <w:t xml:space="preserve">a first component of a CBAM response. It </w:t>
      </w:r>
      <w:r w:rsidR="002E29EC">
        <w:t xml:space="preserve">can </w:t>
      </w:r>
      <w:r>
        <w:t xml:space="preserve">also </w:t>
      </w:r>
      <w:r w:rsidR="002E29EC">
        <w:t>be</w:t>
      </w:r>
      <w:r>
        <w:t xml:space="preserve"> an important step towards </w:t>
      </w:r>
      <w:r w:rsidR="007471F3">
        <w:t xml:space="preserve">developing domestic capacity to </w:t>
      </w:r>
      <w:r>
        <w:t xml:space="preserve">implement </w:t>
      </w:r>
      <w:r w:rsidR="00AE4D21">
        <w:t>and enforc</w:t>
      </w:r>
      <w:r w:rsidR="007471F3">
        <w:t>e</w:t>
      </w:r>
      <w:r w:rsidR="00AE4D21">
        <w:t xml:space="preserve"> </w:t>
      </w:r>
      <w:r w:rsidR="00746421">
        <w:t>home-grown</w:t>
      </w:r>
      <w:r w:rsidR="0077348E">
        <w:t xml:space="preserve"> </w:t>
      </w:r>
      <w:r w:rsidR="00BF2BF1">
        <w:t>regulations</w:t>
      </w:r>
      <w:r w:rsidR="00AE4D21">
        <w:t xml:space="preserve"> of emitting </w:t>
      </w:r>
      <w:r w:rsidR="00746421">
        <w:t>facilities</w:t>
      </w:r>
      <w:r w:rsidR="006525AB">
        <w:t>, including with downstream carbon pricing</w:t>
      </w:r>
      <w:r>
        <w:t>.</w:t>
      </w:r>
    </w:p>
    <w:p w14:paraId="543BA9A1" w14:textId="7F973B75" w:rsidR="00CF3607" w:rsidRDefault="004B1C6D" w:rsidP="004B1C6D">
      <w:pPr>
        <w:pStyle w:val="Heading2"/>
      </w:pPr>
      <w:bookmarkStart w:id="18" w:name="_Toc234844384"/>
      <w:r>
        <w:t>Carbon prices paid</w:t>
      </w:r>
      <w:bookmarkEnd w:id="18"/>
    </w:p>
    <w:p w14:paraId="19E4AA82" w14:textId="4185493C" w:rsidR="00AB258A" w:rsidRDefault="00455813" w:rsidP="00AB258A">
      <w:r>
        <w:rPr>
          <w:b/>
          <w:bCs/>
        </w:rPr>
        <w:t xml:space="preserve">The </w:t>
      </w:r>
      <w:r w:rsidR="005A05BF">
        <w:rPr>
          <w:b/>
          <w:bCs/>
        </w:rPr>
        <w:t xml:space="preserve">CBAM </w:t>
      </w:r>
      <w:r>
        <w:rPr>
          <w:b/>
          <w:bCs/>
        </w:rPr>
        <w:t xml:space="preserve">financial obligation </w:t>
      </w:r>
      <w:r w:rsidR="005A05BF">
        <w:rPr>
          <w:b/>
          <w:bCs/>
        </w:rPr>
        <w:t>will reflect prevailing prices</w:t>
      </w:r>
      <w:r w:rsidR="005256AF">
        <w:rPr>
          <w:b/>
          <w:bCs/>
        </w:rPr>
        <w:t xml:space="preserve"> of EU ETS allowances</w:t>
      </w:r>
      <w:r w:rsidR="005A05BF">
        <w:rPr>
          <w:b/>
          <w:bCs/>
        </w:rPr>
        <w:t xml:space="preserve">, and </w:t>
      </w:r>
      <w:r w:rsidR="009D2244">
        <w:rPr>
          <w:b/>
          <w:bCs/>
        </w:rPr>
        <w:t xml:space="preserve">deductions for </w:t>
      </w:r>
      <w:r w:rsidR="005A05BF">
        <w:rPr>
          <w:b/>
          <w:bCs/>
        </w:rPr>
        <w:t xml:space="preserve">carbon pricing </w:t>
      </w:r>
      <w:r w:rsidR="009D2244">
        <w:rPr>
          <w:b/>
          <w:bCs/>
        </w:rPr>
        <w:t xml:space="preserve">effectively paid </w:t>
      </w:r>
      <w:r w:rsidR="006D7710">
        <w:rPr>
          <w:b/>
          <w:bCs/>
        </w:rPr>
        <w:t xml:space="preserve">in a third country </w:t>
      </w:r>
      <w:r w:rsidR="009D2244">
        <w:rPr>
          <w:b/>
          <w:bCs/>
        </w:rPr>
        <w:t xml:space="preserve">will ensure </w:t>
      </w:r>
      <w:r w:rsidR="000E1E75">
        <w:rPr>
          <w:b/>
          <w:bCs/>
        </w:rPr>
        <w:t xml:space="preserve">CBAM </w:t>
      </w:r>
      <w:r w:rsidR="006D7710">
        <w:rPr>
          <w:b/>
          <w:bCs/>
        </w:rPr>
        <w:t xml:space="preserve">goods </w:t>
      </w:r>
      <w:r w:rsidR="000E1E75">
        <w:rPr>
          <w:b/>
          <w:bCs/>
        </w:rPr>
        <w:t xml:space="preserve"> sold on EU markets face a consistent price. </w:t>
      </w:r>
      <w:r w:rsidR="005A05BF" w:rsidRPr="00AB258A">
        <w:t>Importers must purchase CBAM certificates priced at the weekly average EU ETS allowance auction price, providing a direct and transparent link to the EU carbon market.</w:t>
      </w:r>
      <w:r w:rsidR="000E1E75">
        <w:t xml:space="preserve"> </w:t>
      </w:r>
      <w:r w:rsidR="009B5811">
        <w:t>However</w:t>
      </w:r>
      <w:r w:rsidR="00AB258A" w:rsidRPr="00AB258A">
        <w:t xml:space="preserve">, importers can claim a reduction in CBAM certificates if they demonstrate that a direct carbon price (an ETS or carbon tax) was effectively paid in </w:t>
      </w:r>
      <w:r w:rsidR="007A2776">
        <w:t xml:space="preserve">a third </w:t>
      </w:r>
      <w:r w:rsidR="00AB258A" w:rsidRPr="00AB258A">
        <w:t>country</w:t>
      </w:r>
      <w:r w:rsidR="000D4BE8">
        <w:t xml:space="preserve">, meaning </w:t>
      </w:r>
      <w:r w:rsidR="000F23D2">
        <w:t xml:space="preserve">monetary values paid </w:t>
      </w:r>
      <w:r w:rsidR="000D4BE8">
        <w:t>net</w:t>
      </w:r>
      <w:r w:rsidR="0098793C">
        <w:t xml:space="preserve"> of exemptions and rebates</w:t>
      </w:r>
      <w:r w:rsidR="00AB258A" w:rsidRPr="00AB258A">
        <w:t xml:space="preserve">. </w:t>
      </w:r>
      <w:r w:rsidR="00F26A89">
        <w:t xml:space="preserve">An importer </w:t>
      </w:r>
      <w:r w:rsidR="00CC195B">
        <w:t xml:space="preserve">claiming a </w:t>
      </w:r>
      <w:r w:rsidR="00CC195B">
        <w:lastRenderedPageBreak/>
        <w:t xml:space="preserve">reduction of </w:t>
      </w:r>
      <w:r w:rsidR="005206D9">
        <w:t xml:space="preserve">the CBAM financial obligation due to </w:t>
      </w:r>
      <w:r w:rsidR="00897F85">
        <w:t xml:space="preserve">a carbon price </w:t>
      </w:r>
      <w:r w:rsidR="00D70BFF">
        <w:t xml:space="preserve">demonstrated to have been </w:t>
      </w:r>
      <w:r w:rsidR="00897F85">
        <w:t xml:space="preserve">effectively paid in a third country needs to </w:t>
      </w:r>
      <w:r w:rsidR="007D452B">
        <w:t>hav</w:t>
      </w:r>
      <w:r w:rsidR="00BF54F9">
        <w:t xml:space="preserve">e </w:t>
      </w:r>
      <w:r w:rsidR="006C6CAE">
        <w:t>used</w:t>
      </w:r>
      <w:r w:rsidR="00BF54F9">
        <w:t xml:space="preserve"> actual emissions data as the basis for </w:t>
      </w:r>
      <w:r w:rsidR="006C6CAE">
        <w:t xml:space="preserve">the </w:t>
      </w:r>
      <w:r w:rsidR="00897F85">
        <w:t xml:space="preserve">declaration of embedded </w:t>
      </w:r>
      <w:r w:rsidR="007E4EC4">
        <w:t>emissions in the CBA</w:t>
      </w:r>
      <w:r w:rsidR="00607B9A">
        <w:t>M</w:t>
      </w:r>
      <w:r w:rsidR="007E4EC4">
        <w:t xml:space="preserve"> goods. </w:t>
      </w:r>
      <w:r w:rsidR="00AB258A" w:rsidRPr="00AB258A">
        <w:t xml:space="preserve">From 2027, the EU Commission will publish default carbon price values for </w:t>
      </w:r>
      <w:r w:rsidR="009E0124">
        <w:t xml:space="preserve">different </w:t>
      </w:r>
      <w:r w:rsidR="00AB258A" w:rsidRPr="00AB258A">
        <w:t>third countries to simplify this process, though when embedded emissions themselves are based on default values, only these default carbon prices may be used to claim a reduction.</w:t>
      </w:r>
      <w:r w:rsidR="00AD08BE">
        <w:t xml:space="preserve"> </w:t>
      </w:r>
    </w:p>
    <w:p w14:paraId="0F145D49" w14:textId="6EC4A661" w:rsidR="00EA0AC7" w:rsidRDefault="00A54C61" w:rsidP="0017441E">
      <w:r w:rsidRPr="002F3760">
        <w:rPr>
          <w:b/>
          <w:bCs/>
        </w:rPr>
        <w:t xml:space="preserve">A </w:t>
      </w:r>
      <w:r w:rsidR="00970363" w:rsidRPr="002F3760">
        <w:rPr>
          <w:b/>
          <w:bCs/>
        </w:rPr>
        <w:t xml:space="preserve">draft </w:t>
      </w:r>
      <w:r w:rsidR="00952D4C" w:rsidRPr="002F3760">
        <w:rPr>
          <w:b/>
          <w:bCs/>
        </w:rPr>
        <w:t>Commission I</w:t>
      </w:r>
      <w:r w:rsidR="00390421" w:rsidRPr="002F3760">
        <w:rPr>
          <w:b/>
          <w:bCs/>
        </w:rPr>
        <w:t xml:space="preserve">mplementing </w:t>
      </w:r>
      <w:r w:rsidR="00952D4C" w:rsidRPr="002F3760">
        <w:rPr>
          <w:b/>
          <w:bCs/>
        </w:rPr>
        <w:t>R</w:t>
      </w:r>
      <w:r w:rsidR="00390421" w:rsidRPr="002F3760">
        <w:rPr>
          <w:b/>
          <w:bCs/>
        </w:rPr>
        <w:t xml:space="preserve">egulation </w:t>
      </w:r>
      <w:r w:rsidRPr="002F3760">
        <w:rPr>
          <w:b/>
          <w:bCs/>
        </w:rPr>
        <w:t xml:space="preserve">was presented in May 2026 </w:t>
      </w:r>
      <w:r w:rsidR="00F86D0F" w:rsidRPr="002F3760">
        <w:rPr>
          <w:b/>
          <w:bCs/>
        </w:rPr>
        <w:t xml:space="preserve">with further details on </w:t>
      </w:r>
      <w:r w:rsidR="00465B29">
        <w:rPr>
          <w:b/>
          <w:bCs/>
        </w:rPr>
        <w:t>how</w:t>
      </w:r>
      <w:r w:rsidR="00465B29" w:rsidRPr="00AF226D">
        <w:rPr>
          <w:b/>
          <w:bCs/>
        </w:rPr>
        <w:t xml:space="preserve"> </w:t>
      </w:r>
      <w:r w:rsidR="00775506" w:rsidRPr="00AF226D">
        <w:rPr>
          <w:b/>
          <w:bCs/>
        </w:rPr>
        <w:t xml:space="preserve">an effectively paid carbon price in a third country </w:t>
      </w:r>
      <w:r w:rsidR="00AF226D" w:rsidRPr="00AF226D">
        <w:rPr>
          <w:b/>
          <w:bCs/>
        </w:rPr>
        <w:t>could be</w:t>
      </w:r>
      <w:r w:rsidR="00AF226D">
        <w:t xml:space="preserve"> </w:t>
      </w:r>
      <w:r w:rsidR="00AF226D">
        <w:rPr>
          <w:b/>
          <w:bCs/>
        </w:rPr>
        <w:t xml:space="preserve">deductible by an </w:t>
      </w:r>
      <w:r w:rsidR="00AF226D" w:rsidRPr="002F3760">
        <w:rPr>
          <w:b/>
          <w:bCs/>
        </w:rPr>
        <w:t xml:space="preserve">importer </w:t>
      </w:r>
      <w:r w:rsidR="00775506" w:rsidRPr="00AF226D">
        <w:rPr>
          <w:b/>
          <w:bCs/>
        </w:rPr>
        <w:t xml:space="preserve">from </w:t>
      </w:r>
      <w:r w:rsidR="00AF226D" w:rsidRPr="00AF226D">
        <w:rPr>
          <w:b/>
          <w:bCs/>
        </w:rPr>
        <w:t xml:space="preserve">its </w:t>
      </w:r>
      <w:r w:rsidR="00AD4BE0" w:rsidRPr="00AF226D">
        <w:rPr>
          <w:b/>
          <w:bCs/>
        </w:rPr>
        <w:t>CBA</w:t>
      </w:r>
      <w:r w:rsidR="00F5053A" w:rsidRPr="00AF226D">
        <w:rPr>
          <w:b/>
          <w:bCs/>
        </w:rPr>
        <w:t>M</w:t>
      </w:r>
      <w:r w:rsidR="00AD4BE0" w:rsidRPr="00AF226D">
        <w:rPr>
          <w:b/>
          <w:bCs/>
        </w:rPr>
        <w:t xml:space="preserve"> finan</w:t>
      </w:r>
      <w:r w:rsidR="00F5053A" w:rsidRPr="00AF226D">
        <w:rPr>
          <w:b/>
          <w:bCs/>
        </w:rPr>
        <w:t>c</w:t>
      </w:r>
      <w:r w:rsidR="00AD4BE0" w:rsidRPr="00AF226D">
        <w:rPr>
          <w:b/>
          <w:bCs/>
        </w:rPr>
        <w:t>ial obligation</w:t>
      </w:r>
      <w:r w:rsidR="00E228C5" w:rsidRPr="00AF226D">
        <w:rPr>
          <w:b/>
          <w:bCs/>
        </w:rPr>
        <w:t>.</w:t>
      </w:r>
      <w:r w:rsidR="00AD4BE0">
        <w:rPr>
          <w:rStyle w:val="FootnoteReference"/>
        </w:rPr>
        <w:footnoteReference w:id="10"/>
      </w:r>
      <w:r w:rsidR="00F5053A">
        <w:t xml:space="preserve"> </w:t>
      </w:r>
      <w:r w:rsidR="00BE1500">
        <w:t>T</w:t>
      </w:r>
      <w:commentRangeStart w:id="19"/>
      <w:r w:rsidR="008738D4">
        <w:t xml:space="preserve">he EU Commission </w:t>
      </w:r>
      <w:r w:rsidR="00BE1500">
        <w:t xml:space="preserve">was empowered by the CBAM legislation </w:t>
      </w:r>
      <w:r w:rsidR="008738D4">
        <w:t>to</w:t>
      </w:r>
      <w:commentRangeEnd w:id="19"/>
      <w:r w:rsidR="00EC5C69">
        <w:rPr>
          <w:rStyle w:val="CommentReference"/>
          <w:sz w:val="22"/>
          <w:szCs w:val="22"/>
        </w:rPr>
        <w:commentReference w:id="19"/>
      </w:r>
      <w:r w:rsidR="008738D4">
        <w:t xml:space="preserve">, </w:t>
      </w:r>
      <w:r w:rsidR="00EA0AC7" w:rsidRPr="00EA0AC7">
        <w:t>after consultation with EU Member States</w:t>
      </w:r>
      <w:r w:rsidR="008738D4">
        <w:t xml:space="preserve">, set </w:t>
      </w:r>
      <w:r w:rsidR="00EA0AC7" w:rsidRPr="00EA0AC7">
        <w:t xml:space="preserve">technical and administrative rules to ensure consistent application of </w:t>
      </w:r>
      <w:r w:rsidR="008738D4">
        <w:t xml:space="preserve">the </w:t>
      </w:r>
      <w:r w:rsidR="00C459D2">
        <w:t xml:space="preserve">relevant </w:t>
      </w:r>
      <w:r w:rsidR="008738D4">
        <w:t xml:space="preserve">carbon pricing </w:t>
      </w:r>
      <w:r w:rsidR="00F50750">
        <w:t>rules</w:t>
      </w:r>
      <w:r w:rsidR="00C459D2">
        <w:t xml:space="preserve">. </w:t>
      </w:r>
      <w:r w:rsidR="00E5365C">
        <w:t>Note that the rules have yet to be finalized as of this report; t</w:t>
      </w:r>
      <w:r w:rsidR="00F46F4F">
        <w:t xml:space="preserve">he </w:t>
      </w:r>
      <w:r w:rsidR="000D1544">
        <w:t xml:space="preserve">public consultation resulted in </w:t>
      </w:r>
      <w:r w:rsidR="006F6FC9">
        <w:t xml:space="preserve">close to 200 comments from various stakeholders and </w:t>
      </w:r>
      <w:r w:rsidR="00AC58D8">
        <w:t xml:space="preserve">the draft </w:t>
      </w:r>
      <w:r w:rsidR="00A01A36">
        <w:t xml:space="preserve">will be </w:t>
      </w:r>
      <w:r w:rsidR="004E34E5">
        <w:t>discussed</w:t>
      </w:r>
      <w:r w:rsidR="00BD0DD1">
        <w:t xml:space="preserve"> </w:t>
      </w:r>
      <w:r w:rsidR="004D00FD">
        <w:t xml:space="preserve">through </w:t>
      </w:r>
      <w:r w:rsidR="00413001">
        <w:t>the summer of 2026</w:t>
      </w:r>
      <w:r w:rsidR="004D00FD">
        <w:t xml:space="preserve"> with the aim of finalizing the regulation in the fall</w:t>
      </w:r>
      <w:r w:rsidR="00413001">
        <w:t xml:space="preserve">. </w:t>
      </w:r>
    </w:p>
    <w:p w14:paraId="6F810644" w14:textId="43DA5683" w:rsidR="00553F91" w:rsidRDefault="00553F91" w:rsidP="0017441E">
      <w:r w:rsidRPr="008C57D5">
        <w:rPr>
          <w:b/>
          <w:bCs/>
        </w:rPr>
        <w:t>Importers that declare their actual emissions will be able to choose between providing evidence of actual payment of a carbon price and an alternative approach.</w:t>
      </w:r>
      <w:r>
        <w:rPr>
          <w:rStyle w:val="FootnoteReference"/>
        </w:rPr>
        <w:footnoteReference w:id="11"/>
      </w:r>
      <w:r>
        <w:t xml:space="preserve"> The alternative approach, intended to ease the administrative burden, will enable the importer to apply a yearly default embedded carbon price for the relevant third country. Importers relying on default emission intensities can only use this alternative approach. From 2027, the EU Commission will develop and publish default carbon prices for third countries with applicable policies, based on the best available data.</w:t>
      </w:r>
    </w:p>
    <w:p w14:paraId="7FC0AD29" w14:textId="3DF34D8F" w:rsidR="00CF3A2C" w:rsidRDefault="007C7E09" w:rsidP="00C065CA">
      <w:r w:rsidRPr="004D00FD">
        <w:rPr>
          <w:b/>
          <w:bCs/>
        </w:rPr>
        <w:t>T</w:t>
      </w:r>
      <w:r w:rsidR="00D15A22" w:rsidRPr="004D00FD">
        <w:rPr>
          <w:b/>
          <w:bCs/>
        </w:rPr>
        <w:t>he draft</w:t>
      </w:r>
      <w:r w:rsidRPr="004D00FD">
        <w:rPr>
          <w:b/>
          <w:bCs/>
        </w:rPr>
        <w:t xml:space="preserve"> </w:t>
      </w:r>
      <w:r w:rsidR="00B340AC">
        <w:rPr>
          <w:b/>
          <w:bCs/>
        </w:rPr>
        <w:t xml:space="preserve">regulation </w:t>
      </w:r>
      <w:r w:rsidRPr="004D00FD">
        <w:rPr>
          <w:b/>
          <w:bCs/>
        </w:rPr>
        <w:t>confirms that only</w:t>
      </w:r>
      <w:r w:rsidR="000D48F5" w:rsidRPr="004D00FD">
        <w:rPr>
          <w:b/>
          <w:bCs/>
        </w:rPr>
        <w:t xml:space="preserve"> </w:t>
      </w:r>
      <w:r w:rsidR="004B0D9E" w:rsidRPr="004D00FD">
        <w:rPr>
          <w:b/>
          <w:bCs/>
        </w:rPr>
        <w:t xml:space="preserve">payments made under </w:t>
      </w:r>
      <w:r w:rsidR="000D48F5" w:rsidRPr="004D00FD">
        <w:rPr>
          <w:b/>
          <w:bCs/>
        </w:rPr>
        <w:t>direct</w:t>
      </w:r>
      <w:r w:rsidR="003E0A1B" w:rsidRPr="004D00FD">
        <w:rPr>
          <w:b/>
          <w:bCs/>
        </w:rPr>
        <w:t xml:space="preserve"> (explicit) car</w:t>
      </w:r>
      <w:r w:rsidR="00D15A22" w:rsidRPr="004D00FD">
        <w:rPr>
          <w:b/>
          <w:bCs/>
        </w:rPr>
        <w:t xml:space="preserve">bon pricing mechanisms </w:t>
      </w:r>
      <w:r w:rsidR="003E0A1B" w:rsidRPr="004D00FD">
        <w:rPr>
          <w:b/>
          <w:bCs/>
        </w:rPr>
        <w:t xml:space="preserve">are </w:t>
      </w:r>
      <w:r w:rsidR="00103A55" w:rsidRPr="004D00FD">
        <w:rPr>
          <w:b/>
          <w:bCs/>
        </w:rPr>
        <w:t>deductible</w:t>
      </w:r>
      <w:r w:rsidR="003A7158">
        <w:t xml:space="preserve"> and </w:t>
      </w:r>
      <w:r w:rsidR="001A6753">
        <w:t>lays down m</w:t>
      </w:r>
      <w:r w:rsidR="00D15A22" w:rsidRPr="00D15A22">
        <w:t xml:space="preserve">ethodology and procedure to verify what emissions are covered by </w:t>
      </w:r>
      <w:r w:rsidR="001A6753">
        <w:t xml:space="preserve">the </w:t>
      </w:r>
      <w:r w:rsidR="00D15A22" w:rsidRPr="00D15A22">
        <w:t>pricing and evidence of payment</w:t>
      </w:r>
      <w:r w:rsidR="001A6753">
        <w:t xml:space="preserve">. </w:t>
      </w:r>
      <w:r w:rsidR="001F3DC9">
        <w:t xml:space="preserve">Direct </w:t>
      </w:r>
      <w:r w:rsidR="006865A0">
        <w:t xml:space="preserve">carbon pricing </w:t>
      </w:r>
      <w:r w:rsidR="00981696">
        <w:t xml:space="preserve">can be in the form of an upstream carbon fuel excise tax, a downstream </w:t>
      </w:r>
      <w:r w:rsidR="004619AB">
        <w:t>tax at installation level (</w:t>
      </w:r>
      <w:r w:rsidR="00316BEB">
        <w:t>a point source carbon tax)</w:t>
      </w:r>
      <w:r w:rsidR="00D729C9">
        <w:t xml:space="preserve"> </w:t>
      </w:r>
      <w:r w:rsidR="00280351">
        <w:t xml:space="preserve">or </w:t>
      </w:r>
      <w:r w:rsidR="00CB4FEF">
        <w:t>a</w:t>
      </w:r>
      <w:r w:rsidR="002D233A">
        <w:t>n</w:t>
      </w:r>
      <w:r w:rsidR="00CB4FEF">
        <w:t xml:space="preserve"> emissions trading scheme. </w:t>
      </w:r>
      <w:r w:rsidR="00D75418">
        <w:t>Payments for v</w:t>
      </w:r>
      <w:r w:rsidR="00480CFA">
        <w:t xml:space="preserve">oluntary carbon credits </w:t>
      </w:r>
      <w:r w:rsidR="001677C7">
        <w:t xml:space="preserve">as part of compliance </w:t>
      </w:r>
      <w:r w:rsidR="00C90FED">
        <w:t xml:space="preserve">with </w:t>
      </w:r>
      <w:r w:rsidR="00E13AAB">
        <w:t>a domestic carbon pricing scheme</w:t>
      </w:r>
      <w:r w:rsidR="001677C7">
        <w:t xml:space="preserve"> can b</w:t>
      </w:r>
      <w:r w:rsidR="00EF6DE0">
        <w:t>e recognized under certain conditions</w:t>
      </w:r>
      <w:r w:rsidR="00E13AAB">
        <w:t>.</w:t>
      </w:r>
      <w:r w:rsidR="005F1606">
        <w:t xml:space="preserve"> </w:t>
      </w:r>
      <w:r w:rsidR="00B6195D">
        <w:t>Charges restricted to e</w:t>
      </w:r>
      <w:r w:rsidR="005F1606">
        <w:t>xport</w:t>
      </w:r>
      <w:r w:rsidR="00B6195D">
        <w:t xml:space="preserve">s </w:t>
      </w:r>
      <w:r w:rsidR="005F1606">
        <w:t>are excluded.</w:t>
      </w:r>
      <w:r w:rsidR="00E13AAB">
        <w:t xml:space="preserve"> </w:t>
      </w:r>
      <w:r w:rsidR="00CB4FEF">
        <w:t>Sp</w:t>
      </w:r>
      <w:r w:rsidR="003B5513">
        <w:t xml:space="preserve">ecial attention is given to how </w:t>
      </w:r>
      <w:r w:rsidR="00D15A22" w:rsidRPr="00D15A22">
        <w:t xml:space="preserve">different subsidies </w:t>
      </w:r>
      <w:r w:rsidR="00127F42">
        <w:t>w</w:t>
      </w:r>
      <w:r w:rsidR="00D65711">
        <w:t xml:space="preserve">ould </w:t>
      </w:r>
      <w:r w:rsidR="00D15A22" w:rsidRPr="00D15A22">
        <w:t xml:space="preserve">affect the </w:t>
      </w:r>
      <w:r w:rsidR="00103A55" w:rsidRPr="00D15A22">
        <w:t>deductible</w:t>
      </w:r>
      <w:r w:rsidR="00D15A22" w:rsidRPr="00D15A22">
        <w:t xml:space="preserve"> price</w:t>
      </w:r>
      <w:r w:rsidR="00A55A8D">
        <w:t xml:space="preserve"> and restrictions are </w:t>
      </w:r>
      <w:r w:rsidR="0028762E">
        <w:t xml:space="preserve">given on </w:t>
      </w:r>
      <w:r w:rsidR="00610053">
        <w:t xml:space="preserve">eligible subsidies </w:t>
      </w:r>
      <w:r w:rsidR="000A494A">
        <w:t>to</w:t>
      </w:r>
      <w:r w:rsidR="00610053">
        <w:t xml:space="preserve"> ensure that </w:t>
      </w:r>
      <w:r w:rsidR="00DB69B9">
        <w:t xml:space="preserve">only effectively paid carbon prices are accounted for. </w:t>
      </w:r>
      <w:r w:rsidR="008161CD">
        <w:t>Due to the ongoing discussions in the EU, t</w:t>
      </w:r>
      <w:r w:rsidR="00694252">
        <w:t xml:space="preserve">he </w:t>
      </w:r>
      <w:r w:rsidR="00E30D15">
        <w:t>e</w:t>
      </w:r>
      <w:r w:rsidR="00B95A40">
        <w:t>xact details o</w:t>
      </w:r>
      <w:r w:rsidR="00694252">
        <w:t xml:space="preserve">f the </w:t>
      </w:r>
      <w:r w:rsidR="00A428ED">
        <w:t xml:space="preserve">provisions </w:t>
      </w:r>
      <w:r w:rsidR="00B95A40">
        <w:t xml:space="preserve">are at this stage not </w:t>
      </w:r>
      <w:r w:rsidR="00E73A4F">
        <w:t xml:space="preserve">yet </w:t>
      </w:r>
      <w:r w:rsidR="00B95A40">
        <w:t>fully clear</w:t>
      </w:r>
      <w:r w:rsidR="00E73A4F">
        <w:t xml:space="preserve">, which means that </w:t>
      </w:r>
      <w:r w:rsidR="00AB1A22">
        <w:t xml:space="preserve">subsidies </w:t>
      </w:r>
      <w:r w:rsidR="001E360F">
        <w:t xml:space="preserve">to </w:t>
      </w:r>
      <w:r w:rsidR="00107A96">
        <w:t xml:space="preserve">producers </w:t>
      </w:r>
      <w:r w:rsidR="0074539F">
        <w:t>of CBAM goods need</w:t>
      </w:r>
      <w:r w:rsidR="00023F34">
        <w:t xml:space="preserve"> to be designed care</w:t>
      </w:r>
      <w:r w:rsidR="007C654E">
        <w:t xml:space="preserve">fully. </w:t>
      </w:r>
      <w:r w:rsidR="00CF085F">
        <w:t>Key i</w:t>
      </w:r>
      <w:r w:rsidR="00BF7E38">
        <w:t>m</w:t>
      </w:r>
      <w:r w:rsidR="00631B03">
        <w:t xml:space="preserve">plications from the draft rules are further discussed in Section </w:t>
      </w:r>
      <w:r w:rsidR="00631B03">
        <w:fldChar w:fldCharType="begin"/>
      </w:r>
      <w:r w:rsidR="00631B03">
        <w:instrText xml:space="preserve"> REF _Ref234856906 \r \h </w:instrText>
      </w:r>
      <w:r w:rsidR="00631B03">
        <w:fldChar w:fldCharType="separate"/>
      </w:r>
      <w:r w:rsidR="00631B03">
        <w:t>4.1</w:t>
      </w:r>
      <w:r w:rsidR="00631B03">
        <w:fldChar w:fldCharType="end"/>
      </w:r>
      <w:r w:rsidR="00631B03">
        <w:t>.</w:t>
      </w:r>
    </w:p>
    <w:p w14:paraId="05C41102" w14:textId="603B9E5F" w:rsidR="008478D9" w:rsidRPr="00815ECA" w:rsidRDefault="00851865" w:rsidP="00815ECA">
      <w:pPr>
        <w:pStyle w:val="Heading1"/>
        <w:rPr>
          <w:b w:val="0"/>
          <w:sz w:val="22"/>
          <w:szCs w:val="22"/>
        </w:rPr>
      </w:pPr>
      <w:bookmarkStart w:id="20" w:name="_Toc234844385"/>
      <w:commentRangeStart w:id="21"/>
      <w:r>
        <w:lastRenderedPageBreak/>
        <w:t xml:space="preserve">Potential implications </w:t>
      </w:r>
      <w:r w:rsidR="008478D9">
        <w:t xml:space="preserve">of the EU CBAM </w:t>
      </w:r>
      <w:r>
        <w:t xml:space="preserve">for </w:t>
      </w:r>
      <w:r w:rsidR="008478D9">
        <w:t>Egypt</w:t>
      </w:r>
      <w:bookmarkEnd w:id="20"/>
      <w:r w:rsidR="008478D9">
        <w:t xml:space="preserve"> </w:t>
      </w:r>
      <w:commentRangeEnd w:id="21"/>
      <w:r w:rsidR="00C41B80" w:rsidRPr="00815ECA">
        <w:rPr>
          <w:rStyle w:val="CommentReference"/>
          <w:b w:val="0"/>
          <w:sz w:val="22"/>
          <w:szCs w:val="22"/>
        </w:rPr>
        <w:commentReference w:id="21"/>
      </w:r>
    </w:p>
    <w:p w14:paraId="7CEA1C8A" w14:textId="0F01FF80" w:rsidR="000E0700" w:rsidRPr="00ED3A93" w:rsidRDefault="000E0700" w:rsidP="00815ECA">
      <w:pPr>
        <w:pStyle w:val="Heading2"/>
      </w:pPr>
      <w:bookmarkStart w:id="22" w:name="_Toc234844386"/>
      <w:r w:rsidRPr="00ED3A93">
        <w:t xml:space="preserve">Egypt’s </w:t>
      </w:r>
      <w:r w:rsidR="00916478">
        <w:t xml:space="preserve">sectoral </w:t>
      </w:r>
      <w:r w:rsidR="00052918" w:rsidRPr="00ED3A93">
        <w:t>e</w:t>
      </w:r>
      <w:r w:rsidRPr="00ED3A93">
        <w:t xml:space="preserve">xposure to </w:t>
      </w:r>
      <w:r w:rsidR="00821414">
        <w:t>the EU CBAM</w:t>
      </w:r>
      <w:bookmarkEnd w:id="22"/>
    </w:p>
    <w:p w14:paraId="2C7FF293" w14:textId="261D354E" w:rsidR="00D76EAE" w:rsidRPr="006B203B" w:rsidRDefault="008E581A" w:rsidP="006B203B">
      <w:r w:rsidRPr="71592105">
        <w:rPr>
          <w:b/>
          <w:bCs/>
        </w:rPr>
        <w:t xml:space="preserve">The </w:t>
      </w:r>
      <w:r w:rsidR="000D16E8" w:rsidRPr="71592105">
        <w:rPr>
          <w:b/>
          <w:bCs/>
        </w:rPr>
        <w:t xml:space="preserve">exposure to </w:t>
      </w:r>
      <w:r w:rsidR="002F3D69">
        <w:rPr>
          <w:b/>
          <w:bCs/>
        </w:rPr>
        <w:t xml:space="preserve">the </w:t>
      </w:r>
      <w:r w:rsidR="000D16E8" w:rsidRPr="71592105">
        <w:rPr>
          <w:b/>
          <w:bCs/>
        </w:rPr>
        <w:t>EU</w:t>
      </w:r>
      <w:r w:rsidR="002F3D69">
        <w:rPr>
          <w:b/>
          <w:bCs/>
        </w:rPr>
        <w:t>’s</w:t>
      </w:r>
      <w:r w:rsidR="000D16E8" w:rsidRPr="71592105">
        <w:rPr>
          <w:b/>
          <w:bCs/>
        </w:rPr>
        <w:t xml:space="preserve"> CBAM of Egyptian exporters in affected sectors</w:t>
      </w:r>
      <w:r w:rsidRPr="71592105">
        <w:rPr>
          <w:b/>
          <w:bCs/>
        </w:rPr>
        <w:t xml:space="preserve"> will hinge on two </w:t>
      </w:r>
      <w:r w:rsidR="00177807" w:rsidRPr="71592105">
        <w:rPr>
          <w:b/>
          <w:bCs/>
        </w:rPr>
        <w:t xml:space="preserve">main </w:t>
      </w:r>
      <w:r w:rsidRPr="71592105">
        <w:rPr>
          <w:b/>
          <w:bCs/>
        </w:rPr>
        <w:t>factors</w:t>
      </w:r>
      <w:r>
        <w:t>. First, the higher the CO</w:t>
      </w:r>
      <w:r w:rsidRPr="71592105">
        <w:rPr>
          <w:vertAlign w:val="subscript"/>
        </w:rPr>
        <w:t>2</w:t>
      </w:r>
      <w:r>
        <w:t xml:space="preserve"> emissions intensity of exporting firms in a sector compared to the average EU firm in that sector, the greater the impact on the exporting firms as they will </w:t>
      </w:r>
      <w:r w:rsidR="00271C7D">
        <w:t>face</w:t>
      </w:r>
      <w:r>
        <w:t xml:space="preserve"> higher carbon payments. </w:t>
      </w:r>
      <w:r w:rsidR="00B55693" w:rsidRPr="71592105">
        <w:rPr>
          <w:rStyle w:val="eop"/>
          <w:rFonts w:cs="Segoe UI"/>
          <w:color w:val="000000" w:themeColor="text1"/>
        </w:rPr>
        <w:t xml:space="preserve">The </w:t>
      </w:r>
      <w:r w:rsidR="002E587A">
        <w:rPr>
          <w:rStyle w:val="eop"/>
          <w:rFonts w:cs="Segoe UI"/>
          <w:color w:val="000000" w:themeColor="text1"/>
        </w:rPr>
        <w:t>carbon payment per dollar of o</w:t>
      </w:r>
      <w:r w:rsidR="00791004">
        <w:rPr>
          <w:rStyle w:val="eop"/>
          <w:rFonts w:cs="Segoe UI"/>
          <w:color w:val="000000" w:themeColor="text1"/>
        </w:rPr>
        <w:t xml:space="preserve">utput, known as the carbon cost intensity, </w:t>
      </w:r>
      <w:r w:rsidR="003B3CBC">
        <w:rPr>
          <w:rStyle w:val="eop"/>
          <w:rFonts w:cs="Segoe UI"/>
          <w:color w:val="000000" w:themeColor="text1"/>
        </w:rPr>
        <w:t xml:space="preserve">is determined by multiplying the </w:t>
      </w:r>
      <w:r w:rsidR="00B55693" w:rsidRPr="71592105">
        <w:rPr>
          <w:rStyle w:val="eop"/>
          <w:rFonts w:cs="Segoe UI"/>
          <w:color w:val="000000" w:themeColor="text1"/>
        </w:rPr>
        <w:t xml:space="preserve">price </w:t>
      </w:r>
      <w:r w:rsidR="00EC0726">
        <w:rPr>
          <w:rStyle w:val="eop"/>
          <w:rFonts w:cs="Segoe UI"/>
          <w:color w:val="000000" w:themeColor="text1"/>
        </w:rPr>
        <w:t>by the emission intensity</w:t>
      </w:r>
      <w:r w:rsidR="004D2D69" w:rsidRPr="71592105">
        <w:rPr>
          <w:rFonts w:cs="Segoe UI"/>
        </w:rPr>
        <w:t>.</w:t>
      </w:r>
      <w:r w:rsidR="00B9630A" w:rsidRPr="71592105">
        <w:rPr>
          <w:rFonts w:cs="Segoe UI"/>
        </w:rPr>
        <w:t xml:space="preserve"> </w:t>
      </w:r>
      <w:r w:rsidR="00202204">
        <w:rPr>
          <w:rFonts w:cs="Segoe UI"/>
        </w:rPr>
        <w:t>The d</w:t>
      </w:r>
      <w:r w:rsidR="001133F5">
        <w:t>ifference in carbon cost intensities</w:t>
      </w:r>
      <w:r w:rsidR="00FC013D">
        <w:t xml:space="preserve"> between the firm</w:t>
      </w:r>
      <w:r w:rsidR="001133F5">
        <w:t xml:space="preserve"> </w:t>
      </w:r>
      <w:r w:rsidR="00BE6B56">
        <w:t xml:space="preserve">with respect to </w:t>
      </w:r>
      <w:r w:rsidR="001133F5">
        <w:t xml:space="preserve">the EU average producer is referred to as relative carbon cost intensity. </w:t>
      </w:r>
      <w:r w:rsidR="00A66BD3">
        <w:t xml:space="preserve"> </w:t>
      </w:r>
      <w:r>
        <w:t xml:space="preserve">Second, a greater level of concentration of </w:t>
      </w:r>
      <w:r w:rsidR="009B78A5">
        <w:t>a firm’s exports</w:t>
      </w:r>
      <w:r>
        <w:t xml:space="preserve"> towards the EU </w:t>
      </w:r>
      <w:r w:rsidR="00A84E41">
        <w:t xml:space="preserve">relative to the rest of the world </w:t>
      </w:r>
      <w:r>
        <w:t xml:space="preserve">will amplify the impact on the exporter. Consequently, </w:t>
      </w:r>
      <w:r w:rsidR="001F26C0">
        <w:t xml:space="preserve">a </w:t>
      </w:r>
      <w:r>
        <w:t>sector</w:t>
      </w:r>
      <w:r w:rsidR="001F26C0">
        <w:t>’s</w:t>
      </w:r>
      <w:r>
        <w:t xml:space="preserve"> exposure </w:t>
      </w:r>
      <w:r w:rsidR="001F26C0">
        <w:t xml:space="preserve">to </w:t>
      </w:r>
      <w:r>
        <w:t xml:space="preserve">CBAM is dictated not only by the relative emission intensity of the firms in that sector but also by their export orientation. </w:t>
      </w:r>
      <w:r w:rsidR="007F7AC5">
        <w:t>However,</w:t>
      </w:r>
      <w:r>
        <w:t xml:space="preserve"> i</w:t>
      </w:r>
      <w:r w:rsidR="00AB180C">
        <w:t>f</w:t>
      </w:r>
      <w:r>
        <w:t xml:space="preserve"> </w:t>
      </w:r>
      <w:r w:rsidR="007F7AC5">
        <w:t>Egypt</w:t>
      </w:r>
      <w:r>
        <w:t xml:space="preserve"> establishe</w:t>
      </w:r>
      <w:r w:rsidR="007F7AC5">
        <w:t>s</w:t>
      </w:r>
      <w:r>
        <w:t xml:space="preserve"> a </w:t>
      </w:r>
      <w:r w:rsidR="00FB0F24">
        <w:t>direct</w:t>
      </w:r>
      <w:r>
        <w:t xml:space="preserve"> carbon pricing scheme</w:t>
      </w:r>
      <w:r w:rsidR="00561FF9">
        <w:t xml:space="preserve"> resulting in an effectively paid carbon price</w:t>
      </w:r>
      <w:r>
        <w:t xml:space="preserve">, </w:t>
      </w:r>
      <w:r w:rsidR="00807FE2">
        <w:t>EU im</w:t>
      </w:r>
      <w:r>
        <w:t>porter</w:t>
      </w:r>
      <w:r w:rsidR="007F7AC5">
        <w:t>s</w:t>
      </w:r>
      <w:r>
        <w:t xml:space="preserve"> </w:t>
      </w:r>
      <w:r w:rsidR="007D500B">
        <w:t>will</w:t>
      </w:r>
      <w:r>
        <w:t xml:space="preserve"> receive credits </w:t>
      </w:r>
      <w:r w:rsidR="00621179">
        <w:t xml:space="preserve">from the EU </w:t>
      </w:r>
      <w:r>
        <w:t xml:space="preserve">for </w:t>
      </w:r>
      <w:r w:rsidR="00B85C24">
        <w:t>those</w:t>
      </w:r>
      <w:r>
        <w:t xml:space="preserve"> carbon payments </w:t>
      </w:r>
      <w:r w:rsidR="002C4AA1">
        <w:t xml:space="preserve">that exporters </w:t>
      </w:r>
      <w:r w:rsidR="00B85C24">
        <w:t xml:space="preserve">made in Egypt </w:t>
      </w:r>
      <w:r>
        <w:t xml:space="preserve">and would only need to cover the difference if the CBAM payments exceed the </w:t>
      </w:r>
      <w:r w:rsidR="002C4AA1">
        <w:t>payments made in Egypt</w:t>
      </w:r>
      <w:r>
        <w:t xml:space="preserve">.  </w:t>
      </w:r>
    </w:p>
    <w:p w14:paraId="1F614B0C" w14:textId="1ECF2872" w:rsidR="005F0EE1" w:rsidRDefault="00082DFE" w:rsidP="005F0EE1">
      <w:pPr>
        <w:spacing w:line="240" w:lineRule="auto"/>
      </w:pPr>
      <w:commentRangeStart w:id="23"/>
      <w:r w:rsidRPr="11357084">
        <w:rPr>
          <w:b/>
          <w:bCs/>
        </w:rPr>
        <w:t xml:space="preserve">We assess the </w:t>
      </w:r>
      <w:r w:rsidR="006E6FD4" w:rsidRPr="11357084">
        <w:rPr>
          <w:b/>
          <w:bCs/>
        </w:rPr>
        <w:t xml:space="preserve">exposure of </w:t>
      </w:r>
      <w:r w:rsidRPr="11357084">
        <w:rPr>
          <w:b/>
          <w:bCs/>
        </w:rPr>
        <w:t>Egyptian affected sector</w:t>
      </w:r>
      <w:r w:rsidR="00D87C7F" w:rsidRPr="11357084">
        <w:rPr>
          <w:b/>
          <w:bCs/>
        </w:rPr>
        <w:t>s</w:t>
      </w:r>
      <w:r w:rsidRPr="11357084">
        <w:rPr>
          <w:b/>
          <w:bCs/>
        </w:rPr>
        <w:t xml:space="preserve"> using the CBAM </w:t>
      </w:r>
      <w:r w:rsidR="002A18A6" w:rsidRPr="11357084">
        <w:rPr>
          <w:b/>
          <w:bCs/>
        </w:rPr>
        <w:t xml:space="preserve">trade </w:t>
      </w:r>
      <w:r w:rsidRPr="11357084">
        <w:rPr>
          <w:b/>
          <w:bCs/>
        </w:rPr>
        <w:t>exposure index</w:t>
      </w:r>
      <w:r w:rsidR="00344AD0">
        <w:rPr>
          <w:b/>
          <w:bCs/>
        </w:rPr>
        <w:t xml:space="preserve"> (TEI)</w:t>
      </w:r>
      <w:r w:rsidR="00AD5FA6">
        <w:rPr>
          <w:b/>
          <w:bCs/>
        </w:rPr>
        <w:t>, which measure</w:t>
      </w:r>
      <w:r w:rsidR="003C1EBA">
        <w:rPr>
          <w:b/>
          <w:bCs/>
        </w:rPr>
        <w:t>s a combination of trade dependence and relative emission intensity</w:t>
      </w:r>
      <w:r w:rsidRPr="11357084">
        <w:t>.</w:t>
      </w:r>
      <w:r w:rsidR="00F60F16" w:rsidRPr="11357084">
        <w:rPr>
          <w:rStyle w:val="FootnoteReference"/>
        </w:rPr>
        <w:footnoteReference w:id="12"/>
      </w:r>
      <w:r w:rsidRPr="11357084">
        <w:t xml:space="preserve"> </w:t>
      </w:r>
      <w:commentRangeEnd w:id="23"/>
      <w:r w:rsidR="00495D87" w:rsidRPr="11357084">
        <w:rPr>
          <w:rStyle w:val="CommentReference"/>
          <w:sz w:val="22"/>
          <w:szCs w:val="22"/>
        </w:rPr>
        <w:commentReference w:id="23"/>
      </w:r>
      <w:r w:rsidR="00344AD0" w:rsidRPr="11357084">
        <w:t xml:space="preserve">A high positive </w:t>
      </w:r>
      <w:r w:rsidR="00344AD0">
        <w:t xml:space="preserve">TEI </w:t>
      </w:r>
      <w:r w:rsidR="00344AD0" w:rsidRPr="11357084">
        <w:t>indicates that the affected sector in Egypt is likely to lose competitiveness in the EU market due to its higher carbon payments</w:t>
      </w:r>
      <w:r w:rsidR="006D1B90">
        <w:t>, and that</w:t>
      </w:r>
      <w:r w:rsidR="002879E9">
        <w:t xml:space="preserve"> a large share of its export market is at risk</w:t>
      </w:r>
      <w:r w:rsidR="00344AD0" w:rsidRPr="11357084">
        <w:t>. Conversely, a negative index suggests that the Egyptian sector may gain competitiveness in the EU, as its carbon payments are lower than the EU average.</w:t>
      </w:r>
      <w:r w:rsidR="008035E4">
        <w:t xml:space="preserve"> Sectors that are</w:t>
      </w:r>
      <w:r w:rsidR="00B73C91">
        <w:t xml:space="preserve"> less dependent on trade with the EU will have a smaller exposure number, positive or negative.</w:t>
      </w:r>
    </w:p>
    <w:p w14:paraId="1EDDD7BD" w14:textId="47A851BC" w:rsidR="00254E3B" w:rsidRPr="00254E3B" w:rsidRDefault="00254E3B" w:rsidP="005F0EE1">
      <w:pPr>
        <w:spacing w:line="240" w:lineRule="auto"/>
        <w:rPr>
          <w:rFonts w:cs="Segoe UI"/>
        </w:rPr>
      </w:pPr>
      <w:r>
        <w:rPr>
          <w:rFonts w:cs="Segoe UI"/>
          <w:b/>
          <w:bCs/>
        </w:rPr>
        <w:t>T</w:t>
      </w:r>
      <w:r w:rsidRPr="00313CA5">
        <w:rPr>
          <w:rFonts w:cs="Segoe UI"/>
          <w:b/>
          <w:bCs/>
        </w:rPr>
        <w:t xml:space="preserve">he current approach to </w:t>
      </w:r>
      <w:r>
        <w:rPr>
          <w:rFonts w:cs="Segoe UI"/>
          <w:b/>
          <w:bCs/>
        </w:rPr>
        <w:t xml:space="preserve">calculating </w:t>
      </w:r>
      <w:r w:rsidRPr="00313CA5">
        <w:rPr>
          <w:rFonts w:cs="Segoe UI"/>
          <w:b/>
          <w:bCs/>
        </w:rPr>
        <w:t xml:space="preserve">the TEI adopts now-available mass-based emissions intensity </w:t>
      </w:r>
      <w:r>
        <w:rPr>
          <w:rFonts w:cs="Segoe UI"/>
          <w:b/>
          <w:bCs/>
        </w:rPr>
        <w:t xml:space="preserve">and trade </w:t>
      </w:r>
      <w:r w:rsidRPr="00313CA5">
        <w:rPr>
          <w:rFonts w:cs="Segoe UI"/>
          <w:b/>
          <w:bCs/>
        </w:rPr>
        <w:t xml:space="preserve">data </w:t>
      </w:r>
      <w:r>
        <w:rPr>
          <w:rFonts w:cs="Segoe UI"/>
          <w:b/>
          <w:bCs/>
        </w:rPr>
        <w:t xml:space="preserve">that are </w:t>
      </w:r>
      <w:r w:rsidRPr="00313CA5">
        <w:rPr>
          <w:rFonts w:cs="Segoe UI"/>
          <w:b/>
          <w:bCs/>
        </w:rPr>
        <w:t>closely aligned with the CBAM policy</w:t>
      </w:r>
      <w:r>
        <w:rPr>
          <w:rFonts w:cs="Segoe UI"/>
          <w:b/>
          <w:bCs/>
        </w:rPr>
        <w:t xml:space="preserve">, and the results contrast starkly with </w:t>
      </w:r>
      <w:r w:rsidRPr="00313CA5">
        <w:rPr>
          <w:rFonts w:cs="Segoe UI"/>
          <w:b/>
          <w:bCs/>
        </w:rPr>
        <w:t xml:space="preserve">original World Bank </w:t>
      </w:r>
      <w:r>
        <w:rPr>
          <w:rFonts w:cs="Segoe UI"/>
          <w:b/>
          <w:bCs/>
        </w:rPr>
        <w:t xml:space="preserve">CBAM </w:t>
      </w:r>
      <w:r w:rsidRPr="00313CA5">
        <w:rPr>
          <w:rFonts w:cs="Segoe UI"/>
          <w:b/>
          <w:bCs/>
        </w:rPr>
        <w:t xml:space="preserve">TEI </w:t>
      </w:r>
      <w:r w:rsidRPr="00F95108">
        <w:rPr>
          <w:rFonts w:cs="Segoe UI"/>
        </w:rPr>
        <w:t>(from 2023 and updated in 2025), which relied on value-based emissions intensity and trade data.</w:t>
      </w:r>
      <w:r>
        <w:rPr>
          <w:rFonts w:cs="Segoe UI"/>
        </w:rPr>
        <w:t xml:space="preserve"> </w:t>
      </w:r>
      <w:commentRangeStart w:id="24"/>
      <w:commentRangeStart w:id="25"/>
      <w:r>
        <w:rPr>
          <w:rFonts w:cs="Segoe UI"/>
        </w:rPr>
        <w:fldChar w:fldCharType="begin"/>
      </w:r>
      <w:r>
        <w:rPr>
          <w:rFonts w:cs="Segoe UI"/>
        </w:rPr>
        <w:instrText xml:space="preserve"> REF _Ref230278441 \h  \* MERGEFORMAT </w:instrText>
      </w:r>
      <w:r>
        <w:rPr>
          <w:rFonts w:cs="Segoe UI"/>
        </w:rPr>
      </w:r>
      <w:r>
        <w:rPr>
          <w:rFonts w:cs="Segoe UI"/>
        </w:rPr>
        <w:fldChar w:fldCharType="separate"/>
      </w:r>
      <w:r>
        <w:t xml:space="preserve">Figure </w:t>
      </w:r>
      <w:r>
        <w:rPr>
          <w:noProof/>
        </w:rPr>
        <w:t>2</w:t>
      </w:r>
      <w:r>
        <w:rPr>
          <w:rFonts w:cs="Segoe UI"/>
        </w:rPr>
        <w:fldChar w:fldCharType="end"/>
      </w:r>
      <w:r>
        <w:rPr>
          <w:rFonts w:cs="Segoe UI"/>
        </w:rPr>
        <w:t xml:space="preserve"> compares the results for Egypt (using 2022 trade data for comparability with the value-based study). The value-based TEI gave Egypt as highly exposed in fertilizers, iron and steel, and aluminum; due to little trade in cement, that exposure is lower. However, according to the mass-based approach, Egypt is minimally exposed in fertilizers, aluminum, and cement. Because the EU assigned country-specific defaults to these products—and found that the emissions intensities of the specific products are very similar to those of EU producers—the mass-based calculations are likely to be more accurate of actual exposure. Essentially, if Egypt is exporting products with lower value added and lower prices than EU ones, the value-based calculations will overestimate Egyptian emission intensity by weight relative to that of EU producers. </w:t>
      </w:r>
      <w:commentRangeEnd w:id="24"/>
      <w:r w:rsidRPr="00254E3B">
        <w:rPr>
          <w:rStyle w:val="CommentReference"/>
          <w:rFonts w:cs="Segoe UI"/>
          <w:sz w:val="22"/>
          <w:szCs w:val="22"/>
        </w:rPr>
        <w:commentReference w:id="24"/>
      </w:r>
      <w:commentRangeEnd w:id="25"/>
      <w:r w:rsidRPr="00254E3B">
        <w:rPr>
          <w:rStyle w:val="CommentReference"/>
          <w:rFonts w:cs="Segoe UI"/>
          <w:sz w:val="22"/>
          <w:szCs w:val="22"/>
        </w:rPr>
        <w:commentReference w:id="25"/>
      </w:r>
    </w:p>
    <w:p w14:paraId="3B3A7D53" w14:textId="59BE791A" w:rsidR="00A30414" w:rsidRDefault="00F4079F" w:rsidP="71592105">
      <w:pPr>
        <w:spacing w:line="240" w:lineRule="auto"/>
      </w:pPr>
      <w:r>
        <w:rPr>
          <w:noProof/>
        </w:rPr>
        <w:lastRenderedPageBreak/>
        <mc:AlternateContent>
          <mc:Choice Requires="wps">
            <w:drawing>
              <wp:anchor distT="0" distB="0" distL="114300" distR="114300" simplePos="0" relativeHeight="251658240" behindDoc="0" locked="0" layoutInCell="1" allowOverlap="1" wp14:anchorId="79684246" wp14:editId="285F6BF9">
                <wp:simplePos x="0" y="0"/>
                <wp:positionH relativeFrom="column">
                  <wp:posOffset>17145</wp:posOffset>
                </wp:positionH>
                <wp:positionV relativeFrom="paragraph">
                  <wp:posOffset>61595</wp:posOffset>
                </wp:positionV>
                <wp:extent cx="5930265" cy="7394575"/>
                <wp:effectExtent l="0" t="0" r="13335" b="15875"/>
                <wp:wrapTopAndBottom/>
                <wp:docPr id="1271785318" name="Text Box 5"/>
                <wp:cNvGraphicFramePr/>
                <a:graphic xmlns:a="http://schemas.openxmlformats.org/drawingml/2006/main">
                  <a:graphicData uri="http://schemas.microsoft.com/office/word/2010/wordprocessingShape">
                    <wps:wsp>
                      <wps:cNvSpPr txBox="1"/>
                      <wps:spPr>
                        <a:xfrm>
                          <a:off x="0" y="0"/>
                          <a:ext cx="5930265" cy="7394575"/>
                        </a:xfrm>
                        <a:prstGeom prst="rect">
                          <a:avLst/>
                        </a:prstGeom>
                        <a:solidFill>
                          <a:schemeClr val="lt1"/>
                        </a:solidFill>
                        <a:ln w="6350">
                          <a:solidFill>
                            <a:prstClr val="black"/>
                          </a:solidFill>
                        </a:ln>
                      </wps:spPr>
                      <wps:txbx>
                        <w:txbxContent>
                          <w:p w14:paraId="34C609E4" w14:textId="6D8A4A57" w:rsidR="00832F47" w:rsidRPr="007B2B34" w:rsidRDefault="00832F47" w:rsidP="00832F47">
                            <w:pPr>
                              <w:spacing w:line="240" w:lineRule="auto"/>
                            </w:pPr>
                            <w:r w:rsidRPr="00AF130A">
                              <w:rPr>
                                <w:b/>
                                <w:bCs/>
                              </w:rPr>
                              <w:t>Th</w:t>
                            </w:r>
                            <w:r w:rsidR="00B844AD" w:rsidRPr="00AF130A">
                              <w:rPr>
                                <w:b/>
                                <w:bCs/>
                              </w:rPr>
                              <w:t>e CBAM Trade Exposure</w:t>
                            </w:r>
                            <w:r w:rsidRPr="00AF130A">
                              <w:rPr>
                                <w:b/>
                                <w:bCs/>
                              </w:rPr>
                              <w:t xml:space="preserve"> </w:t>
                            </w:r>
                            <w:r w:rsidR="00B844AD" w:rsidRPr="00AF130A">
                              <w:rPr>
                                <w:b/>
                                <w:bCs/>
                              </w:rPr>
                              <w:t>I</w:t>
                            </w:r>
                            <w:r w:rsidRPr="00AF130A">
                              <w:rPr>
                                <w:b/>
                                <w:bCs/>
                              </w:rPr>
                              <w:t xml:space="preserve">ndex </w:t>
                            </w:r>
                            <w:r w:rsidR="00B844AD" w:rsidRPr="00AF130A">
                              <w:rPr>
                                <w:b/>
                                <w:bCs/>
                              </w:rPr>
                              <w:t xml:space="preserve">(TEI) </w:t>
                            </w:r>
                            <w:r w:rsidRPr="00AF130A">
                              <w:rPr>
                                <w:b/>
                                <w:bCs/>
                              </w:rPr>
                              <w:t xml:space="preserve">is derived by multiplying two </w:t>
                            </w:r>
                            <w:r w:rsidR="00B844AD" w:rsidRPr="00AF130A">
                              <w:rPr>
                                <w:b/>
                                <w:bCs/>
                              </w:rPr>
                              <w:t xml:space="preserve">key </w:t>
                            </w:r>
                            <w:r w:rsidRPr="00AF130A">
                              <w:rPr>
                                <w:b/>
                                <w:bCs/>
                              </w:rPr>
                              <w:t>factors: difference in emission intensity and trade dependence on the EU</w:t>
                            </w:r>
                            <w:r w:rsidRPr="11357084">
                              <w:t xml:space="preserve"> (see equation below). </w:t>
                            </w:r>
                            <w:r w:rsidR="00DA6E86">
                              <w:t xml:space="preserve">It </w:t>
                            </w:r>
                            <w:r w:rsidRPr="11357084">
                              <w:t xml:space="preserve">is calculated by dividing the </w:t>
                            </w:r>
                            <w:r w:rsidRPr="00A342EB">
                              <w:rPr>
                                <w:i/>
                                <w:iCs/>
                              </w:rPr>
                              <w:t>excess carbon payments</w:t>
                            </w:r>
                            <w:r w:rsidRPr="11357084">
                              <w:t xml:space="preserve">—determined by a carbon price, the value of affected exports to the EU, and the difference between Egypt’s emissions intensity and the EU average in the affected sector—by the total value of the country’s global exports of the affected sector. </w:t>
                            </w:r>
                            <w:r w:rsidRPr="00262A17">
                              <w:t xml:space="preserve">The product of the price and the emission intensity denotes the carbon payment per dollar of output and can be referred to as the </w:t>
                            </w:r>
                            <w:r w:rsidRPr="000D3921">
                              <w:t>carbon-cost intensity</w:t>
                            </w:r>
                            <w:r w:rsidRPr="00DA6E86">
                              <w:t>.</w:t>
                            </w:r>
                            <w:r w:rsidRPr="00262A17">
                              <w:rPr>
                                <w:b/>
                                <w:bCs/>
                              </w:rPr>
                              <w:t xml:space="preserve"> </w:t>
                            </w:r>
                            <w:r>
                              <w:t xml:space="preserve">Excess carbon payments represent the total value of CBAM certificates in excess of the emissions costs of EU competitors for the value of exports for the affected sector. </w:t>
                            </w:r>
                          </w:p>
                          <w:p w14:paraId="2C76525C" w14:textId="77777777" w:rsidR="00832F47" w:rsidRDefault="00ED7AA9" w:rsidP="00832F47">
                            <w:pPr>
                              <w:spacing w:after="0" w:line="240" w:lineRule="auto"/>
                              <w:jc w:val="center"/>
                            </w:pPr>
                            <m:oMathPara>
                              <m:oMath>
                                <m:sSub>
                                  <m:sSubPr>
                                    <m:ctrlPr>
                                      <w:rPr>
                                        <w:rFonts w:ascii="Cambria Math" w:hAnsi="Cambria Math" w:cs="Times New Roman"/>
                                        <w:iCs/>
                                        <w:kern w:val="2"/>
                                        <w:sz w:val="24"/>
                                        <w:szCs w:val="24"/>
                                        <w:lang w:eastAsia="ko-KR"/>
                                        <w14:ligatures w14:val="standardContextual"/>
                                      </w:rPr>
                                    </m:ctrlPr>
                                  </m:sSubPr>
                                  <m:e>
                                    <m:r>
                                      <m:rPr>
                                        <m:sty m:val="p"/>
                                      </m:rPr>
                                      <w:rPr>
                                        <w:rFonts w:ascii="Cambria Math" w:hAnsi="Cambria Math" w:cs="Times New Roman"/>
                                        <w:sz w:val="24"/>
                                        <w:szCs w:val="24"/>
                                      </w:rPr>
                                      <m:t>CBAM TEI</m:t>
                                    </m:r>
                                  </m:e>
                                  <m:sub>
                                    <m:r>
                                      <w:rPr>
                                        <w:rFonts w:ascii="Cambria Math" w:hAnsi="Cambria Math" w:cs="Times New Roman"/>
                                        <w:sz w:val="24"/>
                                        <w:szCs w:val="24"/>
                                      </w:rPr>
                                      <m:t>c,s</m:t>
                                    </m:r>
                                  </m:sub>
                                </m:sSub>
                                <m:r>
                                  <w:rPr>
                                    <w:rFonts w:ascii="Cambria Math" w:hAnsi="Cambria Math" w:cs="Times New Roman"/>
                                    <w:sz w:val="24"/>
                                    <w:szCs w:val="24"/>
                                  </w:rPr>
                                  <m:t xml:space="preserve">= </m:t>
                                </m:r>
                                <m:limUpp>
                                  <m:limUppPr>
                                    <m:ctrlPr>
                                      <w:rPr>
                                        <w:rFonts w:ascii="Cambria Math" w:hAnsi="Cambria Math" w:cs="Times New Roman"/>
                                        <w:i/>
                                        <w:kern w:val="2"/>
                                        <w:sz w:val="24"/>
                                        <w:szCs w:val="24"/>
                                        <w:lang w:eastAsia="ko-KR"/>
                                        <w14:ligatures w14:val="standardContextual"/>
                                      </w:rPr>
                                    </m:ctrlPr>
                                  </m:limUppPr>
                                  <m:e>
                                    <m:groupChr>
                                      <m:groupChrPr>
                                        <m:chr m:val="⏞"/>
                                        <m:pos m:val="top"/>
                                        <m:vertJc m:val="bot"/>
                                        <m:ctrlPr>
                                          <w:rPr>
                                            <w:rFonts w:ascii="Cambria Math" w:hAnsi="Cambria Math" w:cs="Times New Roman"/>
                                            <w:i/>
                                            <w:kern w:val="2"/>
                                            <w:sz w:val="24"/>
                                            <w:szCs w:val="24"/>
                                            <w:lang w:eastAsia="ko-KR"/>
                                            <w14:ligatures w14:val="standardContextual"/>
                                          </w:rPr>
                                        </m:ctrlPr>
                                      </m:groupChrPr>
                                      <m:e>
                                        <m:limUpp>
                                          <m:limUppPr>
                                            <m:ctrlPr>
                                              <w:rPr>
                                                <w:rFonts w:ascii="Cambria Math" w:hAnsi="Cambria Math" w:cs="Times New Roman"/>
                                                <w:i/>
                                                <w:kern w:val="2"/>
                                                <w:sz w:val="24"/>
                                                <w:szCs w:val="24"/>
                                                <w:lang w:eastAsia="ko-KR"/>
                                                <w14:ligatures w14:val="standardContextual"/>
                                              </w:rPr>
                                            </m:ctrlPr>
                                          </m:limUppPr>
                                          <m:e>
                                            <m:groupChr>
                                              <m:groupChrPr>
                                                <m:chr m:val="⏞"/>
                                                <m:pos m:val="top"/>
                                                <m:vertJc m:val="bot"/>
                                                <m:ctrlPr>
                                                  <w:rPr>
                                                    <w:rFonts w:ascii="Cambria Math" w:hAnsi="Cambria Math" w:cs="Times New Roman"/>
                                                    <w:i/>
                                                    <w:kern w:val="2"/>
                                                    <w:sz w:val="24"/>
                                                    <w:szCs w:val="24"/>
                                                    <w:lang w:eastAsia="ko-KR"/>
                                                    <w14:ligatures w14:val="standardContextual"/>
                                                  </w:rPr>
                                                </m:ctrlPr>
                                              </m:groupChrPr>
                                              <m:e>
                                                <m:r>
                                                  <w:rPr>
                                                    <w:rFonts w:ascii="Cambria Math" w:hAnsi="Cambria Math" w:cs="Times New Roman"/>
                                                    <w:sz w:val="24"/>
                                                    <w:szCs w:val="24"/>
                                                  </w:rPr>
                                                  <m:t>τ</m:t>
                                                </m:r>
                                              </m:e>
                                            </m:groupChr>
                                          </m:e>
                                          <m:lim>
                                            <m:m>
                                              <m:mPr>
                                                <m:mcs>
                                                  <m:mc>
                                                    <m:mcPr>
                                                      <m:count m:val="1"/>
                                                      <m:mcJc m:val="center"/>
                                                    </m:mcPr>
                                                  </m:mc>
                                                </m:mcs>
                                                <m:ctrlPr>
                                                  <w:rPr>
                                                    <w:rFonts w:ascii="Cambria Math" w:hAnsi="Cambria Math" w:cs="Times New Roman"/>
                                                    <w:iCs/>
                                                    <w:kern w:val="2"/>
                                                    <w:sz w:val="24"/>
                                                    <w:szCs w:val="24"/>
                                                    <w:lang w:eastAsia="ko-KR"/>
                                                    <w14:ligatures w14:val="standardContextual"/>
                                                  </w:rPr>
                                                </m:ctrlPr>
                                              </m:mPr>
                                              <m:mr>
                                                <m:e>
                                                  <m:sSub>
                                                    <m:sSubPr>
                                                      <m:ctrlPr>
                                                        <w:rPr>
                                                          <w:rFonts w:ascii="Cambria Math" w:hAnsi="Cambria Math" w:cs="Times New Roman"/>
                                                          <w:iCs/>
                                                          <w:kern w:val="2"/>
                                                          <w:sz w:val="24"/>
                                                          <w:szCs w:val="24"/>
                                                          <w:lang w:eastAsia="ko-KR"/>
                                                          <w14:ligatures w14:val="standardContextual"/>
                                                        </w:rPr>
                                                      </m:ctrlPr>
                                                    </m:sSubPr>
                                                    <m:e>
                                                      <m:r>
                                                        <m:rPr>
                                                          <m:sty m:val="p"/>
                                                        </m:rPr>
                                                        <w:rPr>
                                                          <w:rFonts w:ascii="Cambria Math" w:hAnsi="Cambria Math" w:cs="Times New Roman"/>
                                                          <w:sz w:val="24"/>
                                                          <w:szCs w:val="24"/>
                                                        </w:rPr>
                                                        <m:t>CO</m:t>
                                                      </m:r>
                                                    </m:e>
                                                    <m:sub>
                                                      <m:r>
                                                        <m:rPr>
                                                          <m:sty m:val="p"/>
                                                        </m:rPr>
                                                        <w:rPr>
                                                          <w:rFonts w:ascii="Cambria Math" w:hAnsi="Cambria Math" w:cs="Times New Roman"/>
                                                          <w:sz w:val="24"/>
                                                          <w:szCs w:val="24"/>
                                                        </w:rPr>
                                                        <m:t>2</m:t>
                                                      </m:r>
                                                    </m:sub>
                                                  </m:sSub>
                                                </m:e>
                                              </m:mr>
                                              <m:mr>
                                                <m:e>
                                                  <m:r>
                                                    <m:rPr>
                                                      <m:sty m:val="p"/>
                                                    </m:rPr>
                                                    <w:rPr>
                                                      <w:rFonts w:ascii="Cambria Math" w:hAnsi="Cambria Math" w:cs="Times New Roman"/>
                                                      <w:sz w:val="24"/>
                                                      <w:szCs w:val="24"/>
                                                    </w:rPr>
                                                    <m:t>price</m:t>
                                                  </m:r>
                                                </m:e>
                                              </m:mr>
                                            </m:m>
                                          </m:lim>
                                        </m:limUpp>
                                        <m:r>
                                          <w:rPr>
                                            <w:rFonts w:ascii="Cambria Math" w:hAnsi="Cambria Math" w:cs="Times New Roman"/>
                                            <w:sz w:val="24"/>
                                            <w:szCs w:val="24"/>
                                          </w:rPr>
                                          <m:t>·</m:t>
                                        </m:r>
                                        <m:limUpp>
                                          <m:limUppPr>
                                            <m:ctrlPr>
                                              <w:rPr>
                                                <w:rFonts w:ascii="Cambria Math" w:hAnsi="Cambria Math" w:cs="Times New Roman"/>
                                                <w:i/>
                                                <w:kern w:val="2"/>
                                                <w:sz w:val="24"/>
                                                <w:szCs w:val="24"/>
                                                <w:lang w:eastAsia="ko-KR"/>
                                                <w14:ligatures w14:val="standardContextual"/>
                                              </w:rPr>
                                            </m:ctrlPr>
                                          </m:limUppPr>
                                          <m:e>
                                            <m:groupChr>
                                              <m:groupChrPr>
                                                <m:chr m:val="⏞"/>
                                                <m:pos m:val="top"/>
                                                <m:vertJc m:val="bot"/>
                                                <m:ctrlPr>
                                                  <w:rPr>
                                                    <w:rFonts w:ascii="Cambria Math" w:hAnsi="Cambria Math" w:cs="Times New Roman"/>
                                                    <w:i/>
                                                    <w:kern w:val="2"/>
                                                    <w:sz w:val="24"/>
                                                    <w:szCs w:val="24"/>
                                                    <w:lang w:eastAsia="ko-KR"/>
                                                    <w14:ligatures w14:val="standardContextual"/>
                                                  </w:rPr>
                                                </m:ctrlPr>
                                              </m:groupChrPr>
                                              <m:e>
                                                <m:d>
                                                  <m:dPr>
                                                    <m:ctrlPr>
                                                      <w:rPr>
                                                        <w:rFonts w:ascii="Cambria Math" w:hAnsi="Cambria Math" w:cs="Times New Roman"/>
                                                        <w:i/>
                                                        <w:sz w:val="24"/>
                                                        <w:szCs w:val="24"/>
                                                      </w:rPr>
                                                    </m:ctrlPr>
                                                  </m:dPr>
                                                  <m:e>
                                                    <m:sSub>
                                                      <m:sSubPr>
                                                        <m:ctrlPr>
                                                          <w:rPr>
                                                            <w:rFonts w:ascii="Cambria Math" w:hAnsi="Cambria Math" w:cs="Times New Roman"/>
                                                            <w:i/>
                                                            <w:kern w:val="2"/>
                                                            <w:sz w:val="24"/>
                                                            <w:szCs w:val="24"/>
                                                            <w:lang w:eastAsia="ko-KR"/>
                                                            <w14:ligatures w14:val="standardContextual"/>
                                                          </w:rPr>
                                                        </m:ctrlPr>
                                                      </m:sSubPr>
                                                      <m:e>
                                                        <m:r>
                                                          <w:rPr>
                                                            <w:rFonts w:ascii="Cambria Math" w:hAnsi="Cambria Math" w:cs="Times New Roman"/>
                                                            <w:sz w:val="24"/>
                                                            <w:szCs w:val="24"/>
                                                          </w:rPr>
                                                          <m:t>EI</m:t>
                                                        </m:r>
                                                      </m:e>
                                                      <m:sub>
                                                        <m:r>
                                                          <w:rPr>
                                                            <w:rFonts w:ascii="Cambria Math" w:hAnsi="Cambria Math" w:cs="Times New Roman"/>
                                                            <w:sz w:val="24"/>
                                                            <w:szCs w:val="24"/>
                                                          </w:rPr>
                                                          <m:t>c,s</m:t>
                                                        </m:r>
                                                      </m:sub>
                                                    </m:sSub>
                                                    <m:r>
                                                      <w:rPr>
                                                        <w:rFonts w:ascii="Cambria Math" w:hAnsi="Cambria Math" w:cs="Times New Roman"/>
                                                        <w:sz w:val="24"/>
                                                        <w:szCs w:val="24"/>
                                                      </w:rPr>
                                                      <m:t>-</m:t>
                                                    </m:r>
                                                    <m:sSub>
                                                      <m:sSubPr>
                                                        <m:ctrlPr>
                                                          <w:rPr>
                                                            <w:rFonts w:ascii="Cambria Math" w:hAnsi="Cambria Math" w:cs="Times New Roman"/>
                                                            <w:i/>
                                                            <w:kern w:val="2"/>
                                                            <w:sz w:val="24"/>
                                                            <w:szCs w:val="24"/>
                                                            <w:lang w:eastAsia="ko-KR"/>
                                                            <w14:ligatures w14:val="standardContextual"/>
                                                          </w:rPr>
                                                        </m:ctrlPr>
                                                      </m:sSubPr>
                                                      <m:e>
                                                        <m:r>
                                                          <w:rPr>
                                                            <w:rFonts w:ascii="Cambria Math" w:hAnsi="Cambria Math" w:cs="Times New Roman"/>
                                                            <w:sz w:val="24"/>
                                                            <w:szCs w:val="24"/>
                                                          </w:rPr>
                                                          <m:t>EI</m:t>
                                                        </m:r>
                                                      </m:e>
                                                      <m:sub>
                                                        <m:r>
                                                          <w:rPr>
                                                            <w:rFonts w:ascii="Cambria Math" w:hAnsi="Cambria Math" w:cs="Times New Roman"/>
                                                            <w:sz w:val="24"/>
                                                            <w:szCs w:val="24"/>
                                                          </w:rPr>
                                                          <m:t>EU,s</m:t>
                                                        </m:r>
                                                      </m:sub>
                                                    </m:sSub>
                                                  </m:e>
                                                </m:d>
                                              </m:e>
                                            </m:groupChr>
                                          </m:e>
                                          <m:lim>
                                            <m:m>
                                              <m:mPr>
                                                <m:mcs>
                                                  <m:mc>
                                                    <m:mcPr>
                                                      <m:count m:val="1"/>
                                                      <m:mcJc m:val="center"/>
                                                    </m:mcPr>
                                                  </m:mc>
                                                </m:mcs>
                                                <m:ctrlPr>
                                                  <w:rPr>
                                                    <w:rFonts w:ascii="Cambria Math" w:hAnsi="Cambria Math" w:cs="Times New Roman"/>
                                                    <w:iCs/>
                                                    <w:kern w:val="2"/>
                                                    <w:sz w:val="24"/>
                                                    <w:szCs w:val="24"/>
                                                    <w:lang w:eastAsia="ko-KR"/>
                                                    <w14:ligatures w14:val="standardContextual"/>
                                                  </w:rPr>
                                                </m:ctrlPr>
                                              </m:mPr>
                                              <m:mr>
                                                <m:e>
                                                  <m:r>
                                                    <m:rPr>
                                                      <m:sty m:val="p"/>
                                                    </m:rPr>
                                                    <w:rPr>
                                                      <w:rFonts w:ascii="Cambria Math" w:hAnsi="Cambria Math" w:cs="Times New Roman"/>
                                                      <w:sz w:val="24"/>
                                                      <w:szCs w:val="24"/>
                                                    </w:rPr>
                                                    <m:t>difference from EU</m:t>
                                                  </m:r>
                                                </m:e>
                                              </m:mr>
                                              <m:mr>
                                                <m:e>
                                                  <m:r>
                                                    <m:rPr>
                                                      <m:sty m:val="p"/>
                                                    </m:rPr>
                                                    <w:rPr>
                                                      <w:rFonts w:ascii="Cambria Math" w:hAnsi="Cambria Math" w:cs="Times New Roman"/>
                                                      <w:sz w:val="24"/>
                                                      <w:szCs w:val="24"/>
                                                    </w:rPr>
                                                    <m:t>emission intensity</m:t>
                                                  </m:r>
                                                </m:e>
                                              </m:mr>
                                            </m:m>
                                          </m:lim>
                                        </m:limUpp>
                                      </m:e>
                                    </m:groupChr>
                                  </m:e>
                                  <m:lim>
                                    <m:r>
                                      <w:rPr>
                                        <w:rFonts w:ascii="Cambria Math" w:hAnsi="Cambria Math" w:cs="Times New Roman"/>
                                      </w:rPr>
                                      <m:t>Relative carbon cost intensity</m:t>
                                    </m:r>
                                  </m:lim>
                                </m:limUpp>
                                <m:r>
                                  <w:rPr>
                                    <w:rFonts w:ascii="Cambria Math" w:hAnsi="Cambria Math" w:cs="Times New Roman"/>
                                    <w:sz w:val="24"/>
                                    <w:szCs w:val="24"/>
                                  </w:rPr>
                                  <m:t>·</m:t>
                                </m:r>
                                <m:limLow>
                                  <m:limLowPr>
                                    <m:ctrlPr>
                                      <w:rPr>
                                        <w:rFonts w:ascii="Cambria Math" w:hAnsi="Cambria Math" w:cs="Times New Roman"/>
                                        <w:i/>
                                        <w:kern w:val="2"/>
                                        <w:sz w:val="24"/>
                                        <w:szCs w:val="24"/>
                                        <w:lang w:eastAsia="ko-KR"/>
                                        <w14:ligatures w14:val="standardContextual"/>
                                      </w:rPr>
                                    </m:ctrlPr>
                                  </m:limLowPr>
                                  <m:e>
                                    <m:groupChr>
                                      <m:groupChrPr>
                                        <m:ctrlPr>
                                          <w:rPr>
                                            <w:rFonts w:ascii="Cambria Math" w:hAnsi="Cambria Math" w:cs="Times New Roman"/>
                                            <w:i/>
                                            <w:kern w:val="2"/>
                                            <w:sz w:val="24"/>
                                            <w:szCs w:val="24"/>
                                            <w:lang w:eastAsia="ko-KR"/>
                                            <w14:ligatures w14:val="standardContextual"/>
                                          </w:rPr>
                                        </m:ctrlPr>
                                      </m:groupChrPr>
                                      <m:e>
                                        <m:f>
                                          <m:fPr>
                                            <m:ctrlPr>
                                              <w:rPr>
                                                <w:rFonts w:ascii="Cambria Math" w:hAnsi="Cambria Math" w:cs="Times New Roman"/>
                                                <w:i/>
                                                <w:kern w:val="2"/>
                                                <w:sz w:val="24"/>
                                                <w:szCs w:val="24"/>
                                                <w:lang w:eastAsia="ko-KR"/>
                                                <w14:ligatures w14:val="standardContextual"/>
                                              </w:rPr>
                                            </m:ctrlPr>
                                          </m:fPr>
                                          <m:num>
                                            <m:sSubSup>
                                              <m:sSubSupPr>
                                                <m:ctrlPr>
                                                  <w:rPr>
                                                    <w:rFonts w:ascii="Cambria Math" w:hAnsi="Cambria Math" w:cs="Times New Roman"/>
                                                    <w:i/>
                                                    <w:kern w:val="2"/>
                                                    <w:sz w:val="24"/>
                                                    <w:szCs w:val="24"/>
                                                    <w:lang w:eastAsia="ko-KR"/>
                                                    <w14:ligatures w14:val="standardContextual"/>
                                                  </w:rPr>
                                                </m:ctrlPr>
                                              </m:sSubSupPr>
                                              <m:e>
                                                <m:r>
                                                  <w:rPr>
                                                    <w:rFonts w:ascii="Cambria Math" w:hAnsi="Cambria Math" w:cs="Times New Roman"/>
                                                    <w:sz w:val="24"/>
                                                    <w:szCs w:val="24"/>
                                                  </w:rPr>
                                                  <m:t>X</m:t>
                                                </m:r>
                                              </m:e>
                                              <m:sub>
                                                <m:r>
                                                  <w:rPr>
                                                    <w:rFonts w:ascii="Cambria Math" w:hAnsi="Cambria Math" w:cs="Times New Roman"/>
                                                    <w:sz w:val="24"/>
                                                    <w:szCs w:val="24"/>
                                                  </w:rPr>
                                                  <m:t>c,s</m:t>
                                                </m:r>
                                              </m:sub>
                                              <m:sup>
                                                <m:r>
                                                  <w:rPr>
                                                    <w:rFonts w:ascii="Cambria Math" w:hAnsi="Cambria Math" w:cs="Times New Roman"/>
                                                    <w:sz w:val="24"/>
                                                    <w:szCs w:val="24"/>
                                                  </w:rPr>
                                                  <m:t>EU</m:t>
                                                </m:r>
                                              </m:sup>
                                            </m:sSubSup>
                                          </m:num>
                                          <m:den>
                                            <m:sSubSup>
                                              <m:sSubSupPr>
                                                <m:ctrlPr>
                                                  <w:rPr>
                                                    <w:rFonts w:ascii="Cambria Math" w:hAnsi="Cambria Math" w:cs="Times New Roman"/>
                                                    <w:i/>
                                                    <w:kern w:val="2"/>
                                                    <w:sz w:val="24"/>
                                                    <w:szCs w:val="24"/>
                                                    <w:lang w:eastAsia="ko-KR"/>
                                                    <w14:ligatures w14:val="standardContextual"/>
                                                  </w:rPr>
                                                </m:ctrlPr>
                                              </m:sSubSupPr>
                                              <m:e>
                                                <m:r>
                                                  <w:rPr>
                                                    <w:rFonts w:ascii="Cambria Math" w:hAnsi="Cambria Math" w:cs="Times New Roman"/>
                                                    <w:sz w:val="24"/>
                                                    <w:szCs w:val="24"/>
                                                  </w:rPr>
                                                  <m:t>X</m:t>
                                                </m:r>
                                              </m:e>
                                              <m:sub>
                                                <m:r>
                                                  <w:rPr>
                                                    <w:rFonts w:ascii="Cambria Math" w:hAnsi="Cambria Math" w:cs="Times New Roman"/>
                                                    <w:sz w:val="24"/>
                                                    <w:szCs w:val="24"/>
                                                  </w:rPr>
                                                  <m:t>c,s</m:t>
                                                </m:r>
                                              </m:sub>
                                              <m:sup>
                                                <m:r>
                                                  <w:rPr>
                                                    <w:rFonts w:ascii="Cambria Math" w:hAnsi="Cambria Math" w:cs="Times New Roman"/>
                                                    <w:sz w:val="24"/>
                                                    <w:szCs w:val="24"/>
                                                  </w:rPr>
                                                  <m:t>World</m:t>
                                                </m:r>
                                              </m:sup>
                                            </m:sSubSup>
                                          </m:den>
                                        </m:f>
                                      </m:e>
                                    </m:groupChr>
                                  </m:e>
                                  <m:lim>
                                    <m:m>
                                      <m:mPr>
                                        <m:mcs>
                                          <m:mc>
                                            <m:mcPr>
                                              <m:count m:val="1"/>
                                              <m:mcJc m:val="center"/>
                                            </m:mcPr>
                                          </m:mc>
                                        </m:mcs>
                                        <m:ctrlPr>
                                          <w:rPr>
                                            <w:rFonts w:ascii="Cambria Math" w:hAnsi="Cambria Math" w:cs="Times New Roman"/>
                                            <w:iCs/>
                                            <w:kern w:val="2"/>
                                            <w:sz w:val="24"/>
                                            <w:szCs w:val="24"/>
                                            <w:lang w:eastAsia="ko-KR"/>
                                            <w14:ligatures w14:val="standardContextual"/>
                                          </w:rPr>
                                        </m:ctrlPr>
                                      </m:mPr>
                                      <m:mr>
                                        <m:e>
                                          <m:r>
                                            <m:rPr>
                                              <m:sty m:val="p"/>
                                            </m:rPr>
                                            <w:rPr>
                                              <w:rFonts w:ascii="Cambria Math" w:hAnsi="Cambria Math" w:cs="Times New Roman"/>
                                              <w:sz w:val="24"/>
                                              <w:szCs w:val="24"/>
                                            </w:rPr>
                                            <m:t>EU trade</m:t>
                                          </m:r>
                                        </m:e>
                                      </m:mr>
                                      <m:mr>
                                        <m:e>
                                          <m:r>
                                            <m:rPr>
                                              <m:sty m:val="p"/>
                                            </m:rPr>
                                            <w:rPr>
                                              <w:rFonts w:ascii="Cambria Math" w:hAnsi="Cambria Math" w:cs="Times New Roman"/>
                                              <w:sz w:val="24"/>
                                              <w:szCs w:val="24"/>
                                            </w:rPr>
                                            <m:t>dependence</m:t>
                                          </m:r>
                                        </m:e>
                                      </m:mr>
                                    </m:m>
                                  </m:lim>
                                </m:limLow>
                                <m:r>
                                  <w:rPr>
                                    <w:rFonts w:ascii="Cambria Math" w:hAnsi="Cambria Math" w:cs="Times New Roman"/>
                                    <w:sz w:val="24"/>
                                    <w:szCs w:val="24"/>
                                  </w:rPr>
                                  <m:t xml:space="preserve">= </m:t>
                                </m:r>
                                <m:f>
                                  <m:fPr>
                                    <m:ctrlPr>
                                      <w:rPr>
                                        <w:rFonts w:ascii="Cambria Math" w:hAnsi="Cambria Math" w:cs="Times New Roman"/>
                                        <w:i/>
                                        <w:kern w:val="2"/>
                                        <w:sz w:val="24"/>
                                        <w:szCs w:val="24"/>
                                        <w:lang w:eastAsia="ko-KR"/>
                                        <w14:ligatures w14:val="standardContextual"/>
                                      </w:rPr>
                                    </m:ctrlPr>
                                  </m:fPr>
                                  <m:num>
                                    <m:limUpp>
                                      <m:limUppPr>
                                        <m:ctrlPr>
                                          <w:rPr>
                                            <w:rFonts w:ascii="Cambria Math" w:hAnsi="Cambria Math" w:cs="Times New Roman"/>
                                            <w:i/>
                                            <w:kern w:val="2"/>
                                            <w:sz w:val="24"/>
                                            <w:szCs w:val="24"/>
                                            <w:lang w:eastAsia="ko-KR"/>
                                            <w14:ligatures w14:val="standardContextual"/>
                                          </w:rPr>
                                        </m:ctrlPr>
                                      </m:limUppPr>
                                      <m:e>
                                        <m:groupChr>
                                          <m:groupChrPr>
                                            <m:chr m:val="⏞"/>
                                            <m:pos m:val="top"/>
                                            <m:vertJc m:val="bot"/>
                                            <m:ctrlPr>
                                              <w:rPr>
                                                <w:rFonts w:ascii="Cambria Math" w:hAnsi="Cambria Math" w:cs="Times New Roman"/>
                                                <w:i/>
                                                <w:kern w:val="2"/>
                                                <w:sz w:val="24"/>
                                                <w:szCs w:val="24"/>
                                                <w:lang w:eastAsia="ko-KR"/>
                                                <w14:ligatures w14:val="standardContextual"/>
                                              </w:rPr>
                                            </m:ctrlPr>
                                          </m:groupChrPr>
                                          <m:e>
                                            <m:r>
                                              <w:rPr>
                                                <w:rFonts w:ascii="Cambria Math" w:hAnsi="Cambria Math" w:cs="Times New Roman"/>
                                                <w:sz w:val="24"/>
                                                <w:szCs w:val="24"/>
                                              </w:rPr>
                                              <m:t>τ·(</m:t>
                                            </m:r>
                                            <m:sSub>
                                              <m:sSubPr>
                                                <m:ctrlPr>
                                                  <w:rPr>
                                                    <w:rFonts w:ascii="Cambria Math" w:hAnsi="Cambria Math" w:cs="Times New Roman"/>
                                                    <w:i/>
                                                    <w:kern w:val="2"/>
                                                    <w:sz w:val="24"/>
                                                    <w:szCs w:val="24"/>
                                                    <w:lang w:eastAsia="ko-KR"/>
                                                    <w14:ligatures w14:val="standardContextual"/>
                                                  </w:rPr>
                                                </m:ctrlPr>
                                              </m:sSubPr>
                                              <m:e>
                                                <m:r>
                                                  <w:rPr>
                                                    <w:rFonts w:ascii="Cambria Math" w:hAnsi="Cambria Math" w:cs="Times New Roman"/>
                                                    <w:sz w:val="24"/>
                                                    <w:szCs w:val="24"/>
                                                  </w:rPr>
                                                  <m:t>EI</m:t>
                                                </m:r>
                                              </m:e>
                                              <m:sub>
                                                <m:r>
                                                  <w:rPr>
                                                    <w:rFonts w:ascii="Cambria Math" w:hAnsi="Cambria Math" w:cs="Times New Roman"/>
                                                    <w:sz w:val="24"/>
                                                    <w:szCs w:val="24"/>
                                                  </w:rPr>
                                                  <m:t>c,s</m:t>
                                                </m:r>
                                              </m:sub>
                                            </m:sSub>
                                            <m:r>
                                              <w:rPr>
                                                <w:rFonts w:ascii="Cambria Math" w:hAnsi="Cambria Math" w:cs="Times New Roman"/>
                                                <w:sz w:val="24"/>
                                                <w:szCs w:val="24"/>
                                              </w:rPr>
                                              <m:t>-</m:t>
                                            </m:r>
                                            <m:sSub>
                                              <m:sSubPr>
                                                <m:ctrlPr>
                                                  <w:rPr>
                                                    <w:rFonts w:ascii="Cambria Math" w:hAnsi="Cambria Math" w:cs="Times New Roman"/>
                                                    <w:i/>
                                                    <w:kern w:val="2"/>
                                                    <w:sz w:val="24"/>
                                                    <w:szCs w:val="24"/>
                                                    <w:lang w:eastAsia="ko-KR"/>
                                                    <w14:ligatures w14:val="standardContextual"/>
                                                  </w:rPr>
                                                </m:ctrlPr>
                                              </m:sSubPr>
                                              <m:e>
                                                <m:r>
                                                  <w:rPr>
                                                    <w:rFonts w:ascii="Cambria Math" w:hAnsi="Cambria Math" w:cs="Times New Roman"/>
                                                    <w:sz w:val="24"/>
                                                    <w:szCs w:val="24"/>
                                                  </w:rPr>
                                                  <m:t>EI</m:t>
                                                </m:r>
                                              </m:e>
                                              <m:sub>
                                                <m:r>
                                                  <w:rPr>
                                                    <w:rFonts w:ascii="Cambria Math" w:hAnsi="Cambria Math" w:cs="Times New Roman"/>
                                                    <w:sz w:val="24"/>
                                                    <w:szCs w:val="24"/>
                                                  </w:rPr>
                                                  <m:t>EI,s</m:t>
                                                </m:r>
                                              </m:sub>
                                            </m:sSub>
                                            <m:r>
                                              <w:rPr>
                                                <w:rFonts w:ascii="Cambria Math" w:hAnsi="Cambria Math" w:cs="Times New Roman"/>
                                                <w:sz w:val="24"/>
                                                <w:szCs w:val="24"/>
                                              </w:rPr>
                                              <m:t>)·</m:t>
                                            </m:r>
                                            <m:sSubSup>
                                              <m:sSubSupPr>
                                                <m:ctrlPr>
                                                  <w:rPr>
                                                    <w:rFonts w:ascii="Cambria Math" w:hAnsi="Cambria Math" w:cs="Times New Roman"/>
                                                    <w:i/>
                                                    <w:kern w:val="2"/>
                                                    <w:sz w:val="24"/>
                                                    <w:szCs w:val="24"/>
                                                    <w:lang w:eastAsia="ko-KR"/>
                                                    <w14:ligatures w14:val="standardContextual"/>
                                                  </w:rPr>
                                                </m:ctrlPr>
                                              </m:sSubSupPr>
                                              <m:e>
                                                <m:r>
                                                  <w:rPr>
                                                    <w:rFonts w:ascii="Cambria Math" w:hAnsi="Cambria Math" w:cs="Times New Roman"/>
                                                    <w:sz w:val="24"/>
                                                    <w:szCs w:val="24"/>
                                                  </w:rPr>
                                                  <m:t>X</m:t>
                                                </m:r>
                                              </m:e>
                                              <m:sub>
                                                <m:r>
                                                  <w:rPr>
                                                    <w:rFonts w:ascii="Cambria Math" w:hAnsi="Cambria Math" w:cs="Times New Roman"/>
                                                    <w:sz w:val="24"/>
                                                    <w:szCs w:val="24"/>
                                                  </w:rPr>
                                                  <m:t>c,s</m:t>
                                                </m:r>
                                              </m:sub>
                                              <m:sup>
                                                <m:r>
                                                  <w:rPr>
                                                    <w:rFonts w:ascii="Cambria Math" w:hAnsi="Cambria Math" w:cs="Times New Roman"/>
                                                    <w:sz w:val="24"/>
                                                    <w:szCs w:val="24"/>
                                                  </w:rPr>
                                                  <m:t>EU</m:t>
                                                </m:r>
                                              </m:sup>
                                            </m:sSubSup>
                                          </m:e>
                                        </m:groupChr>
                                      </m:e>
                                      <m:lim>
                                        <m:r>
                                          <m:rPr>
                                            <m:sty m:val="p"/>
                                          </m:rPr>
                                          <w:rPr>
                                            <w:rFonts w:ascii="Cambria Math" w:hAnsi="Cambria Math" w:cs="Times New Roman"/>
                                            <w:sz w:val="24"/>
                                            <w:szCs w:val="24"/>
                                          </w:rPr>
                                          <m:t>excess carbon payments</m:t>
                                        </m:r>
                                      </m:lim>
                                    </m:limUpp>
                                  </m:num>
                                  <m:den>
                                    <m:limLow>
                                      <m:limLowPr>
                                        <m:ctrlPr>
                                          <w:rPr>
                                            <w:rFonts w:ascii="Cambria Math" w:hAnsi="Cambria Math" w:cs="Times New Roman"/>
                                            <w:i/>
                                            <w:kern w:val="2"/>
                                            <w:sz w:val="24"/>
                                            <w:szCs w:val="24"/>
                                            <w:lang w:eastAsia="ko-KR"/>
                                            <w14:ligatures w14:val="standardContextual"/>
                                          </w:rPr>
                                        </m:ctrlPr>
                                      </m:limLowPr>
                                      <m:e>
                                        <m:groupChr>
                                          <m:groupChrPr>
                                            <m:ctrlPr>
                                              <w:rPr>
                                                <w:rFonts w:ascii="Cambria Math" w:hAnsi="Cambria Math" w:cs="Times New Roman"/>
                                                <w:i/>
                                                <w:kern w:val="2"/>
                                                <w:sz w:val="24"/>
                                                <w:szCs w:val="24"/>
                                                <w:lang w:eastAsia="ko-KR"/>
                                                <w14:ligatures w14:val="standardContextual"/>
                                              </w:rPr>
                                            </m:ctrlPr>
                                          </m:groupChrPr>
                                          <m:e>
                                            <m:sSubSup>
                                              <m:sSubSupPr>
                                                <m:ctrlPr>
                                                  <w:rPr>
                                                    <w:rFonts w:ascii="Cambria Math" w:hAnsi="Cambria Math" w:cs="Times New Roman"/>
                                                    <w:i/>
                                                    <w:kern w:val="2"/>
                                                    <w:sz w:val="24"/>
                                                    <w:szCs w:val="24"/>
                                                    <w:lang w:eastAsia="ko-KR"/>
                                                    <w14:ligatures w14:val="standardContextual"/>
                                                  </w:rPr>
                                                </m:ctrlPr>
                                              </m:sSubSupPr>
                                              <m:e>
                                                <m:r>
                                                  <w:rPr>
                                                    <w:rFonts w:ascii="Cambria Math" w:hAnsi="Cambria Math" w:cs="Times New Roman"/>
                                                    <w:sz w:val="24"/>
                                                    <w:szCs w:val="24"/>
                                                  </w:rPr>
                                                  <m:t>X</m:t>
                                                </m:r>
                                              </m:e>
                                              <m:sub>
                                                <m:r>
                                                  <w:rPr>
                                                    <w:rFonts w:ascii="Cambria Math" w:hAnsi="Cambria Math" w:cs="Times New Roman"/>
                                                    <w:sz w:val="24"/>
                                                    <w:szCs w:val="24"/>
                                                  </w:rPr>
                                                  <m:t>c,s</m:t>
                                                </m:r>
                                              </m:sub>
                                              <m:sup>
                                                <m:r>
                                                  <w:rPr>
                                                    <w:rFonts w:ascii="Cambria Math" w:hAnsi="Cambria Math" w:cs="Times New Roman"/>
                                                    <w:sz w:val="24"/>
                                                    <w:szCs w:val="24"/>
                                                  </w:rPr>
                                                  <m:t>World</m:t>
                                                </m:r>
                                              </m:sup>
                                            </m:sSubSup>
                                          </m:e>
                                        </m:groupChr>
                                      </m:e>
                                      <m:lim>
                                        <m:m>
                                          <m:mPr>
                                            <m:mcs>
                                              <m:mc>
                                                <m:mcPr>
                                                  <m:count m:val="1"/>
                                                  <m:mcJc m:val="center"/>
                                                </m:mcPr>
                                              </m:mc>
                                            </m:mcs>
                                            <m:ctrlPr>
                                              <w:rPr>
                                                <w:rFonts w:ascii="Cambria Math" w:hAnsi="Cambria Math" w:cs="Times New Roman"/>
                                                <w:iCs/>
                                                <w:kern w:val="2"/>
                                                <w:sz w:val="24"/>
                                                <w:szCs w:val="24"/>
                                                <w:lang w:eastAsia="ko-KR"/>
                                                <w14:ligatures w14:val="standardContextual"/>
                                              </w:rPr>
                                            </m:ctrlPr>
                                          </m:mPr>
                                          <m:mr>
                                            <m:e>
                                              <m:r>
                                                <m:rPr>
                                                  <m:sty m:val="p"/>
                                                </m:rPr>
                                                <w:rPr>
                                                  <w:rFonts w:ascii="Cambria Math" w:hAnsi="Cambria Math" w:cs="Times New Roman"/>
                                                  <w:sz w:val="24"/>
                                                  <w:szCs w:val="24"/>
                                                </w:rPr>
                                                <m:t>total trade in</m:t>
                                              </m:r>
                                            </m:e>
                                          </m:mr>
                                          <m:mr>
                                            <m:e>
                                              <m:r>
                                                <m:rPr>
                                                  <m:sty m:val="p"/>
                                                </m:rPr>
                                                <w:rPr>
                                                  <w:rFonts w:ascii="Cambria Math" w:hAnsi="Cambria Math" w:cs="Times New Roman"/>
                                                  <w:sz w:val="24"/>
                                                  <w:szCs w:val="24"/>
                                                </w:rPr>
                                                <m:t>the sector</m:t>
                                              </m:r>
                                            </m:e>
                                          </m:mr>
                                        </m:m>
                                      </m:lim>
                                    </m:limLow>
                                  </m:den>
                                </m:f>
                              </m:oMath>
                            </m:oMathPara>
                          </w:p>
                          <w:p w14:paraId="524267CA" w14:textId="77777777" w:rsidR="00832F47" w:rsidRPr="008C755E" w:rsidRDefault="00832F47" w:rsidP="00832F47">
                            <w:pPr>
                              <w:spacing w:before="120" w:after="200" w:line="240" w:lineRule="auto"/>
                              <w:rPr>
                                <w:rFonts w:ascii="Cambria" w:hAnsi="Cambria"/>
                              </w:rPr>
                            </w:pPr>
                            <w:r w:rsidRPr="008C755E">
                              <w:rPr>
                                <w:rFonts w:ascii="Cambria" w:hAnsi="Cambria" w:cstheme="minorHAnsi"/>
                              </w:rPr>
                              <w:tab/>
                            </w:r>
                            <w:r w:rsidRPr="30DCE178">
                              <w:rPr>
                                <w:rFonts w:ascii="Cambria" w:hAnsi="Cambria"/>
                              </w:rPr>
                              <w:t xml:space="preserve">       Where </w:t>
                            </w:r>
                            <w:r w:rsidRPr="008C755E">
                              <w:rPr>
                                <w:rFonts w:ascii="Cambria" w:hAnsi="Cambria" w:cs="Calibri"/>
                              </w:rPr>
                              <w:t>τ</w:t>
                            </w:r>
                            <w:r w:rsidRPr="30DCE178">
                              <w:rPr>
                                <w:rFonts w:ascii="Cambria" w:hAnsi="Cambria"/>
                              </w:rPr>
                              <w:t>=CO</w:t>
                            </w:r>
                            <w:r w:rsidRPr="30DCE178">
                              <w:rPr>
                                <w:rFonts w:ascii="Cambria" w:hAnsi="Cambria"/>
                                <w:vertAlign w:val="subscript"/>
                              </w:rPr>
                              <w:t>2</w:t>
                            </w:r>
                            <w:r w:rsidRPr="30DCE178">
                              <w:rPr>
                                <w:rFonts w:ascii="Cambria" w:hAnsi="Cambria"/>
                              </w:rPr>
                              <w:t xml:space="preserve"> price, </w:t>
                            </w:r>
                            <w:r w:rsidRPr="30DCE178">
                              <w:rPr>
                                <w:rFonts w:ascii="Cambria" w:hAnsi="Cambria"/>
                                <w:i/>
                              </w:rPr>
                              <w:t>c</w:t>
                            </w:r>
                            <w:r w:rsidRPr="30DCE178">
                              <w:rPr>
                                <w:rFonts w:ascii="Cambria" w:hAnsi="Cambria"/>
                              </w:rPr>
                              <w:t xml:space="preserve"> = country, </w:t>
                            </w:r>
                            <w:r w:rsidRPr="30DCE178">
                              <w:rPr>
                                <w:rFonts w:ascii="Cambria" w:hAnsi="Cambria"/>
                                <w:i/>
                              </w:rPr>
                              <w:t>s</w:t>
                            </w:r>
                            <w:r w:rsidRPr="30DCE178">
                              <w:rPr>
                                <w:rFonts w:ascii="Cambria" w:hAnsi="Cambria"/>
                              </w:rPr>
                              <w:t xml:space="preserve"> = sector, </w:t>
                            </w:r>
                            <w:r w:rsidRPr="30DCE178">
                              <w:rPr>
                                <w:rFonts w:ascii="Cambria" w:hAnsi="Cambria"/>
                                <w:i/>
                              </w:rPr>
                              <w:t>X</w:t>
                            </w:r>
                            <w:r w:rsidRPr="30DCE178">
                              <w:rPr>
                                <w:rFonts w:ascii="Cambria" w:hAnsi="Cambria"/>
                              </w:rPr>
                              <w:t xml:space="preserve"> = exports, </w:t>
                            </w:r>
                            <w:r w:rsidRPr="30DCE178">
                              <w:rPr>
                                <w:rFonts w:ascii="Cambria" w:hAnsi="Cambria"/>
                                <w:i/>
                              </w:rPr>
                              <w:t>EI</w:t>
                            </w:r>
                            <w:r w:rsidRPr="30DCE178">
                              <w:rPr>
                                <w:rFonts w:ascii="Cambria" w:hAnsi="Cambria"/>
                              </w:rPr>
                              <w:t xml:space="preserve"> = emission intensity.</w:t>
                            </w:r>
                          </w:p>
                          <w:p w14:paraId="7963ED13" w14:textId="58949E74" w:rsidR="00832F47" w:rsidRDefault="00832F47" w:rsidP="00832F47">
                            <w:r>
                              <w:rPr>
                                <w:b/>
                                <w:bCs/>
                              </w:rPr>
                              <w:t>Different approaches can be taken t</w:t>
                            </w:r>
                            <w:r w:rsidRPr="71592105">
                              <w:rPr>
                                <w:b/>
                                <w:bCs/>
                              </w:rPr>
                              <w:t xml:space="preserve">o compute the index, </w:t>
                            </w:r>
                            <w:r>
                              <w:rPr>
                                <w:b/>
                                <w:bCs/>
                              </w:rPr>
                              <w:t xml:space="preserve">based on the choice of trade and emissions intensity data sources. </w:t>
                            </w:r>
                            <w:r>
                              <w:t xml:space="preserve">One follows the original cross-country analysis of the World Bank (Maliszewska et al. 2025), which combines emissions intensity per dollar of value from the GTAP database, an input-output approach </w:t>
                            </w:r>
                            <w:r>
                              <w:rPr>
                                <w:rFonts w:cs="Segoe UI"/>
                              </w:rPr>
                              <w:t>widely used in numerical models</w:t>
                            </w:r>
                            <w:r>
                              <w:t xml:space="preserve">, with </w:t>
                            </w:r>
                            <w:r w:rsidRPr="00E473FB">
                              <w:rPr>
                                <w:rFonts w:cs="Segoe UI"/>
                              </w:rPr>
                              <w:t xml:space="preserve">trade data </w:t>
                            </w:r>
                            <w:r>
                              <w:rPr>
                                <w:rFonts w:cs="Segoe UI"/>
                              </w:rPr>
                              <w:t xml:space="preserve">(also in monetary values) </w:t>
                            </w:r>
                            <w:r w:rsidRPr="00E473FB">
                              <w:rPr>
                                <w:rFonts w:cs="Segoe UI"/>
                              </w:rPr>
                              <w:t>from the World Integrated Trade Solutions (WITS) database</w:t>
                            </w:r>
                            <w:r>
                              <w:rPr>
                                <w:rFonts w:cs="Segoe UI"/>
                              </w:rPr>
                              <w:t>.</w:t>
                            </w:r>
                            <w:r>
                              <w:rPr>
                                <w:rStyle w:val="FootnoteReference"/>
                              </w:rPr>
                              <w:footnoteRef/>
                            </w:r>
                            <w:r>
                              <w:rPr>
                                <w:rFonts w:cs="Segoe UI"/>
                              </w:rPr>
                              <w:t xml:space="preserve"> These </w:t>
                            </w:r>
                            <w:r>
                              <w:rPr>
                                <w:rFonts w:cs="Segoe UI"/>
                                <w:i/>
                                <w:iCs/>
                              </w:rPr>
                              <w:t xml:space="preserve">value-based </w:t>
                            </w:r>
                            <w:r>
                              <w:rPr>
                                <w:rFonts w:cs="Segoe UI"/>
                              </w:rPr>
                              <w:t xml:space="preserve">data can be directly compared across countries, but essentially assume identical average emissions intensities per dollar across all products within the aggregated sector of a country. By contrast, a </w:t>
                            </w:r>
                            <w:r>
                              <w:rPr>
                                <w:rFonts w:cs="Segoe UI"/>
                                <w:i/>
                                <w:iCs/>
                              </w:rPr>
                              <w:t xml:space="preserve">mass-based </w:t>
                            </w:r>
                            <w:r>
                              <w:rPr>
                                <w:rFonts w:cs="Segoe UI"/>
                              </w:rPr>
                              <w:t>approach more closely follows the design of the CBAM: it takes</w:t>
                            </w:r>
                            <w:r w:rsidRPr="71592105">
                              <w:rPr>
                                <w:b/>
                                <w:bCs/>
                              </w:rPr>
                              <w:t xml:space="preserve"> </w:t>
                            </w:r>
                            <w:r w:rsidRPr="00E5144A">
                              <w:t>the</w:t>
                            </w:r>
                            <w:r>
                              <w:rPr>
                                <w:b/>
                                <w:bCs/>
                              </w:rPr>
                              <w:t xml:space="preserve"> </w:t>
                            </w:r>
                            <w:r>
                              <w:t xml:space="preserve">EU country- and product-specific default values to represent </w:t>
                            </w:r>
                            <w:r w:rsidRPr="00E5144A">
                              <w:t xml:space="preserve">emission intensity </w:t>
                            </w:r>
                            <w:r>
                              <w:t>by weight, and uses trade data in tons from BACI to calculate the carbon embodied in exports to the EU for each 6-digit covered product code, aggregating embedded carbon to the sector level. To compare to the embedded emissions in an average EU producer, weight-based emission intensities are taken for the EU</w:t>
                            </w:r>
                            <w:r w:rsidRPr="71592105">
                              <w:rPr>
                                <w:b/>
                                <w:bCs/>
                              </w:rPr>
                              <w:t xml:space="preserve"> </w:t>
                            </w:r>
                            <w:r w:rsidRPr="00524131">
                              <w:t>from the Joint Research Center (JRC) database</w:t>
                            </w:r>
                            <w:r w:rsidRPr="00AF6469">
                              <w:t>;</w:t>
                            </w:r>
                            <w:r w:rsidRPr="71592105">
                              <w:rPr>
                                <w:rStyle w:val="FootnoteReference"/>
                              </w:rPr>
                              <w:footnoteRef/>
                            </w:r>
                            <w:r>
                              <w:rPr>
                                <w:rFonts w:cs="Segoe UI"/>
                                <w:b/>
                                <w:bCs/>
                                <w:sz w:val="18"/>
                                <w:szCs w:val="18"/>
                              </w:rPr>
                              <w:t xml:space="preserve"> </w:t>
                            </w:r>
                            <w:r>
                              <w:rPr>
                                <w:rFonts w:cs="Segoe UI"/>
                              </w:rPr>
                              <w:t xml:space="preserve">the EU comparison is then calculated for the same composition of products in Egyptian exports. </w:t>
                            </w:r>
                            <w:r w:rsidRPr="71592105">
                              <w:t xml:space="preserve">To </w:t>
                            </w:r>
                            <w:r>
                              <w:t xml:space="preserve">calculate </w:t>
                            </w:r>
                            <w:r w:rsidRPr="71592105">
                              <w:t>the CBAM trade exposure index</w:t>
                            </w:r>
                            <w:r>
                              <w:t>es,</w:t>
                            </w:r>
                            <w:r w:rsidRPr="71592105">
                              <w:t xml:space="preserve"> we </w:t>
                            </w:r>
                            <w:r>
                              <w:t xml:space="preserve">use a </w:t>
                            </w:r>
                            <w:r w:rsidRPr="71592105">
                              <w:t xml:space="preserve">USD 100 per metric ton of CO₂ equivalent </w:t>
                            </w:r>
                            <w:r>
                              <w:t xml:space="preserve">for the certificate price and make additional assumptions that 1) </w:t>
                            </w:r>
                            <w:r w:rsidRPr="71592105">
                              <w:t>the CBAM is fully phased in</w:t>
                            </w:r>
                            <w:r>
                              <w:t xml:space="preserve"> (no free benchmark allocations), 2) the defaults are indicative of mass-based emission intensities (no markups), and 3) trade patterns remain as in recent years</w:t>
                            </w:r>
                            <w:r w:rsidRPr="71592105">
                              <w:t>.</w:t>
                            </w:r>
                            <w:r>
                              <w:t xml:space="preserve"> The total excess carbon payments, calculated by either method, are divided by the total value of product exports in the sector using the associated trade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9684246" id="_x0000_t202" coordsize="21600,21600" o:spt="202" path="m,l,21600r21600,l21600,xe">
                <v:stroke joinstyle="miter"/>
                <v:path gradientshapeok="t" o:connecttype="rect"/>
              </v:shapetype>
              <v:shape id="Text Box 5" o:spid="_x0000_s1026" type="#_x0000_t202" style="position:absolute;left:0;text-align:left;margin-left:1.35pt;margin-top:4.85pt;width:466.95pt;height:582.2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" fillcolor="white [3201]" strokeweight=".5pt">
                <v:textbox>
                  <w:txbxContent>
                    <w:p w14:paraId="34C609E4" w14:textId="6D8A4A57" w:rsidR="00832F47" w:rsidRPr="007B2B34" w:rsidRDefault="00832F47" w:rsidP="00832F47">
                      <w:pPr>
                        <w:spacing w:line="240" w:lineRule="auto"/>
                      </w:pPr>
                      <w:r w:rsidRPr="00AF130A">
                        <w:rPr>
                          <w:b/>
                          <w:bCs/>
                        </w:rPr>
                        <w:t>Th</w:t>
                      </w:r>
                      <w:r w:rsidR="00B844AD" w:rsidRPr="00AF130A">
                        <w:rPr>
                          <w:b/>
                          <w:bCs/>
                        </w:rPr>
                        <w:t>e CBAM Trade Exposure</w:t>
                      </w:r>
                      <w:r w:rsidRPr="00AF130A">
                        <w:rPr>
                          <w:b/>
                          <w:bCs/>
                        </w:rPr>
                        <w:t xml:space="preserve"> </w:t>
                      </w:r>
                      <w:r w:rsidR="00B844AD" w:rsidRPr="00AF130A">
                        <w:rPr>
                          <w:b/>
                          <w:bCs/>
                        </w:rPr>
                        <w:t>I</w:t>
                      </w:r>
                      <w:r w:rsidRPr="00AF130A">
                        <w:rPr>
                          <w:b/>
                          <w:bCs/>
                        </w:rPr>
                        <w:t xml:space="preserve">ndex </w:t>
                      </w:r>
                      <w:r w:rsidR="00B844AD" w:rsidRPr="00AF130A">
                        <w:rPr>
                          <w:b/>
                          <w:bCs/>
                        </w:rPr>
                        <w:t xml:space="preserve">(TEI) </w:t>
                      </w:r>
                      <w:r w:rsidRPr="00AF130A">
                        <w:rPr>
                          <w:b/>
                          <w:bCs/>
                        </w:rPr>
                        <w:t xml:space="preserve">is derived by multiplying two </w:t>
                      </w:r>
                      <w:r w:rsidR="00B844AD" w:rsidRPr="00AF130A">
                        <w:rPr>
                          <w:b/>
                          <w:bCs/>
                        </w:rPr>
                        <w:t xml:space="preserve">key </w:t>
                      </w:r>
                      <w:r w:rsidRPr="00AF130A">
                        <w:rPr>
                          <w:b/>
                          <w:bCs/>
                        </w:rPr>
                        <w:t>factors: difference in emission intensity and trade dependence on the EU</w:t>
                      </w:r>
                      <w:r w:rsidRPr="11357084">
                        <w:t xml:space="preserve"> (see equation below). </w:t>
                      </w:r>
                      <w:r w:rsidR="00DA6E86">
                        <w:t xml:space="preserve">It </w:t>
                      </w:r>
                      <w:r w:rsidRPr="11357084">
                        <w:t xml:space="preserve">is calculated by dividing the </w:t>
                      </w:r>
                      <w:r w:rsidRPr="00A342EB">
                        <w:rPr>
                          <w:i/>
                          <w:iCs/>
                        </w:rPr>
                        <w:t>excess carbon payments</w:t>
                      </w:r>
                      <w:r w:rsidRPr="11357084">
                        <w:t xml:space="preserve">—determined by a carbon price, the value of affected exports to the EU, and the difference between Egypt’s emissions intensity and the EU average in the affected sector—by the total value of the country’s global exports of the affected sector. </w:t>
                      </w:r>
                      <w:r w:rsidRPr="00262A17">
                        <w:t xml:space="preserve">The product of the price and the emission intensity denotes the carbon payment per dollar of output and can be referred to as the </w:t>
                      </w:r>
                      <w:r w:rsidRPr="000D3921">
                        <w:t>carbon-cost intensity</w:t>
                      </w:r>
                      <w:r w:rsidRPr="00DA6E86">
                        <w:t>.</w:t>
                      </w:r>
                      <w:r w:rsidRPr="00262A17">
                        <w:rPr>
                          <w:b/>
                          <w:bCs/>
                        </w:rPr>
                        <w:t xml:space="preserve"> </w:t>
                      </w:r>
                      <w:r>
                        <w:t xml:space="preserve">Excess carbon payments represent the total value of CBAM certificates in excess of the emissions costs of EU competitors for the value of exports for the affected sector. </w:t>
                      </w:r>
                    </w:p>
                    <w:p w14:paraId="2C76525C" w14:textId="77777777" w:rsidR="00832F47" w:rsidRDefault="00ED7AA9" w:rsidP="00832F47">
                      <w:pPr>
                        <w:spacing w:after="0" w:line="240" w:lineRule="auto"/>
                        <w:jc w:val="center"/>
                      </w:pPr>
                      <m:oMathPara>
                        <m:oMath>
                          <m:sSub>
                            <m:sSubPr>
                              <m:ctrlPr>
                                <w:rPr>
                                  <w:rFonts w:ascii="Cambria Math" w:hAnsi="Cambria Math" w:cs="Times New Roman"/>
                                  <w:iCs/>
                                  <w:kern w:val="2"/>
                                  <w:sz w:val="24"/>
                                  <w:szCs w:val="24"/>
                                  <w:lang w:eastAsia="ko-KR"/>
                                  <w14:ligatures w14:val="standardContextual"/>
                                </w:rPr>
                              </m:ctrlPr>
                            </m:sSubPr>
                            <m:e>
                              <m:r>
                                <m:rPr>
                                  <m:sty m:val="p"/>
                                </m:rPr>
                                <w:rPr>
                                  <w:rFonts w:ascii="Cambria Math" w:hAnsi="Cambria Math" w:cs="Times New Roman"/>
                                  <w:sz w:val="24"/>
                                  <w:szCs w:val="24"/>
                                </w:rPr>
                                <m:t>CBAM TEI</m:t>
                              </m:r>
                            </m:e>
                            <m:sub>
                              <m:r>
                                <w:rPr>
                                  <w:rFonts w:ascii="Cambria Math" w:hAnsi="Cambria Math" w:cs="Times New Roman"/>
                                  <w:sz w:val="24"/>
                                  <w:szCs w:val="24"/>
                                </w:rPr>
                                <m:t>c,s</m:t>
                              </m:r>
                            </m:sub>
                          </m:sSub>
                          <m:r>
                            <w:rPr>
                              <w:rFonts w:ascii="Cambria Math" w:hAnsi="Cambria Math" w:cs="Times New Roman"/>
                              <w:sz w:val="24"/>
                              <w:szCs w:val="24"/>
                            </w:rPr>
                            <m:t xml:space="preserve">= </m:t>
                          </m:r>
                          <m:limUpp>
                            <m:limUppPr>
                              <m:ctrlPr>
                                <w:rPr>
                                  <w:rFonts w:ascii="Cambria Math" w:hAnsi="Cambria Math" w:cs="Times New Roman"/>
                                  <w:i/>
                                  <w:kern w:val="2"/>
                                  <w:sz w:val="24"/>
                                  <w:szCs w:val="24"/>
                                  <w:lang w:eastAsia="ko-KR"/>
                                  <w14:ligatures w14:val="standardContextual"/>
                                </w:rPr>
                              </m:ctrlPr>
                            </m:limUppPr>
                            <m:e>
                              <m:groupChr>
                                <m:groupChrPr>
                                  <m:chr m:val="⏞"/>
                                  <m:pos m:val="top"/>
                                  <m:vertJc m:val="bot"/>
                                  <m:ctrlPr>
                                    <w:rPr>
                                      <w:rFonts w:ascii="Cambria Math" w:hAnsi="Cambria Math" w:cs="Times New Roman"/>
                                      <w:i/>
                                      <w:kern w:val="2"/>
                                      <w:sz w:val="24"/>
                                      <w:szCs w:val="24"/>
                                      <w:lang w:eastAsia="ko-KR"/>
                                      <w14:ligatures w14:val="standardContextual"/>
                                    </w:rPr>
                                  </m:ctrlPr>
                                </m:groupChrPr>
                                <m:e>
                                  <m:limUpp>
                                    <m:limUppPr>
                                      <m:ctrlPr>
                                        <w:rPr>
                                          <w:rFonts w:ascii="Cambria Math" w:hAnsi="Cambria Math" w:cs="Times New Roman"/>
                                          <w:i/>
                                          <w:kern w:val="2"/>
                                          <w:sz w:val="24"/>
                                          <w:szCs w:val="24"/>
                                          <w:lang w:eastAsia="ko-KR"/>
                                          <w14:ligatures w14:val="standardContextual"/>
                                        </w:rPr>
                                      </m:ctrlPr>
                                    </m:limUppPr>
                                    <m:e>
                                      <m:groupChr>
                                        <m:groupChrPr>
                                          <m:chr m:val="⏞"/>
                                          <m:pos m:val="top"/>
                                          <m:vertJc m:val="bot"/>
                                          <m:ctrlPr>
                                            <w:rPr>
                                              <w:rFonts w:ascii="Cambria Math" w:hAnsi="Cambria Math" w:cs="Times New Roman"/>
                                              <w:i/>
                                              <w:kern w:val="2"/>
                                              <w:sz w:val="24"/>
                                              <w:szCs w:val="24"/>
                                              <w:lang w:eastAsia="ko-KR"/>
                                              <w14:ligatures w14:val="standardContextual"/>
                                            </w:rPr>
                                          </m:ctrlPr>
                                        </m:groupChrPr>
                                        <m:e>
                                          <m:r>
                                            <w:rPr>
                                              <w:rFonts w:ascii="Cambria Math" w:hAnsi="Cambria Math" w:cs="Times New Roman"/>
                                              <w:sz w:val="24"/>
                                              <w:szCs w:val="24"/>
                                            </w:rPr>
                                            <m:t>τ</m:t>
                                          </m:r>
                                        </m:e>
                                      </m:groupChr>
                                    </m:e>
                                    <m:lim>
                                      <m:m>
                                        <m:mPr>
                                          <m:mcs>
                                            <m:mc>
                                              <m:mcPr>
                                                <m:count m:val="1"/>
                                                <m:mcJc m:val="center"/>
                                              </m:mcPr>
                                            </m:mc>
                                          </m:mcs>
                                          <m:ctrlPr>
                                            <w:rPr>
                                              <w:rFonts w:ascii="Cambria Math" w:hAnsi="Cambria Math" w:cs="Times New Roman"/>
                                              <w:iCs/>
                                              <w:kern w:val="2"/>
                                              <w:sz w:val="24"/>
                                              <w:szCs w:val="24"/>
                                              <w:lang w:eastAsia="ko-KR"/>
                                              <w14:ligatures w14:val="standardContextual"/>
                                            </w:rPr>
                                          </m:ctrlPr>
                                        </m:mPr>
                                        <m:mr>
                                          <m:e>
                                            <m:sSub>
                                              <m:sSubPr>
                                                <m:ctrlPr>
                                                  <w:rPr>
                                                    <w:rFonts w:ascii="Cambria Math" w:hAnsi="Cambria Math" w:cs="Times New Roman"/>
                                                    <w:iCs/>
                                                    <w:kern w:val="2"/>
                                                    <w:sz w:val="24"/>
                                                    <w:szCs w:val="24"/>
                                                    <w:lang w:eastAsia="ko-KR"/>
                                                    <w14:ligatures w14:val="standardContextual"/>
                                                  </w:rPr>
                                                </m:ctrlPr>
                                              </m:sSubPr>
                                              <m:e>
                                                <m:r>
                                                  <m:rPr>
                                                    <m:sty m:val="p"/>
                                                  </m:rPr>
                                                  <w:rPr>
                                                    <w:rFonts w:ascii="Cambria Math" w:hAnsi="Cambria Math" w:cs="Times New Roman"/>
                                                    <w:sz w:val="24"/>
                                                    <w:szCs w:val="24"/>
                                                  </w:rPr>
                                                  <m:t>CO</m:t>
                                                </m:r>
                                              </m:e>
                                              <m:sub>
                                                <m:r>
                                                  <m:rPr>
                                                    <m:sty m:val="p"/>
                                                  </m:rPr>
                                                  <w:rPr>
                                                    <w:rFonts w:ascii="Cambria Math" w:hAnsi="Cambria Math" w:cs="Times New Roman"/>
                                                    <w:sz w:val="24"/>
                                                    <w:szCs w:val="24"/>
                                                  </w:rPr>
                                                  <m:t>2</m:t>
                                                </m:r>
                                              </m:sub>
                                            </m:sSub>
                                          </m:e>
                                        </m:mr>
                                        <m:mr>
                                          <m:e>
                                            <m:r>
                                              <m:rPr>
                                                <m:sty m:val="p"/>
                                              </m:rPr>
                                              <w:rPr>
                                                <w:rFonts w:ascii="Cambria Math" w:hAnsi="Cambria Math" w:cs="Times New Roman"/>
                                                <w:sz w:val="24"/>
                                                <w:szCs w:val="24"/>
                                              </w:rPr>
                                              <m:t>price</m:t>
                                            </m:r>
                                          </m:e>
                                        </m:mr>
                                      </m:m>
                                    </m:lim>
                                  </m:limUpp>
                                  <m:r>
                                    <w:rPr>
                                      <w:rFonts w:ascii="Cambria Math" w:hAnsi="Cambria Math" w:cs="Times New Roman"/>
                                      <w:sz w:val="24"/>
                                      <w:szCs w:val="24"/>
                                    </w:rPr>
                                    <m:t>·</m:t>
                                  </m:r>
                                  <m:limUpp>
                                    <m:limUppPr>
                                      <m:ctrlPr>
                                        <w:rPr>
                                          <w:rFonts w:ascii="Cambria Math" w:hAnsi="Cambria Math" w:cs="Times New Roman"/>
                                          <w:i/>
                                          <w:kern w:val="2"/>
                                          <w:sz w:val="24"/>
                                          <w:szCs w:val="24"/>
                                          <w:lang w:eastAsia="ko-KR"/>
                                          <w14:ligatures w14:val="standardContextual"/>
                                        </w:rPr>
                                      </m:ctrlPr>
                                    </m:limUppPr>
                                    <m:e>
                                      <m:groupChr>
                                        <m:groupChrPr>
                                          <m:chr m:val="⏞"/>
                                          <m:pos m:val="top"/>
                                          <m:vertJc m:val="bot"/>
                                          <m:ctrlPr>
                                            <w:rPr>
                                              <w:rFonts w:ascii="Cambria Math" w:hAnsi="Cambria Math" w:cs="Times New Roman"/>
                                              <w:i/>
                                              <w:kern w:val="2"/>
                                              <w:sz w:val="24"/>
                                              <w:szCs w:val="24"/>
                                              <w:lang w:eastAsia="ko-KR"/>
                                              <w14:ligatures w14:val="standardContextual"/>
                                            </w:rPr>
                                          </m:ctrlPr>
                                        </m:groupChrPr>
                                        <m:e>
                                          <m:d>
                                            <m:dPr>
                                              <m:ctrlPr>
                                                <w:rPr>
                                                  <w:rFonts w:ascii="Cambria Math" w:hAnsi="Cambria Math" w:cs="Times New Roman"/>
                                                  <w:i/>
                                                  <w:sz w:val="24"/>
                                                  <w:szCs w:val="24"/>
                                                </w:rPr>
                                              </m:ctrlPr>
                                            </m:dPr>
                                            <m:e>
                                              <m:sSub>
                                                <m:sSubPr>
                                                  <m:ctrlPr>
                                                    <w:rPr>
                                                      <w:rFonts w:ascii="Cambria Math" w:hAnsi="Cambria Math" w:cs="Times New Roman"/>
                                                      <w:i/>
                                                      <w:kern w:val="2"/>
                                                      <w:sz w:val="24"/>
                                                      <w:szCs w:val="24"/>
                                                      <w:lang w:eastAsia="ko-KR"/>
                                                      <w14:ligatures w14:val="standardContextual"/>
                                                    </w:rPr>
                                                  </m:ctrlPr>
                                                </m:sSubPr>
                                                <m:e>
                                                  <m:r>
                                                    <w:rPr>
                                                      <w:rFonts w:ascii="Cambria Math" w:hAnsi="Cambria Math" w:cs="Times New Roman"/>
                                                      <w:sz w:val="24"/>
                                                      <w:szCs w:val="24"/>
                                                    </w:rPr>
                                                    <m:t>EI</m:t>
                                                  </m:r>
                                                </m:e>
                                                <m:sub>
                                                  <m:r>
                                                    <w:rPr>
                                                      <w:rFonts w:ascii="Cambria Math" w:hAnsi="Cambria Math" w:cs="Times New Roman"/>
                                                      <w:sz w:val="24"/>
                                                      <w:szCs w:val="24"/>
                                                    </w:rPr>
                                                    <m:t>c,s</m:t>
                                                  </m:r>
                                                </m:sub>
                                              </m:sSub>
                                              <m:r>
                                                <w:rPr>
                                                  <w:rFonts w:ascii="Cambria Math" w:hAnsi="Cambria Math" w:cs="Times New Roman"/>
                                                  <w:sz w:val="24"/>
                                                  <w:szCs w:val="24"/>
                                                </w:rPr>
                                                <m:t>-</m:t>
                                              </m:r>
                                              <m:sSub>
                                                <m:sSubPr>
                                                  <m:ctrlPr>
                                                    <w:rPr>
                                                      <w:rFonts w:ascii="Cambria Math" w:hAnsi="Cambria Math" w:cs="Times New Roman"/>
                                                      <w:i/>
                                                      <w:kern w:val="2"/>
                                                      <w:sz w:val="24"/>
                                                      <w:szCs w:val="24"/>
                                                      <w:lang w:eastAsia="ko-KR"/>
                                                      <w14:ligatures w14:val="standardContextual"/>
                                                    </w:rPr>
                                                  </m:ctrlPr>
                                                </m:sSubPr>
                                                <m:e>
                                                  <m:r>
                                                    <w:rPr>
                                                      <w:rFonts w:ascii="Cambria Math" w:hAnsi="Cambria Math" w:cs="Times New Roman"/>
                                                      <w:sz w:val="24"/>
                                                      <w:szCs w:val="24"/>
                                                    </w:rPr>
                                                    <m:t>EI</m:t>
                                                  </m:r>
                                                </m:e>
                                                <m:sub>
                                                  <m:r>
                                                    <w:rPr>
                                                      <w:rFonts w:ascii="Cambria Math" w:hAnsi="Cambria Math" w:cs="Times New Roman"/>
                                                      <w:sz w:val="24"/>
                                                      <w:szCs w:val="24"/>
                                                    </w:rPr>
                                                    <m:t>EU,s</m:t>
                                                  </m:r>
                                                </m:sub>
                                              </m:sSub>
                                            </m:e>
                                          </m:d>
                                        </m:e>
                                      </m:groupChr>
                                    </m:e>
                                    <m:lim>
                                      <m:m>
                                        <m:mPr>
                                          <m:mcs>
                                            <m:mc>
                                              <m:mcPr>
                                                <m:count m:val="1"/>
                                                <m:mcJc m:val="center"/>
                                              </m:mcPr>
                                            </m:mc>
                                          </m:mcs>
                                          <m:ctrlPr>
                                            <w:rPr>
                                              <w:rFonts w:ascii="Cambria Math" w:hAnsi="Cambria Math" w:cs="Times New Roman"/>
                                              <w:iCs/>
                                              <w:kern w:val="2"/>
                                              <w:sz w:val="24"/>
                                              <w:szCs w:val="24"/>
                                              <w:lang w:eastAsia="ko-KR"/>
                                              <w14:ligatures w14:val="standardContextual"/>
                                            </w:rPr>
                                          </m:ctrlPr>
                                        </m:mPr>
                                        <m:mr>
                                          <m:e>
                                            <m:r>
                                              <m:rPr>
                                                <m:sty m:val="p"/>
                                              </m:rPr>
                                              <w:rPr>
                                                <w:rFonts w:ascii="Cambria Math" w:hAnsi="Cambria Math" w:cs="Times New Roman"/>
                                                <w:sz w:val="24"/>
                                                <w:szCs w:val="24"/>
                                              </w:rPr>
                                              <m:t>difference from EU</m:t>
                                            </m:r>
                                          </m:e>
                                        </m:mr>
                                        <m:mr>
                                          <m:e>
                                            <m:r>
                                              <m:rPr>
                                                <m:sty m:val="p"/>
                                              </m:rPr>
                                              <w:rPr>
                                                <w:rFonts w:ascii="Cambria Math" w:hAnsi="Cambria Math" w:cs="Times New Roman"/>
                                                <w:sz w:val="24"/>
                                                <w:szCs w:val="24"/>
                                              </w:rPr>
                                              <m:t>emission intensity</m:t>
                                            </m:r>
                                          </m:e>
                                        </m:mr>
                                      </m:m>
                                    </m:lim>
                                  </m:limUpp>
                                </m:e>
                              </m:groupChr>
                            </m:e>
                            <m:lim>
                              <m:r>
                                <w:rPr>
                                  <w:rFonts w:ascii="Cambria Math" w:hAnsi="Cambria Math" w:cs="Times New Roman"/>
                                </w:rPr>
                                <m:t>Relative carbon cost intensity</m:t>
                              </m:r>
                            </m:lim>
                          </m:limUpp>
                          <m:r>
                            <w:rPr>
                              <w:rFonts w:ascii="Cambria Math" w:hAnsi="Cambria Math" w:cs="Times New Roman"/>
                              <w:sz w:val="24"/>
                              <w:szCs w:val="24"/>
                            </w:rPr>
                            <m:t>·</m:t>
                          </m:r>
                          <m:limLow>
                            <m:limLowPr>
                              <m:ctrlPr>
                                <w:rPr>
                                  <w:rFonts w:ascii="Cambria Math" w:hAnsi="Cambria Math" w:cs="Times New Roman"/>
                                  <w:i/>
                                  <w:kern w:val="2"/>
                                  <w:sz w:val="24"/>
                                  <w:szCs w:val="24"/>
                                  <w:lang w:eastAsia="ko-KR"/>
                                  <w14:ligatures w14:val="standardContextual"/>
                                </w:rPr>
                              </m:ctrlPr>
                            </m:limLowPr>
                            <m:e>
                              <m:groupChr>
                                <m:groupChrPr>
                                  <m:ctrlPr>
                                    <w:rPr>
                                      <w:rFonts w:ascii="Cambria Math" w:hAnsi="Cambria Math" w:cs="Times New Roman"/>
                                      <w:i/>
                                      <w:kern w:val="2"/>
                                      <w:sz w:val="24"/>
                                      <w:szCs w:val="24"/>
                                      <w:lang w:eastAsia="ko-KR"/>
                                      <w14:ligatures w14:val="standardContextual"/>
                                    </w:rPr>
                                  </m:ctrlPr>
                                </m:groupChrPr>
                                <m:e>
                                  <m:f>
                                    <m:fPr>
                                      <m:ctrlPr>
                                        <w:rPr>
                                          <w:rFonts w:ascii="Cambria Math" w:hAnsi="Cambria Math" w:cs="Times New Roman"/>
                                          <w:i/>
                                          <w:kern w:val="2"/>
                                          <w:sz w:val="24"/>
                                          <w:szCs w:val="24"/>
                                          <w:lang w:eastAsia="ko-KR"/>
                                          <w14:ligatures w14:val="standardContextual"/>
                                        </w:rPr>
                                      </m:ctrlPr>
                                    </m:fPr>
                                    <m:num>
                                      <m:sSubSup>
                                        <m:sSubSupPr>
                                          <m:ctrlPr>
                                            <w:rPr>
                                              <w:rFonts w:ascii="Cambria Math" w:hAnsi="Cambria Math" w:cs="Times New Roman"/>
                                              <w:i/>
                                              <w:kern w:val="2"/>
                                              <w:sz w:val="24"/>
                                              <w:szCs w:val="24"/>
                                              <w:lang w:eastAsia="ko-KR"/>
                                              <w14:ligatures w14:val="standardContextual"/>
                                            </w:rPr>
                                          </m:ctrlPr>
                                        </m:sSubSupPr>
                                        <m:e>
                                          <m:r>
                                            <w:rPr>
                                              <w:rFonts w:ascii="Cambria Math" w:hAnsi="Cambria Math" w:cs="Times New Roman"/>
                                              <w:sz w:val="24"/>
                                              <w:szCs w:val="24"/>
                                            </w:rPr>
                                            <m:t>X</m:t>
                                          </m:r>
                                        </m:e>
                                        <m:sub>
                                          <m:r>
                                            <w:rPr>
                                              <w:rFonts w:ascii="Cambria Math" w:hAnsi="Cambria Math" w:cs="Times New Roman"/>
                                              <w:sz w:val="24"/>
                                              <w:szCs w:val="24"/>
                                            </w:rPr>
                                            <m:t>c,s</m:t>
                                          </m:r>
                                        </m:sub>
                                        <m:sup>
                                          <m:r>
                                            <w:rPr>
                                              <w:rFonts w:ascii="Cambria Math" w:hAnsi="Cambria Math" w:cs="Times New Roman"/>
                                              <w:sz w:val="24"/>
                                              <w:szCs w:val="24"/>
                                            </w:rPr>
                                            <m:t>EU</m:t>
                                          </m:r>
                                        </m:sup>
                                      </m:sSubSup>
                                    </m:num>
                                    <m:den>
                                      <m:sSubSup>
                                        <m:sSubSupPr>
                                          <m:ctrlPr>
                                            <w:rPr>
                                              <w:rFonts w:ascii="Cambria Math" w:hAnsi="Cambria Math" w:cs="Times New Roman"/>
                                              <w:i/>
                                              <w:kern w:val="2"/>
                                              <w:sz w:val="24"/>
                                              <w:szCs w:val="24"/>
                                              <w:lang w:eastAsia="ko-KR"/>
                                              <w14:ligatures w14:val="standardContextual"/>
                                            </w:rPr>
                                          </m:ctrlPr>
                                        </m:sSubSupPr>
                                        <m:e>
                                          <m:r>
                                            <w:rPr>
                                              <w:rFonts w:ascii="Cambria Math" w:hAnsi="Cambria Math" w:cs="Times New Roman"/>
                                              <w:sz w:val="24"/>
                                              <w:szCs w:val="24"/>
                                            </w:rPr>
                                            <m:t>X</m:t>
                                          </m:r>
                                        </m:e>
                                        <m:sub>
                                          <m:r>
                                            <w:rPr>
                                              <w:rFonts w:ascii="Cambria Math" w:hAnsi="Cambria Math" w:cs="Times New Roman"/>
                                              <w:sz w:val="24"/>
                                              <w:szCs w:val="24"/>
                                            </w:rPr>
                                            <m:t>c,s</m:t>
                                          </m:r>
                                        </m:sub>
                                        <m:sup>
                                          <m:r>
                                            <w:rPr>
                                              <w:rFonts w:ascii="Cambria Math" w:hAnsi="Cambria Math" w:cs="Times New Roman"/>
                                              <w:sz w:val="24"/>
                                              <w:szCs w:val="24"/>
                                            </w:rPr>
                                            <m:t>World</m:t>
                                          </m:r>
                                        </m:sup>
                                      </m:sSubSup>
                                    </m:den>
                                  </m:f>
                                </m:e>
                              </m:groupChr>
                            </m:e>
                            <m:lim>
                              <m:m>
                                <m:mPr>
                                  <m:mcs>
                                    <m:mc>
                                      <m:mcPr>
                                        <m:count m:val="1"/>
                                        <m:mcJc m:val="center"/>
                                      </m:mcPr>
                                    </m:mc>
                                  </m:mcs>
                                  <m:ctrlPr>
                                    <w:rPr>
                                      <w:rFonts w:ascii="Cambria Math" w:hAnsi="Cambria Math" w:cs="Times New Roman"/>
                                      <w:iCs/>
                                      <w:kern w:val="2"/>
                                      <w:sz w:val="24"/>
                                      <w:szCs w:val="24"/>
                                      <w:lang w:eastAsia="ko-KR"/>
                                      <w14:ligatures w14:val="standardContextual"/>
                                    </w:rPr>
                                  </m:ctrlPr>
                                </m:mPr>
                                <m:mr>
                                  <m:e>
                                    <m:r>
                                      <m:rPr>
                                        <m:sty m:val="p"/>
                                      </m:rPr>
                                      <w:rPr>
                                        <w:rFonts w:ascii="Cambria Math" w:hAnsi="Cambria Math" w:cs="Times New Roman"/>
                                        <w:sz w:val="24"/>
                                        <w:szCs w:val="24"/>
                                      </w:rPr>
                                      <m:t>EU trade</m:t>
                                    </m:r>
                                  </m:e>
                                </m:mr>
                                <m:mr>
                                  <m:e>
                                    <m:r>
                                      <m:rPr>
                                        <m:sty m:val="p"/>
                                      </m:rPr>
                                      <w:rPr>
                                        <w:rFonts w:ascii="Cambria Math" w:hAnsi="Cambria Math" w:cs="Times New Roman"/>
                                        <w:sz w:val="24"/>
                                        <w:szCs w:val="24"/>
                                      </w:rPr>
                                      <m:t>dependence</m:t>
                                    </m:r>
                                  </m:e>
                                </m:mr>
                              </m:m>
                            </m:lim>
                          </m:limLow>
                          <m:r>
                            <w:rPr>
                              <w:rFonts w:ascii="Cambria Math" w:hAnsi="Cambria Math" w:cs="Times New Roman"/>
                              <w:sz w:val="24"/>
                              <w:szCs w:val="24"/>
                            </w:rPr>
                            <m:t xml:space="preserve">= </m:t>
                          </m:r>
                          <m:f>
                            <m:fPr>
                              <m:ctrlPr>
                                <w:rPr>
                                  <w:rFonts w:ascii="Cambria Math" w:hAnsi="Cambria Math" w:cs="Times New Roman"/>
                                  <w:i/>
                                  <w:kern w:val="2"/>
                                  <w:sz w:val="24"/>
                                  <w:szCs w:val="24"/>
                                  <w:lang w:eastAsia="ko-KR"/>
                                  <w14:ligatures w14:val="standardContextual"/>
                                </w:rPr>
                              </m:ctrlPr>
                            </m:fPr>
                            <m:num>
                              <m:limUpp>
                                <m:limUppPr>
                                  <m:ctrlPr>
                                    <w:rPr>
                                      <w:rFonts w:ascii="Cambria Math" w:hAnsi="Cambria Math" w:cs="Times New Roman"/>
                                      <w:i/>
                                      <w:kern w:val="2"/>
                                      <w:sz w:val="24"/>
                                      <w:szCs w:val="24"/>
                                      <w:lang w:eastAsia="ko-KR"/>
                                      <w14:ligatures w14:val="standardContextual"/>
                                    </w:rPr>
                                  </m:ctrlPr>
                                </m:limUppPr>
                                <m:e>
                                  <m:groupChr>
                                    <m:groupChrPr>
                                      <m:chr m:val="⏞"/>
                                      <m:pos m:val="top"/>
                                      <m:vertJc m:val="bot"/>
                                      <m:ctrlPr>
                                        <w:rPr>
                                          <w:rFonts w:ascii="Cambria Math" w:hAnsi="Cambria Math" w:cs="Times New Roman"/>
                                          <w:i/>
                                          <w:kern w:val="2"/>
                                          <w:sz w:val="24"/>
                                          <w:szCs w:val="24"/>
                                          <w:lang w:eastAsia="ko-KR"/>
                                          <w14:ligatures w14:val="standardContextual"/>
                                        </w:rPr>
                                      </m:ctrlPr>
                                    </m:groupChrPr>
                                    <m:e>
                                      <m:r>
                                        <w:rPr>
                                          <w:rFonts w:ascii="Cambria Math" w:hAnsi="Cambria Math" w:cs="Times New Roman"/>
                                          <w:sz w:val="24"/>
                                          <w:szCs w:val="24"/>
                                        </w:rPr>
                                        <m:t>τ·(</m:t>
                                      </m:r>
                                      <m:sSub>
                                        <m:sSubPr>
                                          <m:ctrlPr>
                                            <w:rPr>
                                              <w:rFonts w:ascii="Cambria Math" w:hAnsi="Cambria Math" w:cs="Times New Roman"/>
                                              <w:i/>
                                              <w:kern w:val="2"/>
                                              <w:sz w:val="24"/>
                                              <w:szCs w:val="24"/>
                                              <w:lang w:eastAsia="ko-KR"/>
                                              <w14:ligatures w14:val="standardContextual"/>
                                            </w:rPr>
                                          </m:ctrlPr>
                                        </m:sSubPr>
                                        <m:e>
                                          <m:r>
                                            <w:rPr>
                                              <w:rFonts w:ascii="Cambria Math" w:hAnsi="Cambria Math" w:cs="Times New Roman"/>
                                              <w:sz w:val="24"/>
                                              <w:szCs w:val="24"/>
                                            </w:rPr>
                                            <m:t>EI</m:t>
                                          </m:r>
                                        </m:e>
                                        <m:sub>
                                          <m:r>
                                            <w:rPr>
                                              <w:rFonts w:ascii="Cambria Math" w:hAnsi="Cambria Math" w:cs="Times New Roman"/>
                                              <w:sz w:val="24"/>
                                              <w:szCs w:val="24"/>
                                            </w:rPr>
                                            <m:t>c,s</m:t>
                                          </m:r>
                                        </m:sub>
                                      </m:sSub>
                                      <m:r>
                                        <w:rPr>
                                          <w:rFonts w:ascii="Cambria Math" w:hAnsi="Cambria Math" w:cs="Times New Roman"/>
                                          <w:sz w:val="24"/>
                                          <w:szCs w:val="24"/>
                                        </w:rPr>
                                        <m:t>-</m:t>
                                      </m:r>
                                      <m:sSub>
                                        <m:sSubPr>
                                          <m:ctrlPr>
                                            <w:rPr>
                                              <w:rFonts w:ascii="Cambria Math" w:hAnsi="Cambria Math" w:cs="Times New Roman"/>
                                              <w:i/>
                                              <w:kern w:val="2"/>
                                              <w:sz w:val="24"/>
                                              <w:szCs w:val="24"/>
                                              <w:lang w:eastAsia="ko-KR"/>
                                              <w14:ligatures w14:val="standardContextual"/>
                                            </w:rPr>
                                          </m:ctrlPr>
                                        </m:sSubPr>
                                        <m:e>
                                          <m:r>
                                            <w:rPr>
                                              <w:rFonts w:ascii="Cambria Math" w:hAnsi="Cambria Math" w:cs="Times New Roman"/>
                                              <w:sz w:val="24"/>
                                              <w:szCs w:val="24"/>
                                            </w:rPr>
                                            <m:t>EI</m:t>
                                          </m:r>
                                        </m:e>
                                        <m:sub>
                                          <m:r>
                                            <w:rPr>
                                              <w:rFonts w:ascii="Cambria Math" w:hAnsi="Cambria Math" w:cs="Times New Roman"/>
                                              <w:sz w:val="24"/>
                                              <w:szCs w:val="24"/>
                                            </w:rPr>
                                            <m:t>EI,s</m:t>
                                          </m:r>
                                        </m:sub>
                                      </m:sSub>
                                      <m:r>
                                        <w:rPr>
                                          <w:rFonts w:ascii="Cambria Math" w:hAnsi="Cambria Math" w:cs="Times New Roman"/>
                                          <w:sz w:val="24"/>
                                          <w:szCs w:val="24"/>
                                        </w:rPr>
                                        <m:t>)·</m:t>
                                      </m:r>
                                      <m:sSubSup>
                                        <m:sSubSupPr>
                                          <m:ctrlPr>
                                            <w:rPr>
                                              <w:rFonts w:ascii="Cambria Math" w:hAnsi="Cambria Math" w:cs="Times New Roman"/>
                                              <w:i/>
                                              <w:kern w:val="2"/>
                                              <w:sz w:val="24"/>
                                              <w:szCs w:val="24"/>
                                              <w:lang w:eastAsia="ko-KR"/>
                                              <w14:ligatures w14:val="standardContextual"/>
                                            </w:rPr>
                                          </m:ctrlPr>
                                        </m:sSubSupPr>
                                        <m:e>
                                          <m:r>
                                            <w:rPr>
                                              <w:rFonts w:ascii="Cambria Math" w:hAnsi="Cambria Math" w:cs="Times New Roman"/>
                                              <w:sz w:val="24"/>
                                              <w:szCs w:val="24"/>
                                            </w:rPr>
                                            <m:t>X</m:t>
                                          </m:r>
                                        </m:e>
                                        <m:sub>
                                          <m:r>
                                            <w:rPr>
                                              <w:rFonts w:ascii="Cambria Math" w:hAnsi="Cambria Math" w:cs="Times New Roman"/>
                                              <w:sz w:val="24"/>
                                              <w:szCs w:val="24"/>
                                            </w:rPr>
                                            <m:t>c,s</m:t>
                                          </m:r>
                                        </m:sub>
                                        <m:sup>
                                          <m:r>
                                            <w:rPr>
                                              <w:rFonts w:ascii="Cambria Math" w:hAnsi="Cambria Math" w:cs="Times New Roman"/>
                                              <w:sz w:val="24"/>
                                              <w:szCs w:val="24"/>
                                            </w:rPr>
                                            <m:t>EU</m:t>
                                          </m:r>
                                        </m:sup>
                                      </m:sSubSup>
                                    </m:e>
                                  </m:groupChr>
                                </m:e>
                                <m:lim>
                                  <m:r>
                                    <m:rPr>
                                      <m:sty m:val="p"/>
                                    </m:rPr>
                                    <w:rPr>
                                      <w:rFonts w:ascii="Cambria Math" w:hAnsi="Cambria Math" w:cs="Times New Roman"/>
                                      <w:sz w:val="24"/>
                                      <w:szCs w:val="24"/>
                                    </w:rPr>
                                    <m:t>excess carbon payments</m:t>
                                  </m:r>
                                </m:lim>
                              </m:limUpp>
                            </m:num>
                            <m:den>
                              <m:limLow>
                                <m:limLowPr>
                                  <m:ctrlPr>
                                    <w:rPr>
                                      <w:rFonts w:ascii="Cambria Math" w:hAnsi="Cambria Math" w:cs="Times New Roman"/>
                                      <w:i/>
                                      <w:kern w:val="2"/>
                                      <w:sz w:val="24"/>
                                      <w:szCs w:val="24"/>
                                      <w:lang w:eastAsia="ko-KR"/>
                                      <w14:ligatures w14:val="standardContextual"/>
                                    </w:rPr>
                                  </m:ctrlPr>
                                </m:limLowPr>
                                <m:e>
                                  <m:groupChr>
                                    <m:groupChrPr>
                                      <m:ctrlPr>
                                        <w:rPr>
                                          <w:rFonts w:ascii="Cambria Math" w:hAnsi="Cambria Math" w:cs="Times New Roman"/>
                                          <w:i/>
                                          <w:kern w:val="2"/>
                                          <w:sz w:val="24"/>
                                          <w:szCs w:val="24"/>
                                          <w:lang w:eastAsia="ko-KR"/>
                                          <w14:ligatures w14:val="standardContextual"/>
                                        </w:rPr>
                                      </m:ctrlPr>
                                    </m:groupChrPr>
                                    <m:e>
                                      <m:sSubSup>
                                        <m:sSubSupPr>
                                          <m:ctrlPr>
                                            <w:rPr>
                                              <w:rFonts w:ascii="Cambria Math" w:hAnsi="Cambria Math" w:cs="Times New Roman"/>
                                              <w:i/>
                                              <w:kern w:val="2"/>
                                              <w:sz w:val="24"/>
                                              <w:szCs w:val="24"/>
                                              <w:lang w:eastAsia="ko-KR"/>
                                              <w14:ligatures w14:val="standardContextual"/>
                                            </w:rPr>
                                          </m:ctrlPr>
                                        </m:sSubSupPr>
                                        <m:e>
                                          <m:r>
                                            <w:rPr>
                                              <w:rFonts w:ascii="Cambria Math" w:hAnsi="Cambria Math" w:cs="Times New Roman"/>
                                              <w:sz w:val="24"/>
                                              <w:szCs w:val="24"/>
                                            </w:rPr>
                                            <m:t>X</m:t>
                                          </m:r>
                                        </m:e>
                                        <m:sub>
                                          <m:r>
                                            <w:rPr>
                                              <w:rFonts w:ascii="Cambria Math" w:hAnsi="Cambria Math" w:cs="Times New Roman"/>
                                              <w:sz w:val="24"/>
                                              <w:szCs w:val="24"/>
                                            </w:rPr>
                                            <m:t>c,s</m:t>
                                          </m:r>
                                        </m:sub>
                                        <m:sup>
                                          <m:r>
                                            <w:rPr>
                                              <w:rFonts w:ascii="Cambria Math" w:hAnsi="Cambria Math" w:cs="Times New Roman"/>
                                              <w:sz w:val="24"/>
                                              <w:szCs w:val="24"/>
                                            </w:rPr>
                                            <m:t>World</m:t>
                                          </m:r>
                                        </m:sup>
                                      </m:sSubSup>
                                    </m:e>
                                  </m:groupChr>
                                </m:e>
                                <m:lim>
                                  <m:m>
                                    <m:mPr>
                                      <m:mcs>
                                        <m:mc>
                                          <m:mcPr>
                                            <m:count m:val="1"/>
                                            <m:mcJc m:val="center"/>
                                          </m:mcPr>
                                        </m:mc>
                                      </m:mcs>
                                      <m:ctrlPr>
                                        <w:rPr>
                                          <w:rFonts w:ascii="Cambria Math" w:hAnsi="Cambria Math" w:cs="Times New Roman"/>
                                          <w:iCs/>
                                          <w:kern w:val="2"/>
                                          <w:sz w:val="24"/>
                                          <w:szCs w:val="24"/>
                                          <w:lang w:eastAsia="ko-KR"/>
                                          <w14:ligatures w14:val="standardContextual"/>
                                        </w:rPr>
                                      </m:ctrlPr>
                                    </m:mPr>
                                    <m:mr>
                                      <m:e>
                                        <m:r>
                                          <m:rPr>
                                            <m:sty m:val="p"/>
                                          </m:rPr>
                                          <w:rPr>
                                            <w:rFonts w:ascii="Cambria Math" w:hAnsi="Cambria Math" w:cs="Times New Roman"/>
                                            <w:sz w:val="24"/>
                                            <w:szCs w:val="24"/>
                                          </w:rPr>
                                          <m:t>total trade in</m:t>
                                        </m:r>
                                      </m:e>
                                    </m:mr>
                                    <m:mr>
                                      <m:e>
                                        <m:r>
                                          <m:rPr>
                                            <m:sty m:val="p"/>
                                          </m:rPr>
                                          <w:rPr>
                                            <w:rFonts w:ascii="Cambria Math" w:hAnsi="Cambria Math" w:cs="Times New Roman"/>
                                            <w:sz w:val="24"/>
                                            <w:szCs w:val="24"/>
                                          </w:rPr>
                                          <m:t>the sector</m:t>
                                        </m:r>
                                      </m:e>
                                    </m:mr>
                                  </m:m>
                                </m:lim>
                              </m:limLow>
                            </m:den>
                          </m:f>
                        </m:oMath>
                      </m:oMathPara>
                    </w:p>
                    <w:p w14:paraId="524267CA" w14:textId="77777777" w:rsidR="00832F47" w:rsidRPr="008C755E" w:rsidRDefault="00832F47" w:rsidP="00832F47">
                      <w:pPr>
                        <w:spacing w:before="120" w:after="200" w:line="240" w:lineRule="auto"/>
                        <w:rPr>
                          <w:rFonts w:ascii="Cambria" w:hAnsi="Cambria"/>
                        </w:rPr>
                      </w:pPr>
                      <w:r w:rsidRPr="008C755E">
                        <w:rPr>
                          <w:rFonts w:ascii="Cambria" w:hAnsi="Cambria" w:cstheme="minorHAnsi"/>
                        </w:rPr>
                        <w:tab/>
                      </w:r>
                      <w:r w:rsidRPr="30DCE178">
                        <w:rPr>
                          <w:rFonts w:ascii="Cambria" w:hAnsi="Cambria"/>
                        </w:rPr>
                        <w:t xml:space="preserve">       Where </w:t>
                      </w:r>
                      <w:r w:rsidRPr="008C755E">
                        <w:rPr>
                          <w:rFonts w:ascii="Cambria" w:hAnsi="Cambria" w:cs="Calibri"/>
                        </w:rPr>
                        <w:t>τ</w:t>
                      </w:r>
                      <w:r w:rsidRPr="30DCE178">
                        <w:rPr>
                          <w:rFonts w:ascii="Cambria" w:hAnsi="Cambria"/>
                        </w:rPr>
                        <w:t>=CO</w:t>
                      </w:r>
                      <w:r w:rsidRPr="30DCE178">
                        <w:rPr>
                          <w:rFonts w:ascii="Cambria" w:hAnsi="Cambria"/>
                          <w:vertAlign w:val="subscript"/>
                        </w:rPr>
                        <w:t>2</w:t>
                      </w:r>
                      <w:r w:rsidRPr="30DCE178">
                        <w:rPr>
                          <w:rFonts w:ascii="Cambria" w:hAnsi="Cambria"/>
                        </w:rPr>
                        <w:t xml:space="preserve"> price, </w:t>
                      </w:r>
                      <w:r w:rsidRPr="30DCE178">
                        <w:rPr>
                          <w:rFonts w:ascii="Cambria" w:hAnsi="Cambria"/>
                          <w:i/>
                        </w:rPr>
                        <w:t>c</w:t>
                      </w:r>
                      <w:r w:rsidRPr="30DCE178">
                        <w:rPr>
                          <w:rFonts w:ascii="Cambria" w:hAnsi="Cambria"/>
                        </w:rPr>
                        <w:t xml:space="preserve"> = country, </w:t>
                      </w:r>
                      <w:r w:rsidRPr="30DCE178">
                        <w:rPr>
                          <w:rFonts w:ascii="Cambria" w:hAnsi="Cambria"/>
                          <w:i/>
                        </w:rPr>
                        <w:t>s</w:t>
                      </w:r>
                      <w:r w:rsidRPr="30DCE178">
                        <w:rPr>
                          <w:rFonts w:ascii="Cambria" w:hAnsi="Cambria"/>
                        </w:rPr>
                        <w:t xml:space="preserve"> = sector, </w:t>
                      </w:r>
                      <w:r w:rsidRPr="30DCE178">
                        <w:rPr>
                          <w:rFonts w:ascii="Cambria" w:hAnsi="Cambria"/>
                          <w:i/>
                        </w:rPr>
                        <w:t>X</w:t>
                      </w:r>
                      <w:r w:rsidRPr="30DCE178">
                        <w:rPr>
                          <w:rFonts w:ascii="Cambria" w:hAnsi="Cambria"/>
                        </w:rPr>
                        <w:t xml:space="preserve"> = exports, </w:t>
                      </w:r>
                      <w:r w:rsidRPr="30DCE178">
                        <w:rPr>
                          <w:rFonts w:ascii="Cambria" w:hAnsi="Cambria"/>
                          <w:i/>
                        </w:rPr>
                        <w:t>EI</w:t>
                      </w:r>
                      <w:r w:rsidRPr="30DCE178">
                        <w:rPr>
                          <w:rFonts w:ascii="Cambria" w:hAnsi="Cambria"/>
                        </w:rPr>
                        <w:t xml:space="preserve"> = emission intensity.</w:t>
                      </w:r>
                    </w:p>
                    <w:p w14:paraId="7963ED13" w14:textId="58949E74" w:rsidR="00832F47" w:rsidRDefault="00832F47" w:rsidP="00832F47">
                      <w:r>
                        <w:rPr>
                          <w:b/>
                          <w:bCs/>
                        </w:rPr>
                        <w:t>Different approaches can be taken t</w:t>
                      </w:r>
                      <w:r w:rsidRPr="71592105">
                        <w:rPr>
                          <w:b/>
                          <w:bCs/>
                        </w:rPr>
                        <w:t xml:space="preserve">o compute the index, </w:t>
                      </w:r>
                      <w:r>
                        <w:rPr>
                          <w:b/>
                          <w:bCs/>
                        </w:rPr>
                        <w:t xml:space="preserve">based on the choice of trade and emissions intensity data sources. </w:t>
                      </w:r>
                      <w:r>
                        <w:t xml:space="preserve">One follows the original cross-country analysis of the World Bank (Maliszewska et al. 2025), which combines emissions intensity per dollar of value from the GTAP database, an input-output approach </w:t>
                      </w:r>
                      <w:r>
                        <w:rPr>
                          <w:rFonts w:cs="Segoe UI"/>
                        </w:rPr>
                        <w:t>widely used in numerical models</w:t>
                      </w:r>
                      <w:r>
                        <w:t xml:space="preserve">, with </w:t>
                      </w:r>
                      <w:r w:rsidRPr="00E473FB">
                        <w:rPr>
                          <w:rFonts w:cs="Segoe UI"/>
                        </w:rPr>
                        <w:t xml:space="preserve">trade data </w:t>
                      </w:r>
                      <w:r>
                        <w:rPr>
                          <w:rFonts w:cs="Segoe UI"/>
                        </w:rPr>
                        <w:t xml:space="preserve">(also in monetary values) </w:t>
                      </w:r>
                      <w:r w:rsidRPr="00E473FB">
                        <w:rPr>
                          <w:rFonts w:cs="Segoe UI"/>
                        </w:rPr>
                        <w:t>from the World Integrated Trade Solutions (WITS) database</w:t>
                      </w:r>
                      <w:r>
                        <w:rPr>
                          <w:rFonts w:cs="Segoe UI"/>
                        </w:rPr>
                        <w:t>.</w:t>
                      </w:r>
                      <w:r>
                        <w:rPr>
                          <w:rStyle w:val="FootnoteReference"/>
                        </w:rPr>
                        <w:footnoteRef/>
                      </w:r>
                      <w:r>
                        <w:rPr>
                          <w:rFonts w:cs="Segoe UI"/>
                        </w:rPr>
                        <w:t xml:space="preserve"> These </w:t>
                      </w:r>
                      <w:r>
                        <w:rPr>
                          <w:rFonts w:cs="Segoe UI"/>
                          <w:i/>
                          <w:iCs/>
                        </w:rPr>
                        <w:t xml:space="preserve">value-based </w:t>
                      </w:r>
                      <w:r>
                        <w:rPr>
                          <w:rFonts w:cs="Segoe UI"/>
                        </w:rPr>
                        <w:t xml:space="preserve">data can be directly compared across countries, but essentially assume identical average emissions intensities per dollar across all products within the aggregated sector of a country. By contrast, a </w:t>
                      </w:r>
                      <w:r>
                        <w:rPr>
                          <w:rFonts w:cs="Segoe UI"/>
                          <w:i/>
                          <w:iCs/>
                        </w:rPr>
                        <w:t xml:space="preserve">mass-based </w:t>
                      </w:r>
                      <w:r>
                        <w:rPr>
                          <w:rFonts w:cs="Segoe UI"/>
                        </w:rPr>
                        <w:t>approach more closely follows the design of the CBAM: it takes</w:t>
                      </w:r>
                      <w:r w:rsidRPr="71592105">
                        <w:rPr>
                          <w:b/>
                          <w:bCs/>
                        </w:rPr>
                        <w:t xml:space="preserve"> </w:t>
                      </w:r>
                      <w:r w:rsidRPr="00E5144A">
                        <w:t>the</w:t>
                      </w:r>
                      <w:r>
                        <w:rPr>
                          <w:b/>
                          <w:bCs/>
                        </w:rPr>
                        <w:t xml:space="preserve"> </w:t>
                      </w:r>
                      <w:r>
                        <w:t xml:space="preserve">EU country- and product-specific default values to represent </w:t>
                      </w:r>
                      <w:r w:rsidRPr="00E5144A">
                        <w:t xml:space="preserve">emission intensity </w:t>
                      </w:r>
                      <w:r>
                        <w:t>by weight, and uses trade data in tons from BACI to calculate the carbon embodied in exports to the EU for each 6-digit covered product code, aggregating embedded carbon to the sector level. To compare to the embedded emissions in an average EU producer, weight-based emission intensities are taken for the EU</w:t>
                      </w:r>
                      <w:r w:rsidRPr="71592105">
                        <w:rPr>
                          <w:b/>
                          <w:bCs/>
                        </w:rPr>
                        <w:t xml:space="preserve"> </w:t>
                      </w:r>
                      <w:r w:rsidRPr="00524131">
                        <w:t>from the Joint Research Center (JRC) database</w:t>
                      </w:r>
                      <w:r w:rsidRPr="00AF6469">
                        <w:t>;</w:t>
                      </w:r>
                      <w:r w:rsidRPr="71592105">
                        <w:rPr>
                          <w:rStyle w:val="FootnoteReference"/>
                        </w:rPr>
                        <w:footnoteRef/>
                      </w:r>
                      <w:r>
                        <w:rPr>
                          <w:rFonts w:cs="Segoe UI"/>
                          <w:b/>
                          <w:bCs/>
                          <w:sz w:val="18"/>
                          <w:szCs w:val="18"/>
                        </w:rPr>
                        <w:t xml:space="preserve"> </w:t>
                      </w:r>
                      <w:r>
                        <w:rPr>
                          <w:rFonts w:cs="Segoe UI"/>
                        </w:rPr>
                        <w:t xml:space="preserve">the EU comparison is then calculated for the same composition of products in Egyptian exports. </w:t>
                      </w:r>
                      <w:r w:rsidRPr="71592105">
                        <w:t xml:space="preserve">To </w:t>
                      </w:r>
                      <w:r>
                        <w:t xml:space="preserve">calculate </w:t>
                      </w:r>
                      <w:r w:rsidRPr="71592105">
                        <w:t>the CBAM trade exposure index</w:t>
                      </w:r>
                      <w:r>
                        <w:t>es,</w:t>
                      </w:r>
                      <w:r w:rsidRPr="71592105">
                        <w:t xml:space="preserve"> we </w:t>
                      </w:r>
                      <w:r>
                        <w:t xml:space="preserve">use a </w:t>
                      </w:r>
                      <w:r w:rsidRPr="71592105">
                        <w:t xml:space="preserve">USD 100 per metric ton of CO₂ equivalent </w:t>
                      </w:r>
                      <w:r>
                        <w:t xml:space="preserve">for the certificate price and make additional assumptions that 1) </w:t>
                      </w:r>
                      <w:r w:rsidRPr="71592105">
                        <w:t>the CBAM is fully phased in</w:t>
                      </w:r>
                      <w:r>
                        <w:t xml:space="preserve"> (no free benchmark allocations), 2) the defaults are indicative of mass-based emission intensities (no markups), and 3) trade patterns remain as in recent years</w:t>
                      </w:r>
                      <w:r w:rsidRPr="71592105">
                        <w:t>.</w:t>
                      </w:r>
                      <w:r>
                        <w:t xml:space="preserve"> The total excess carbon payments, calculated by either method, are divided by the total value of product exports in the sector using the associated trade data.</w:t>
                      </w:r>
                    </w:p>
                  </w:txbxContent>
                </v:textbox>
                <w10:wrap type="topAndBottom"/>
              </v:shape>
            </w:pict>
          </mc:Fallback>
        </mc:AlternateContent>
      </w:r>
    </w:p>
    <w:p w14:paraId="6515B9F6" w14:textId="6E4EE3DA" w:rsidR="00D10934" w:rsidRDefault="00D10934" w:rsidP="00D10934">
      <w:pPr>
        <w:pStyle w:val="Caption"/>
        <w:keepNext/>
        <w:jc w:val="center"/>
      </w:pPr>
      <w:bookmarkStart w:id="26" w:name="_Ref230278441"/>
      <w:r>
        <w:lastRenderedPageBreak/>
        <w:t xml:space="preserve">Figure </w:t>
      </w:r>
      <w:fldSimple w:instr=" SEQ Figure \* ARABIC ">
        <w:r w:rsidR="00A56AFF">
          <w:rPr>
            <w:noProof/>
          </w:rPr>
          <w:t>2</w:t>
        </w:r>
      </w:fldSimple>
      <w:bookmarkEnd w:id="26"/>
      <w:r>
        <w:t>: CBAM TEI</w:t>
      </w:r>
      <w:r w:rsidR="00570883">
        <w:t>s by data approach</w:t>
      </w:r>
      <w:r w:rsidR="002C697F">
        <w:t xml:space="preserve"> (2022 trade </w:t>
      </w:r>
      <w:r w:rsidR="001A134C">
        <w:t>data)</w:t>
      </w:r>
    </w:p>
    <w:p w14:paraId="6976AE6F" w14:textId="1308F57D" w:rsidR="00093324" w:rsidRDefault="00D10934" w:rsidP="00D10934">
      <w:pPr>
        <w:spacing w:line="240" w:lineRule="auto"/>
        <w:jc w:val="center"/>
        <w:rPr>
          <w:rFonts w:cs="Segoe UI"/>
        </w:rPr>
      </w:pPr>
      <w:r>
        <w:rPr>
          <w:noProof/>
        </w:rPr>
        <w:drawing>
          <wp:inline distT="0" distB="0" distL="0" distR="0" wp14:anchorId="4E6D2F71" wp14:editId="0E8BF301">
            <wp:extent cx="4572000" cy="2743200"/>
            <wp:effectExtent l="0" t="0" r="0" b="635"/>
            <wp:docPr id="1929067604" name="Chart 1">
              <a:extLst xmlns:a="http://schemas.openxmlformats.org/drawingml/2006/main">
                <a:ext uri="{FF2B5EF4-FFF2-40B4-BE49-F238E27FC236}">
                  <a16:creationId xmlns:a16="http://schemas.microsoft.com/office/drawing/2014/main" id="{A28737AB-359A-4149-6107-6591F24994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34AB0A3" w14:textId="496280A8" w:rsidR="00E2727E" w:rsidRDefault="00FE0E69" w:rsidP="008D3705">
      <w:pPr>
        <w:spacing w:line="240" w:lineRule="auto"/>
        <w:rPr>
          <w:rFonts w:cs="Segoe UI"/>
        </w:rPr>
      </w:pPr>
      <w:r w:rsidRPr="00604E12">
        <w:rPr>
          <w:rFonts w:cs="Segoe UI"/>
          <w:b/>
          <w:bCs/>
        </w:rPr>
        <w:t xml:space="preserve">The </w:t>
      </w:r>
      <w:r w:rsidR="00295DB0" w:rsidRPr="00604E12">
        <w:rPr>
          <w:rFonts w:cs="Segoe UI"/>
          <w:b/>
          <w:bCs/>
        </w:rPr>
        <w:t xml:space="preserve">new </w:t>
      </w:r>
      <w:r w:rsidRPr="00604E12">
        <w:rPr>
          <w:rFonts w:cs="Segoe UI"/>
          <w:b/>
          <w:bCs/>
        </w:rPr>
        <w:t xml:space="preserve">mass-based TEI does find significant exposure in </w:t>
      </w:r>
      <w:r w:rsidR="00295DB0" w:rsidRPr="00604E12">
        <w:rPr>
          <w:rFonts w:cs="Segoe UI"/>
          <w:b/>
          <w:bCs/>
        </w:rPr>
        <w:t xml:space="preserve">one sector: </w:t>
      </w:r>
      <w:r w:rsidRPr="00604E12">
        <w:rPr>
          <w:rFonts w:cs="Segoe UI"/>
          <w:b/>
          <w:bCs/>
        </w:rPr>
        <w:t>iron and steel</w:t>
      </w:r>
      <w:r w:rsidR="00295DB0" w:rsidRPr="00604E12">
        <w:rPr>
          <w:rFonts w:cs="Segoe UI"/>
          <w:b/>
          <w:bCs/>
        </w:rPr>
        <w:t>.</w:t>
      </w:r>
      <w:r w:rsidR="00C44899">
        <w:rPr>
          <w:rFonts w:cs="Segoe UI"/>
        </w:rPr>
        <w:t xml:space="preserve"> </w:t>
      </w:r>
      <w:r w:rsidR="00604E12">
        <w:rPr>
          <w:rFonts w:cs="Segoe UI"/>
        </w:rPr>
        <w:t>H</w:t>
      </w:r>
      <w:r w:rsidR="008B06CC">
        <w:rPr>
          <w:rFonts w:cs="Segoe UI"/>
        </w:rPr>
        <w:t xml:space="preserve">owever, </w:t>
      </w:r>
      <w:r w:rsidR="00C44899">
        <w:rPr>
          <w:rFonts w:cs="Segoe UI"/>
        </w:rPr>
        <w:t>for these products, the EU assigned to Egypt the “other countries” benchmark (noted with an asteri</w:t>
      </w:r>
      <w:r w:rsidR="00662B7D">
        <w:rPr>
          <w:rFonts w:cs="Segoe UI"/>
        </w:rPr>
        <w:t>sk</w:t>
      </w:r>
      <w:r w:rsidR="00C44899">
        <w:rPr>
          <w:rFonts w:cs="Segoe UI"/>
        </w:rPr>
        <w:t xml:space="preserve"> in the figure). </w:t>
      </w:r>
      <w:r w:rsidR="00C257D8">
        <w:rPr>
          <w:rFonts w:cs="Segoe UI"/>
        </w:rPr>
        <w:t xml:space="preserve">In this case, the default may not be an accurate indicator of the </w:t>
      </w:r>
      <w:r w:rsidR="002B3B11">
        <w:rPr>
          <w:rFonts w:cs="Segoe UI"/>
        </w:rPr>
        <w:t xml:space="preserve">actual average </w:t>
      </w:r>
      <w:r w:rsidR="00C257D8">
        <w:rPr>
          <w:rFonts w:cs="Segoe UI"/>
        </w:rPr>
        <w:t>emissions intensity of Egyptian-produced steel</w:t>
      </w:r>
      <w:r w:rsidR="002F0E4A">
        <w:rPr>
          <w:rFonts w:cs="Segoe UI"/>
        </w:rPr>
        <w:t>. (However, it may not be as inaccurate for steel products manufactured with imported</w:t>
      </w:r>
      <w:r w:rsidR="002F2FEE">
        <w:rPr>
          <w:rFonts w:cs="Segoe UI"/>
        </w:rPr>
        <w:t xml:space="preserve"> raw steel or precursors).</w:t>
      </w:r>
    </w:p>
    <w:p w14:paraId="28E016FD" w14:textId="018070F3" w:rsidR="00D92555" w:rsidRDefault="00667956" w:rsidP="008D3705">
      <w:pPr>
        <w:spacing w:line="240" w:lineRule="auto"/>
        <w:rPr>
          <w:rFonts w:cs="Segoe UI"/>
        </w:rPr>
      </w:pPr>
      <w:r w:rsidRPr="00EE1B5F">
        <w:rPr>
          <w:rFonts w:cs="Segoe UI"/>
          <w:b/>
          <w:bCs/>
        </w:rPr>
        <w:t xml:space="preserve">Independent, third-party data indicate that Egyptian </w:t>
      </w:r>
      <w:r w:rsidR="00D14735">
        <w:rPr>
          <w:rFonts w:cs="Segoe UI"/>
          <w:b/>
          <w:bCs/>
        </w:rPr>
        <w:t xml:space="preserve">facilities </w:t>
      </w:r>
      <w:r w:rsidR="00952682">
        <w:rPr>
          <w:rFonts w:cs="Segoe UI"/>
          <w:b/>
          <w:bCs/>
        </w:rPr>
        <w:t>are not global outliers, and</w:t>
      </w:r>
      <w:r w:rsidR="00444E26">
        <w:rPr>
          <w:rFonts w:cs="Segoe UI"/>
          <w:b/>
          <w:bCs/>
        </w:rPr>
        <w:t xml:space="preserve"> Egyptian </w:t>
      </w:r>
      <w:r w:rsidRPr="00EE1B5F">
        <w:rPr>
          <w:rFonts w:cs="Segoe UI"/>
          <w:b/>
          <w:bCs/>
        </w:rPr>
        <w:t>steel facilities are relatively clean, in contrast to the</w:t>
      </w:r>
      <w:r w:rsidR="00EE1B5F" w:rsidRPr="00EE1B5F">
        <w:rPr>
          <w:rFonts w:cs="Segoe UI"/>
          <w:b/>
          <w:bCs/>
        </w:rPr>
        <w:t xml:space="preserve"> assigned default values.</w:t>
      </w:r>
      <w:r w:rsidR="00EE1B5F">
        <w:rPr>
          <w:rFonts w:cs="Segoe UI"/>
        </w:rPr>
        <w:t xml:space="preserve"> </w:t>
      </w:r>
      <w:r w:rsidR="006A055C">
        <w:rPr>
          <w:rFonts w:cs="Segoe UI"/>
        </w:rPr>
        <w:t>Climate Trace offers third-party data on emissions and production activity for major facilities worldwide.</w:t>
      </w:r>
      <w:r w:rsidR="00714CAD">
        <w:rPr>
          <w:rFonts w:cs="Segoe UI"/>
        </w:rPr>
        <w:t xml:space="preserve"> </w:t>
      </w:r>
      <w:commentRangeStart w:id="27"/>
      <w:r w:rsidR="00714CAD">
        <w:rPr>
          <w:rFonts w:cs="Segoe UI"/>
        </w:rPr>
        <w:t xml:space="preserve">According to these data, Egyptian steel facilities </w:t>
      </w:r>
      <w:r w:rsidR="00EE1B5F">
        <w:rPr>
          <w:rFonts w:cs="Segoe UI"/>
        </w:rPr>
        <w:t>have</w:t>
      </w:r>
      <w:r w:rsidR="004106D2">
        <w:rPr>
          <w:rFonts w:cs="Segoe UI"/>
        </w:rPr>
        <w:t xml:space="preserve"> significantly lower emission factors than the global average</w:t>
      </w:r>
      <w:r w:rsidR="00EA58AB">
        <w:rPr>
          <w:rFonts w:cs="Segoe UI"/>
        </w:rPr>
        <w:t xml:space="preserve"> (or the EU average of 1.19)</w:t>
      </w:r>
      <w:r w:rsidR="00D31725">
        <w:rPr>
          <w:rFonts w:cs="Segoe UI"/>
        </w:rPr>
        <w:t>.</w:t>
      </w:r>
      <w:r w:rsidR="00E173EF">
        <w:rPr>
          <w:rFonts w:cs="Segoe UI"/>
        </w:rPr>
        <w:t xml:space="preserve"> </w:t>
      </w:r>
      <w:r w:rsidR="00BD700A">
        <w:rPr>
          <w:rFonts w:cs="Segoe UI"/>
        </w:rPr>
        <w:t xml:space="preserve">Also in fertilizers, Egyptian </w:t>
      </w:r>
      <w:r w:rsidR="00C812D2">
        <w:rPr>
          <w:rFonts w:cs="Segoe UI"/>
        </w:rPr>
        <w:t xml:space="preserve">facilities appear to be relatively clean compared to global peers. </w:t>
      </w:r>
      <w:r w:rsidR="00E173EF">
        <w:rPr>
          <w:rFonts w:cs="Segoe UI"/>
        </w:rPr>
        <w:t xml:space="preserve">In </w:t>
      </w:r>
      <w:commentRangeEnd w:id="27"/>
      <w:r w:rsidR="00E3683E">
        <w:rPr>
          <w:rStyle w:val="CommentReference"/>
          <w:rFonts w:cs="Segoe UI"/>
          <w:sz w:val="22"/>
          <w:szCs w:val="22"/>
        </w:rPr>
        <w:commentReference w:id="27"/>
      </w:r>
      <w:r w:rsidR="00E173EF">
        <w:rPr>
          <w:rFonts w:cs="Segoe UI"/>
        </w:rPr>
        <w:t>the other sectors</w:t>
      </w:r>
      <w:r w:rsidR="00C374FA">
        <w:rPr>
          <w:rFonts w:cs="Segoe UI"/>
        </w:rPr>
        <w:t xml:space="preserve">, Climate Trace estimates that Egyptian facilities are on average </w:t>
      </w:r>
      <w:r w:rsidR="004B2FB1">
        <w:rPr>
          <w:rFonts w:cs="Segoe UI"/>
        </w:rPr>
        <w:t>up to 20% more emissions intensive than the world average</w:t>
      </w:r>
      <w:r w:rsidR="0004194F">
        <w:rPr>
          <w:rFonts w:cs="Segoe UI"/>
        </w:rPr>
        <w:t xml:space="preserve"> (</w:t>
      </w:r>
      <w:r w:rsidR="0004194F">
        <w:rPr>
          <w:rFonts w:cs="Segoe UI"/>
        </w:rPr>
        <w:fldChar w:fldCharType="begin"/>
      </w:r>
      <w:r w:rsidR="0004194F">
        <w:rPr>
          <w:rFonts w:cs="Segoe UI"/>
        </w:rPr>
        <w:instrText xml:space="preserve"> REF _Ref230706586 \h </w:instrText>
      </w:r>
      <w:r w:rsidR="0004194F">
        <w:rPr>
          <w:rFonts w:cs="Segoe UI"/>
        </w:rPr>
      </w:r>
      <w:r w:rsidR="0004194F">
        <w:rPr>
          <w:rFonts w:cs="Segoe UI"/>
        </w:rPr>
        <w:fldChar w:fldCharType="separate"/>
      </w:r>
      <w:r w:rsidR="0004194F">
        <w:t xml:space="preserve">Figure </w:t>
      </w:r>
      <w:r w:rsidR="0004194F">
        <w:rPr>
          <w:noProof/>
        </w:rPr>
        <w:t>3</w:t>
      </w:r>
      <w:r w:rsidR="0004194F">
        <w:rPr>
          <w:rFonts w:cs="Segoe UI"/>
        </w:rPr>
        <w:fldChar w:fldCharType="end"/>
      </w:r>
      <w:r w:rsidR="0004194F">
        <w:rPr>
          <w:rFonts w:cs="Segoe UI"/>
        </w:rPr>
        <w:t>)</w:t>
      </w:r>
      <w:r w:rsidR="004B2FB1">
        <w:rPr>
          <w:rFonts w:cs="Segoe UI"/>
        </w:rPr>
        <w:t>.</w:t>
      </w:r>
    </w:p>
    <w:p w14:paraId="5AD8C63C" w14:textId="77777777" w:rsidR="000F4AFE" w:rsidRDefault="000F4AFE" w:rsidP="000F4AFE">
      <w:pPr>
        <w:spacing w:line="240" w:lineRule="auto"/>
        <w:jc w:val="left"/>
        <w:rPr>
          <w:rFonts w:cs="Segoe UI"/>
        </w:rPr>
      </w:pPr>
      <w:r w:rsidRPr="0099082A">
        <w:rPr>
          <w:rFonts w:cs="Segoe UI"/>
          <w:b/>
          <w:bCs/>
        </w:rPr>
        <w:t>These differing insights based on different sources of average intensity data underscore the need for Egyptian exporters to document and verify their actual emissions intensities.</w:t>
      </w:r>
      <w:r>
        <w:rPr>
          <w:rFonts w:cs="Segoe UI"/>
        </w:rPr>
        <w:t xml:space="preserve"> Low-carbon producers have the opportunity to benefit from CBAM on EU markets—if they can demonstrate their carbon competitiveness.</w:t>
      </w:r>
    </w:p>
    <w:p w14:paraId="27F0C596" w14:textId="77777777" w:rsidR="000F4AFE" w:rsidRDefault="000F4AFE" w:rsidP="008D3705">
      <w:pPr>
        <w:spacing w:line="240" w:lineRule="auto"/>
        <w:rPr>
          <w:rFonts w:cs="Segoe UI"/>
        </w:rPr>
      </w:pPr>
    </w:p>
    <w:p w14:paraId="654504CA" w14:textId="5C565BB1" w:rsidR="002212E7" w:rsidRDefault="002212E7" w:rsidP="002212E7">
      <w:pPr>
        <w:pStyle w:val="Caption"/>
        <w:keepNext/>
        <w:jc w:val="left"/>
      </w:pPr>
      <w:bookmarkStart w:id="28" w:name="_Ref230706586"/>
      <w:r>
        <w:lastRenderedPageBreak/>
        <w:t xml:space="preserve">Figure </w:t>
      </w:r>
      <w:fldSimple w:instr=" SEQ Figure \* ARABIC ">
        <w:r w:rsidR="00A56AFF">
          <w:rPr>
            <w:noProof/>
          </w:rPr>
          <w:t>3</w:t>
        </w:r>
      </w:fldSimple>
      <w:bookmarkEnd w:id="28"/>
      <w:r>
        <w:t>: Facility-level emission intensities from Climate Trace</w:t>
      </w:r>
    </w:p>
    <w:p w14:paraId="6786ABF3" w14:textId="22DF62EB" w:rsidR="00D051A5" w:rsidRDefault="003D05CF" w:rsidP="00683AE0">
      <w:pPr>
        <w:spacing w:line="240" w:lineRule="auto"/>
        <w:jc w:val="center"/>
        <w:rPr>
          <w:rFonts w:cs="Segoe UI"/>
        </w:rPr>
      </w:pPr>
      <w:r>
        <w:rPr>
          <w:rFonts w:cs="Segoe UI"/>
          <w:noProof/>
        </w:rPr>
        <w:drawing>
          <wp:inline distT="0" distB="0" distL="0" distR="0" wp14:anchorId="1FEA4E3E" wp14:editId="2399D503">
            <wp:extent cx="3776472" cy="2743200"/>
            <wp:effectExtent l="0" t="0" r="0" b="0"/>
            <wp:docPr id="852260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76472" cy="2743200"/>
                    </a:xfrm>
                    <a:prstGeom prst="rect">
                      <a:avLst/>
                    </a:prstGeom>
                    <a:noFill/>
                  </pic:spPr>
                </pic:pic>
              </a:graphicData>
            </a:graphic>
          </wp:inline>
        </w:drawing>
      </w:r>
    </w:p>
    <w:p w14:paraId="47C6BC5B" w14:textId="77777777" w:rsidR="00D5672B" w:rsidRDefault="00D5672B" w:rsidP="00E2727E">
      <w:pPr>
        <w:spacing w:line="240" w:lineRule="auto"/>
        <w:jc w:val="left"/>
        <w:rPr>
          <w:rFonts w:cs="Segoe UI"/>
        </w:rPr>
      </w:pPr>
    </w:p>
    <w:p w14:paraId="5C04FC43" w14:textId="51A203B4" w:rsidR="003A4DEA" w:rsidRDefault="00711142" w:rsidP="003A4DEA">
      <w:pPr>
        <w:spacing w:line="240" w:lineRule="auto"/>
      </w:pPr>
      <w:r w:rsidRPr="000618EB">
        <w:rPr>
          <w:rFonts w:cs="Segoe UI"/>
          <w:b/>
          <w:bCs/>
        </w:rPr>
        <w:t xml:space="preserve">For the remainder of the report, the mass-based approach is used to </w:t>
      </w:r>
      <w:r w:rsidR="00A11953" w:rsidRPr="000618EB">
        <w:rPr>
          <w:rFonts w:cs="Segoe UI"/>
          <w:b/>
          <w:bCs/>
        </w:rPr>
        <w:t>estimate certificate obligations</w:t>
      </w:r>
      <w:r w:rsidR="00601834">
        <w:rPr>
          <w:rFonts w:cs="Segoe UI"/>
        </w:rPr>
        <w:t>, and the trade data are updated to 2023</w:t>
      </w:r>
      <w:r w:rsidR="005166AF">
        <w:rPr>
          <w:rFonts w:cs="Segoe UI"/>
        </w:rPr>
        <w:t>, which is the last</w:t>
      </w:r>
      <w:r w:rsidR="00B66CF7">
        <w:rPr>
          <w:rFonts w:cs="Segoe UI"/>
        </w:rPr>
        <w:t xml:space="preserve"> year of </w:t>
      </w:r>
      <w:r w:rsidR="004F7DD2">
        <w:rPr>
          <w:rFonts w:cs="Segoe UI"/>
        </w:rPr>
        <w:t xml:space="preserve">final (non-provisional) </w:t>
      </w:r>
      <w:r w:rsidR="00B66CF7">
        <w:rPr>
          <w:rFonts w:cs="Segoe UI"/>
        </w:rPr>
        <w:t>data in BACI</w:t>
      </w:r>
      <w:r w:rsidR="00A11953">
        <w:rPr>
          <w:rFonts w:cs="Segoe UI"/>
        </w:rPr>
        <w:t>.</w:t>
      </w:r>
      <w:r w:rsidR="003A4DEA">
        <w:rPr>
          <w:rFonts w:cs="Segoe UI"/>
        </w:rPr>
        <w:t xml:space="preserve"> </w:t>
      </w:r>
      <w:r w:rsidR="003A4DEA" w:rsidRPr="71592105">
        <w:t xml:space="preserve">Though the EU will estimate CBAM certificate costs based on emissions at the firm level, </w:t>
      </w:r>
      <w:r w:rsidR="00190415">
        <w:t>estimates are based on</w:t>
      </w:r>
      <w:r w:rsidR="002863EE">
        <w:t xml:space="preserve"> data aggregated to the </w:t>
      </w:r>
      <w:r w:rsidR="00AC1118">
        <w:t xml:space="preserve">exported product and sector level, since </w:t>
      </w:r>
      <w:r w:rsidR="003A4DEA" w:rsidRPr="71592105">
        <w:t xml:space="preserve">data </w:t>
      </w:r>
      <w:r w:rsidR="00AC1118">
        <w:t xml:space="preserve">are </w:t>
      </w:r>
      <w:r w:rsidR="003A4DEA" w:rsidRPr="71592105">
        <w:t xml:space="preserve">not available at the firm level. </w:t>
      </w:r>
      <w:r w:rsidR="0021762F">
        <w:t xml:space="preserve">The components of the resulting TEI are illustrated in </w:t>
      </w:r>
      <w:r w:rsidR="006D0655">
        <w:fldChar w:fldCharType="begin"/>
      </w:r>
      <w:r w:rsidR="006D0655">
        <w:instrText xml:space="preserve"> REF _Ref233731356 \h </w:instrText>
      </w:r>
      <w:r w:rsidR="006D0655">
        <w:fldChar w:fldCharType="separate"/>
      </w:r>
      <w:r w:rsidR="006D0655">
        <w:t xml:space="preserve">Figure </w:t>
      </w:r>
      <w:r w:rsidR="006D0655">
        <w:rPr>
          <w:noProof/>
        </w:rPr>
        <w:t>4</w:t>
      </w:r>
      <w:r w:rsidR="006D0655">
        <w:fldChar w:fldCharType="end"/>
      </w:r>
      <w:r w:rsidR="007D5411">
        <w:t>, and the calculated values</w:t>
      </w:r>
      <w:r w:rsidR="00EE0D75">
        <w:t xml:space="preserve"> by sector are given in </w:t>
      </w:r>
      <w:r w:rsidR="00A756CB">
        <w:t>Table 1</w:t>
      </w:r>
      <w:r w:rsidR="00EE0D75">
        <w:t>.</w:t>
      </w:r>
    </w:p>
    <w:p w14:paraId="65539CD0" w14:textId="188226B7" w:rsidR="003E6C69" w:rsidRDefault="003E6C69" w:rsidP="003E6C69">
      <w:pPr>
        <w:pStyle w:val="Caption"/>
        <w:keepNext/>
      </w:pPr>
      <w:commentRangeStart w:id="29"/>
      <w:r>
        <w:t xml:space="preserve">Table </w:t>
      </w:r>
      <w:r>
        <w:fldChar w:fldCharType="begin"/>
      </w:r>
      <w:r>
        <w:instrText>SEQ Table \* ARABIC</w:instrText>
      </w:r>
      <w:r>
        <w:fldChar w:fldCharType="separate"/>
      </w:r>
      <w:r>
        <w:rPr>
          <w:noProof/>
        </w:rPr>
        <w:t>1</w:t>
      </w:r>
      <w:r>
        <w:fldChar w:fldCharType="end"/>
      </w:r>
      <w:r>
        <w:t xml:space="preserve">: </w:t>
      </w:r>
      <w:r w:rsidR="00A32A89">
        <w:t>Sector-level t</w:t>
      </w:r>
      <w:r w:rsidR="00672D34">
        <w:t xml:space="preserve">rade </w:t>
      </w:r>
      <w:r w:rsidR="00976E32">
        <w:t xml:space="preserve">in 2023 </w:t>
      </w:r>
      <w:r w:rsidR="00672D34">
        <w:t xml:space="preserve">and </w:t>
      </w:r>
      <w:r w:rsidR="00577A41">
        <w:t xml:space="preserve">ad valorem equivalent (AVE) </w:t>
      </w:r>
      <w:r w:rsidR="006B4B38">
        <w:t xml:space="preserve">carbon cost calculations </w:t>
      </w:r>
      <w:commentRangeEnd w:id="29"/>
      <w:r w:rsidR="00BA492B">
        <w:rPr>
          <w:rStyle w:val="CommentReference"/>
          <w:sz w:val="18"/>
          <w:szCs w:val="18"/>
        </w:rPr>
        <w:commentReference w:id="29"/>
      </w:r>
    </w:p>
    <w:tbl>
      <w:tblPr>
        <w:tblW w:w="0" w:type="auto"/>
        <w:tblLayout w:type="fixed"/>
        <w:tblLook w:val="04A0" w:firstRow="1" w:lastRow="0" w:firstColumn="1" w:lastColumn="0" w:noHBand="0" w:noVBand="1"/>
      </w:tblPr>
      <w:tblGrid>
        <w:gridCol w:w="1680"/>
        <w:gridCol w:w="1180"/>
        <w:gridCol w:w="1190"/>
        <w:gridCol w:w="1170"/>
        <w:gridCol w:w="990"/>
        <w:gridCol w:w="270"/>
        <w:gridCol w:w="900"/>
        <w:gridCol w:w="955"/>
        <w:gridCol w:w="1025"/>
      </w:tblGrid>
      <w:tr w:rsidR="00C62165" w:rsidRPr="00856258" w14:paraId="2F11A391" w14:textId="77777777">
        <w:trPr>
          <w:trHeight w:val="285"/>
        </w:trPr>
        <w:tc>
          <w:tcPr>
            <w:tcW w:w="1680" w:type="dxa"/>
            <w:tcBorders>
              <w:top w:val="nil"/>
              <w:left w:val="nil"/>
              <w:bottom w:val="nil"/>
              <w:right w:val="nil"/>
            </w:tcBorders>
            <w:noWrap/>
            <w:vAlign w:val="bottom"/>
            <w:hideMark/>
          </w:tcPr>
          <w:p w14:paraId="39D55C35" w14:textId="4D4CA64B" w:rsidR="00C62165" w:rsidRPr="00856258" w:rsidRDefault="00C62165" w:rsidP="00576F1E">
            <w:pPr>
              <w:spacing w:after="0" w:line="240" w:lineRule="auto"/>
              <w:jc w:val="left"/>
              <w:rPr>
                <w:rFonts w:ascii="Aptos Narrow" w:eastAsia="Times New Roman" w:hAnsi="Aptos Narrow" w:cs="Times New Roman"/>
                <w:color w:val="000000"/>
              </w:rPr>
            </w:pPr>
          </w:p>
        </w:tc>
        <w:tc>
          <w:tcPr>
            <w:tcW w:w="2370" w:type="dxa"/>
            <w:gridSpan w:val="2"/>
            <w:tcBorders>
              <w:top w:val="nil"/>
              <w:left w:val="nil"/>
              <w:bottom w:val="nil"/>
              <w:right w:val="nil"/>
            </w:tcBorders>
            <w:noWrap/>
            <w:vAlign w:val="bottom"/>
            <w:hideMark/>
          </w:tcPr>
          <w:p w14:paraId="493F342C" w14:textId="151C3E09" w:rsidR="00C62165" w:rsidRPr="00856258" w:rsidRDefault="00C62165" w:rsidP="00576F1E">
            <w:pPr>
              <w:spacing w:after="0" w:line="240" w:lineRule="auto"/>
              <w:jc w:val="center"/>
              <w:rPr>
                <w:rFonts w:ascii="Aptos Narrow" w:eastAsia="Times New Roman" w:hAnsi="Aptos Narrow" w:cs="Times New Roman"/>
                <w:b/>
                <w:bCs/>
                <w:color w:val="000000"/>
              </w:rPr>
            </w:pPr>
            <w:r w:rsidRPr="00856258">
              <w:rPr>
                <w:rFonts w:ascii="Aptos Narrow" w:eastAsia="Times New Roman" w:hAnsi="Aptos Narrow" w:cs="Times New Roman"/>
                <w:b/>
                <w:bCs/>
                <w:color w:val="000000"/>
              </w:rPr>
              <w:t>to EU27</w:t>
            </w:r>
          </w:p>
        </w:tc>
        <w:tc>
          <w:tcPr>
            <w:tcW w:w="1170" w:type="dxa"/>
            <w:tcBorders>
              <w:top w:val="nil"/>
              <w:left w:val="nil"/>
              <w:bottom w:val="nil"/>
              <w:right w:val="nil"/>
            </w:tcBorders>
            <w:noWrap/>
            <w:vAlign w:val="bottom"/>
            <w:hideMark/>
          </w:tcPr>
          <w:p w14:paraId="18C14A70" w14:textId="543CF5FC" w:rsidR="00C62165" w:rsidRPr="00856258" w:rsidRDefault="00C62165" w:rsidP="00576F1E">
            <w:pPr>
              <w:spacing w:after="0" w:line="240" w:lineRule="auto"/>
              <w:jc w:val="left"/>
              <w:rPr>
                <w:rFonts w:ascii="Aptos Narrow" w:eastAsia="Times New Roman" w:hAnsi="Aptos Narrow" w:cs="Times New Roman"/>
                <w:b/>
                <w:bCs/>
                <w:color w:val="000000"/>
              </w:rPr>
            </w:pPr>
            <w:r w:rsidRPr="00856258">
              <w:rPr>
                <w:rFonts w:ascii="Aptos Narrow" w:eastAsia="Times New Roman" w:hAnsi="Aptos Narrow" w:cs="Times New Roman"/>
                <w:b/>
                <w:bCs/>
                <w:color w:val="000000"/>
              </w:rPr>
              <w:t>to World</w:t>
            </w:r>
          </w:p>
        </w:tc>
        <w:tc>
          <w:tcPr>
            <w:tcW w:w="990" w:type="dxa"/>
            <w:tcBorders>
              <w:top w:val="nil"/>
              <w:left w:val="nil"/>
              <w:bottom w:val="nil"/>
              <w:right w:val="nil"/>
            </w:tcBorders>
            <w:noWrap/>
            <w:vAlign w:val="bottom"/>
            <w:hideMark/>
          </w:tcPr>
          <w:p w14:paraId="4A5164FB" w14:textId="77777777" w:rsidR="00C62165" w:rsidRPr="00856258" w:rsidRDefault="00C62165" w:rsidP="00576F1E">
            <w:pPr>
              <w:spacing w:after="0" w:line="240" w:lineRule="auto"/>
              <w:jc w:val="left"/>
              <w:rPr>
                <w:rFonts w:ascii="Aptos Narrow" w:eastAsia="Times New Roman" w:hAnsi="Aptos Narrow" w:cs="Times New Roman"/>
                <w:b/>
                <w:bCs/>
                <w:color w:val="000000"/>
              </w:rPr>
            </w:pPr>
          </w:p>
        </w:tc>
        <w:tc>
          <w:tcPr>
            <w:tcW w:w="1170" w:type="dxa"/>
            <w:gridSpan w:val="2"/>
            <w:tcBorders>
              <w:top w:val="nil"/>
              <w:left w:val="nil"/>
              <w:bottom w:val="nil"/>
              <w:right w:val="nil"/>
            </w:tcBorders>
            <w:noWrap/>
            <w:vAlign w:val="bottom"/>
            <w:hideMark/>
          </w:tcPr>
          <w:p w14:paraId="2F9BD72A" w14:textId="77777777" w:rsidR="00C62165" w:rsidRPr="00856258" w:rsidRDefault="00C62165" w:rsidP="00576F1E">
            <w:pPr>
              <w:spacing w:after="0" w:line="240" w:lineRule="auto"/>
              <w:jc w:val="left"/>
              <w:rPr>
                <w:rFonts w:ascii="Times New Roman" w:eastAsia="Times New Roman" w:hAnsi="Times New Roman" w:cs="Times New Roman"/>
                <w:sz w:val="20"/>
                <w:szCs w:val="20"/>
              </w:rPr>
            </w:pPr>
          </w:p>
        </w:tc>
        <w:tc>
          <w:tcPr>
            <w:tcW w:w="955" w:type="dxa"/>
            <w:tcBorders>
              <w:top w:val="nil"/>
              <w:left w:val="nil"/>
              <w:bottom w:val="nil"/>
              <w:right w:val="nil"/>
            </w:tcBorders>
            <w:noWrap/>
            <w:vAlign w:val="bottom"/>
            <w:hideMark/>
          </w:tcPr>
          <w:p w14:paraId="089A21E8" w14:textId="77777777" w:rsidR="00C62165" w:rsidRPr="00856258" w:rsidRDefault="00C62165" w:rsidP="00576F1E">
            <w:pPr>
              <w:spacing w:after="0" w:line="240" w:lineRule="auto"/>
              <w:jc w:val="left"/>
              <w:rPr>
                <w:rFonts w:ascii="Times New Roman" w:eastAsia="Times New Roman" w:hAnsi="Times New Roman" w:cs="Times New Roman"/>
                <w:sz w:val="20"/>
                <w:szCs w:val="20"/>
              </w:rPr>
            </w:pPr>
          </w:p>
        </w:tc>
        <w:tc>
          <w:tcPr>
            <w:tcW w:w="1025" w:type="dxa"/>
            <w:vMerge w:val="restart"/>
            <w:tcBorders>
              <w:top w:val="nil"/>
              <w:left w:val="nil"/>
              <w:right w:val="nil"/>
            </w:tcBorders>
            <w:noWrap/>
            <w:vAlign w:val="bottom"/>
            <w:hideMark/>
          </w:tcPr>
          <w:p w14:paraId="1C1364E0" w14:textId="2902DEDF" w:rsidR="00C62165" w:rsidRPr="00856258" w:rsidRDefault="00C62165" w:rsidP="00576F1E">
            <w:pPr>
              <w:spacing w:after="0" w:line="240" w:lineRule="auto"/>
              <w:jc w:val="left"/>
              <w:rPr>
                <w:rFonts w:ascii="Times New Roman" w:eastAsia="Times New Roman" w:hAnsi="Times New Roman" w:cs="Times New Roman"/>
                <w:sz w:val="20"/>
                <w:szCs w:val="20"/>
              </w:rPr>
            </w:pPr>
            <w:r w:rsidRPr="00856258">
              <w:rPr>
                <w:rFonts w:ascii="Aptos Narrow" w:eastAsia="Times New Roman" w:hAnsi="Aptos Narrow" w:cs="Times New Roman"/>
                <w:b/>
                <w:bCs/>
                <w:color w:val="000000"/>
              </w:rPr>
              <w:t>Competitiveness change</w:t>
            </w:r>
          </w:p>
        </w:tc>
      </w:tr>
      <w:tr w:rsidR="00C62165" w:rsidRPr="00856258" w14:paraId="631F7EF9" w14:textId="77777777">
        <w:trPr>
          <w:trHeight w:val="855"/>
        </w:trPr>
        <w:tc>
          <w:tcPr>
            <w:tcW w:w="1680" w:type="dxa"/>
            <w:tcBorders>
              <w:top w:val="nil"/>
              <w:left w:val="nil"/>
              <w:bottom w:val="nil"/>
              <w:right w:val="nil"/>
            </w:tcBorders>
            <w:noWrap/>
            <w:vAlign w:val="bottom"/>
            <w:hideMark/>
          </w:tcPr>
          <w:p w14:paraId="52BCC25F" w14:textId="77777777" w:rsidR="00C62165" w:rsidRPr="00856258" w:rsidRDefault="00C62165" w:rsidP="00576F1E">
            <w:pPr>
              <w:spacing w:after="0" w:line="240" w:lineRule="auto"/>
              <w:jc w:val="left"/>
              <w:rPr>
                <w:rFonts w:ascii="Aptos Narrow" w:eastAsia="Times New Roman" w:hAnsi="Aptos Narrow" w:cs="Times New Roman"/>
                <w:b/>
                <w:bCs/>
                <w:color w:val="000000"/>
              </w:rPr>
            </w:pPr>
            <w:r w:rsidRPr="00856258">
              <w:rPr>
                <w:rFonts w:ascii="Aptos Narrow" w:eastAsia="Times New Roman" w:hAnsi="Aptos Narrow" w:cs="Times New Roman"/>
                <w:b/>
                <w:bCs/>
                <w:color w:val="000000"/>
              </w:rPr>
              <w:t>EXPORTS</w:t>
            </w:r>
          </w:p>
        </w:tc>
        <w:tc>
          <w:tcPr>
            <w:tcW w:w="1180" w:type="dxa"/>
            <w:tcBorders>
              <w:top w:val="nil"/>
              <w:left w:val="nil"/>
              <w:bottom w:val="nil"/>
              <w:right w:val="nil"/>
            </w:tcBorders>
            <w:vAlign w:val="bottom"/>
            <w:hideMark/>
          </w:tcPr>
          <w:p w14:paraId="2E79A867" w14:textId="77777777" w:rsidR="00C62165" w:rsidRPr="00856258" w:rsidRDefault="00C62165" w:rsidP="00576F1E">
            <w:pPr>
              <w:spacing w:after="0" w:line="240" w:lineRule="auto"/>
              <w:jc w:val="center"/>
              <w:rPr>
                <w:rFonts w:ascii="Aptos Narrow" w:eastAsia="Times New Roman" w:hAnsi="Aptos Narrow" w:cs="Times New Roman"/>
                <w:b/>
                <w:bCs/>
                <w:color w:val="000000"/>
              </w:rPr>
            </w:pPr>
            <w:r w:rsidRPr="00856258">
              <w:rPr>
                <w:rFonts w:ascii="Aptos Narrow" w:eastAsia="Times New Roman" w:hAnsi="Aptos Narrow" w:cs="Times New Roman"/>
                <w:b/>
                <w:bCs/>
                <w:color w:val="000000"/>
              </w:rPr>
              <w:t>Quantities (weight)</w:t>
            </w:r>
          </w:p>
        </w:tc>
        <w:tc>
          <w:tcPr>
            <w:tcW w:w="1190" w:type="dxa"/>
            <w:tcBorders>
              <w:top w:val="nil"/>
              <w:left w:val="nil"/>
              <w:bottom w:val="nil"/>
              <w:right w:val="nil"/>
            </w:tcBorders>
            <w:vAlign w:val="bottom"/>
            <w:hideMark/>
          </w:tcPr>
          <w:p w14:paraId="0C3E54DB" w14:textId="77777777" w:rsidR="00C62165" w:rsidRPr="00856258" w:rsidRDefault="00C62165" w:rsidP="00576F1E">
            <w:pPr>
              <w:spacing w:after="0" w:line="240" w:lineRule="auto"/>
              <w:jc w:val="center"/>
              <w:rPr>
                <w:rFonts w:ascii="Aptos Narrow" w:eastAsia="Times New Roman" w:hAnsi="Aptos Narrow" w:cs="Times New Roman"/>
                <w:b/>
                <w:bCs/>
                <w:color w:val="000000"/>
              </w:rPr>
            </w:pPr>
            <w:r w:rsidRPr="00856258">
              <w:rPr>
                <w:rFonts w:ascii="Aptos Narrow" w:eastAsia="Times New Roman" w:hAnsi="Aptos Narrow" w:cs="Times New Roman"/>
                <w:b/>
                <w:bCs/>
                <w:color w:val="000000"/>
              </w:rPr>
              <w:t>Values</w:t>
            </w:r>
          </w:p>
        </w:tc>
        <w:tc>
          <w:tcPr>
            <w:tcW w:w="1170" w:type="dxa"/>
            <w:tcBorders>
              <w:top w:val="nil"/>
              <w:left w:val="nil"/>
              <w:bottom w:val="nil"/>
              <w:right w:val="nil"/>
            </w:tcBorders>
            <w:vAlign w:val="bottom"/>
            <w:hideMark/>
          </w:tcPr>
          <w:p w14:paraId="4E4A1C71" w14:textId="77777777" w:rsidR="00C62165" w:rsidRPr="00856258" w:rsidRDefault="00C62165" w:rsidP="00576F1E">
            <w:pPr>
              <w:spacing w:after="0" w:line="240" w:lineRule="auto"/>
              <w:jc w:val="center"/>
              <w:rPr>
                <w:rFonts w:ascii="Aptos Narrow" w:eastAsia="Times New Roman" w:hAnsi="Aptos Narrow" w:cs="Times New Roman"/>
                <w:b/>
                <w:bCs/>
                <w:color w:val="000000"/>
              </w:rPr>
            </w:pPr>
            <w:r w:rsidRPr="00856258">
              <w:rPr>
                <w:rFonts w:ascii="Aptos Narrow" w:eastAsia="Times New Roman" w:hAnsi="Aptos Narrow" w:cs="Times New Roman"/>
                <w:b/>
                <w:bCs/>
                <w:color w:val="000000"/>
              </w:rPr>
              <w:t>Values</w:t>
            </w:r>
          </w:p>
        </w:tc>
        <w:tc>
          <w:tcPr>
            <w:tcW w:w="1260" w:type="dxa"/>
            <w:gridSpan w:val="2"/>
            <w:tcBorders>
              <w:top w:val="nil"/>
              <w:left w:val="nil"/>
              <w:bottom w:val="nil"/>
              <w:right w:val="nil"/>
            </w:tcBorders>
            <w:vAlign w:val="bottom"/>
            <w:hideMark/>
          </w:tcPr>
          <w:p w14:paraId="0C31EE73" w14:textId="77777777" w:rsidR="00C62165" w:rsidRPr="00856258" w:rsidRDefault="00C62165" w:rsidP="00576F1E">
            <w:pPr>
              <w:spacing w:after="0" w:line="240" w:lineRule="auto"/>
              <w:jc w:val="center"/>
              <w:rPr>
                <w:rFonts w:ascii="Aptos Narrow" w:eastAsia="Times New Roman" w:hAnsi="Aptos Narrow" w:cs="Times New Roman"/>
                <w:b/>
                <w:bCs/>
                <w:color w:val="000000"/>
              </w:rPr>
            </w:pPr>
            <w:r w:rsidRPr="00856258">
              <w:rPr>
                <w:rFonts w:ascii="Aptos Narrow" w:eastAsia="Times New Roman" w:hAnsi="Aptos Narrow" w:cs="Times New Roman"/>
                <w:b/>
                <w:bCs/>
                <w:color w:val="000000"/>
              </w:rPr>
              <w:t>EU trade share</w:t>
            </w:r>
          </w:p>
        </w:tc>
        <w:tc>
          <w:tcPr>
            <w:tcW w:w="900" w:type="dxa"/>
            <w:tcBorders>
              <w:top w:val="nil"/>
              <w:left w:val="nil"/>
              <w:bottom w:val="nil"/>
              <w:right w:val="nil"/>
            </w:tcBorders>
            <w:noWrap/>
            <w:vAlign w:val="bottom"/>
            <w:hideMark/>
          </w:tcPr>
          <w:p w14:paraId="72956B9F" w14:textId="77777777" w:rsidR="00C62165" w:rsidRPr="00856258" w:rsidRDefault="00C62165" w:rsidP="00576F1E">
            <w:pPr>
              <w:spacing w:after="0" w:line="240" w:lineRule="auto"/>
              <w:jc w:val="left"/>
              <w:rPr>
                <w:rFonts w:ascii="Aptos Narrow" w:eastAsia="Times New Roman" w:hAnsi="Aptos Narrow" w:cs="Times New Roman"/>
                <w:b/>
                <w:bCs/>
                <w:color w:val="000000"/>
              </w:rPr>
            </w:pPr>
            <w:r w:rsidRPr="00856258">
              <w:rPr>
                <w:rFonts w:ascii="Aptos Narrow" w:eastAsia="Times New Roman" w:hAnsi="Aptos Narrow" w:cs="Times New Roman"/>
                <w:b/>
                <w:bCs/>
                <w:color w:val="000000"/>
              </w:rPr>
              <w:t>AVE</w:t>
            </w:r>
          </w:p>
        </w:tc>
        <w:tc>
          <w:tcPr>
            <w:tcW w:w="955" w:type="dxa"/>
            <w:tcBorders>
              <w:top w:val="nil"/>
              <w:left w:val="nil"/>
              <w:bottom w:val="nil"/>
              <w:right w:val="nil"/>
            </w:tcBorders>
            <w:vAlign w:val="bottom"/>
            <w:hideMark/>
          </w:tcPr>
          <w:p w14:paraId="694E954A" w14:textId="77777777" w:rsidR="00C62165" w:rsidRPr="00856258" w:rsidRDefault="00C62165" w:rsidP="00576F1E">
            <w:pPr>
              <w:spacing w:after="0" w:line="240" w:lineRule="auto"/>
              <w:jc w:val="left"/>
              <w:rPr>
                <w:rFonts w:ascii="Aptos Narrow" w:eastAsia="Times New Roman" w:hAnsi="Aptos Narrow" w:cs="Times New Roman"/>
                <w:b/>
                <w:bCs/>
                <w:color w:val="000000"/>
              </w:rPr>
            </w:pPr>
            <w:r w:rsidRPr="00856258">
              <w:rPr>
                <w:rFonts w:ascii="Aptos Narrow" w:eastAsia="Times New Roman" w:hAnsi="Aptos Narrow" w:cs="Times New Roman"/>
                <w:b/>
                <w:bCs/>
                <w:color w:val="000000"/>
              </w:rPr>
              <w:t>Avg. EU cost</w:t>
            </w:r>
          </w:p>
        </w:tc>
        <w:tc>
          <w:tcPr>
            <w:tcW w:w="1025" w:type="dxa"/>
            <w:vMerge/>
            <w:tcBorders>
              <w:left w:val="nil"/>
              <w:bottom w:val="nil"/>
              <w:right w:val="nil"/>
            </w:tcBorders>
            <w:vAlign w:val="bottom"/>
            <w:hideMark/>
          </w:tcPr>
          <w:p w14:paraId="06C232B2" w14:textId="025B28A4" w:rsidR="00C62165" w:rsidRPr="00856258" w:rsidRDefault="00C62165" w:rsidP="00576F1E">
            <w:pPr>
              <w:spacing w:after="0" w:line="240" w:lineRule="auto"/>
              <w:jc w:val="left"/>
              <w:rPr>
                <w:rFonts w:ascii="Aptos Narrow" w:eastAsia="Times New Roman" w:hAnsi="Aptos Narrow" w:cs="Times New Roman"/>
                <w:b/>
                <w:bCs/>
                <w:color w:val="000000"/>
              </w:rPr>
            </w:pPr>
          </w:p>
        </w:tc>
      </w:tr>
      <w:tr w:rsidR="00B319E6" w:rsidRPr="00856258" w14:paraId="7E28256A" w14:textId="77777777">
        <w:trPr>
          <w:trHeight w:val="285"/>
        </w:trPr>
        <w:tc>
          <w:tcPr>
            <w:tcW w:w="1680" w:type="dxa"/>
            <w:tcBorders>
              <w:top w:val="nil"/>
              <w:left w:val="nil"/>
              <w:bottom w:val="nil"/>
              <w:right w:val="nil"/>
            </w:tcBorders>
            <w:noWrap/>
            <w:vAlign w:val="bottom"/>
            <w:hideMark/>
          </w:tcPr>
          <w:p w14:paraId="4A570C05" w14:textId="77777777" w:rsidR="00B319E6" w:rsidRPr="00856258" w:rsidRDefault="00B319E6" w:rsidP="00576F1E">
            <w:pPr>
              <w:spacing w:after="0" w:line="240" w:lineRule="auto"/>
              <w:jc w:val="left"/>
              <w:rPr>
                <w:rFonts w:ascii="Aptos Narrow" w:eastAsia="Times New Roman" w:hAnsi="Aptos Narrow" w:cs="Times New Roman"/>
                <w:color w:val="000000"/>
              </w:rPr>
            </w:pPr>
            <w:r w:rsidRPr="00856258">
              <w:rPr>
                <w:rFonts w:ascii="Aptos Narrow" w:eastAsia="Times New Roman" w:hAnsi="Aptos Narrow" w:cs="Times New Roman"/>
                <w:color w:val="000000"/>
              </w:rPr>
              <w:t>Fertilizers</w:t>
            </w:r>
          </w:p>
        </w:tc>
        <w:tc>
          <w:tcPr>
            <w:tcW w:w="1180" w:type="dxa"/>
            <w:tcBorders>
              <w:top w:val="nil"/>
              <w:left w:val="nil"/>
              <w:bottom w:val="nil"/>
              <w:right w:val="nil"/>
            </w:tcBorders>
            <w:noWrap/>
            <w:vAlign w:val="bottom"/>
            <w:hideMark/>
          </w:tcPr>
          <w:p w14:paraId="0874F56F"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 xml:space="preserve">               2,570,899 </w:t>
            </w:r>
          </w:p>
        </w:tc>
        <w:tc>
          <w:tcPr>
            <w:tcW w:w="1190" w:type="dxa"/>
            <w:tcBorders>
              <w:top w:val="nil"/>
              <w:left w:val="nil"/>
              <w:bottom w:val="nil"/>
              <w:right w:val="nil"/>
            </w:tcBorders>
            <w:noWrap/>
            <w:vAlign w:val="bottom"/>
            <w:hideMark/>
          </w:tcPr>
          <w:p w14:paraId="09F86018"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 xml:space="preserve"> </w:t>
            </w:r>
            <w:r>
              <w:rPr>
                <w:rFonts w:ascii="Aptos Narrow" w:eastAsia="Times New Roman" w:hAnsi="Aptos Narrow" w:cs="Times New Roman"/>
                <w:color w:val="000000"/>
              </w:rPr>
              <w:t>M</w:t>
            </w:r>
            <w:r w:rsidRPr="00856258">
              <w:rPr>
                <w:rFonts w:ascii="Aptos Narrow" w:eastAsia="Times New Roman" w:hAnsi="Aptos Narrow" w:cs="Times New Roman"/>
                <w:color w:val="000000"/>
              </w:rPr>
              <w:t>$  1,24</w:t>
            </w:r>
            <w:r>
              <w:rPr>
                <w:rFonts w:ascii="Aptos Narrow" w:eastAsia="Times New Roman" w:hAnsi="Aptos Narrow" w:cs="Times New Roman"/>
                <w:color w:val="000000"/>
              </w:rPr>
              <w:t>4</w:t>
            </w:r>
          </w:p>
        </w:tc>
        <w:tc>
          <w:tcPr>
            <w:tcW w:w="1170" w:type="dxa"/>
            <w:tcBorders>
              <w:top w:val="nil"/>
              <w:left w:val="nil"/>
              <w:bottom w:val="nil"/>
              <w:right w:val="nil"/>
            </w:tcBorders>
            <w:noWrap/>
            <w:vAlign w:val="bottom"/>
            <w:hideMark/>
          </w:tcPr>
          <w:p w14:paraId="188B381C"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 xml:space="preserve"> </w:t>
            </w:r>
            <w:r>
              <w:rPr>
                <w:rFonts w:ascii="Aptos Narrow" w:eastAsia="Times New Roman" w:hAnsi="Aptos Narrow" w:cs="Times New Roman"/>
                <w:color w:val="000000"/>
              </w:rPr>
              <w:t>M</w:t>
            </w:r>
            <w:r w:rsidRPr="00856258">
              <w:rPr>
                <w:rFonts w:ascii="Aptos Narrow" w:eastAsia="Times New Roman" w:hAnsi="Aptos Narrow" w:cs="Times New Roman"/>
                <w:color w:val="000000"/>
              </w:rPr>
              <w:t xml:space="preserve">$   3,305 </w:t>
            </w:r>
          </w:p>
        </w:tc>
        <w:tc>
          <w:tcPr>
            <w:tcW w:w="990" w:type="dxa"/>
            <w:tcBorders>
              <w:top w:val="nil"/>
              <w:left w:val="nil"/>
              <w:bottom w:val="nil"/>
              <w:right w:val="nil"/>
            </w:tcBorders>
            <w:noWrap/>
            <w:vAlign w:val="bottom"/>
            <w:hideMark/>
          </w:tcPr>
          <w:p w14:paraId="2FF45746"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38%</w:t>
            </w:r>
          </w:p>
        </w:tc>
        <w:tc>
          <w:tcPr>
            <w:tcW w:w="1170" w:type="dxa"/>
            <w:gridSpan w:val="2"/>
            <w:tcBorders>
              <w:top w:val="nil"/>
              <w:left w:val="nil"/>
              <w:bottom w:val="nil"/>
              <w:right w:val="nil"/>
            </w:tcBorders>
            <w:noWrap/>
            <w:vAlign w:val="bottom"/>
            <w:hideMark/>
          </w:tcPr>
          <w:p w14:paraId="4BC4EEBF"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28.5%</w:t>
            </w:r>
          </w:p>
        </w:tc>
        <w:tc>
          <w:tcPr>
            <w:tcW w:w="955" w:type="dxa"/>
            <w:tcBorders>
              <w:top w:val="nil"/>
              <w:left w:val="nil"/>
              <w:bottom w:val="nil"/>
              <w:right w:val="nil"/>
            </w:tcBorders>
            <w:noWrap/>
            <w:vAlign w:val="bottom"/>
            <w:hideMark/>
          </w:tcPr>
          <w:p w14:paraId="5D07F8D1"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27.4%</w:t>
            </w:r>
          </w:p>
        </w:tc>
        <w:tc>
          <w:tcPr>
            <w:tcW w:w="1025" w:type="dxa"/>
            <w:tcBorders>
              <w:top w:val="nil"/>
              <w:left w:val="nil"/>
              <w:bottom w:val="nil"/>
              <w:right w:val="nil"/>
            </w:tcBorders>
            <w:noWrap/>
            <w:vAlign w:val="bottom"/>
            <w:hideMark/>
          </w:tcPr>
          <w:p w14:paraId="15E14531"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-1.1%</w:t>
            </w:r>
          </w:p>
        </w:tc>
      </w:tr>
      <w:tr w:rsidR="00B319E6" w:rsidRPr="00856258" w14:paraId="6A8AC8CE" w14:textId="77777777">
        <w:trPr>
          <w:trHeight w:val="285"/>
        </w:trPr>
        <w:tc>
          <w:tcPr>
            <w:tcW w:w="1680" w:type="dxa"/>
            <w:tcBorders>
              <w:top w:val="nil"/>
              <w:left w:val="nil"/>
              <w:bottom w:val="nil"/>
              <w:right w:val="nil"/>
            </w:tcBorders>
            <w:noWrap/>
            <w:vAlign w:val="bottom"/>
            <w:hideMark/>
          </w:tcPr>
          <w:p w14:paraId="653051AF" w14:textId="77777777" w:rsidR="00B319E6" w:rsidRPr="00856258" w:rsidRDefault="00B319E6" w:rsidP="00576F1E">
            <w:pPr>
              <w:spacing w:after="0" w:line="240" w:lineRule="auto"/>
              <w:jc w:val="left"/>
              <w:rPr>
                <w:rFonts w:ascii="Aptos Narrow" w:eastAsia="Times New Roman" w:hAnsi="Aptos Narrow" w:cs="Times New Roman"/>
                <w:color w:val="000000"/>
              </w:rPr>
            </w:pPr>
            <w:r w:rsidRPr="00856258">
              <w:rPr>
                <w:rFonts w:ascii="Aptos Narrow" w:eastAsia="Times New Roman" w:hAnsi="Aptos Narrow" w:cs="Times New Roman"/>
                <w:color w:val="000000"/>
              </w:rPr>
              <w:t>Iron and Steel</w:t>
            </w:r>
          </w:p>
        </w:tc>
        <w:tc>
          <w:tcPr>
            <w:tcW w:w="1180" w:type="dxa"/>
            <w:tcBorders>
              <w:top w:val="nil"/>
              <w:left w:val="nil"/>
              <w:bottom w:val="nil"/>
              <w:right w:val="nil"/>
            </w:tcBorders>
            <w:noWrap/>
            <w:vAlign w:val="bottom"/>
            <w:hideMark/>
          </w:tcPr>
          <w:p w14:paraId="09BAA249"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 xml:space="preserve">               1,511,755 </w:t>
            </w:r>
          </w:p>
        </w:tc>
        <w:tc>
          <w:tcPr>
            <w:tcW w:w="1190" w:type="dxa"/>
            <w:tcBorders>
              <w:top w:val="nil"/>
              <w:left w:val="nil"/>
              <w:bottom w:val="nil"/>
              <w:right w:val="nil"/>
            </w:tcBorders>
            <w:noWrap/>
            <w:vAlign w:val="bottom"/>
            <w:hideMark/>
          </w:tcPr>
          <w:p w14:paraId="57F079B9" w14:textId="77777777" w:rsidR="00B319E6" w:rsidRPr="00856258" w:rsidRDefault="00B319E6" w:rsidP="00576F1E">
            <w:pPr>
              <w:spacing w:after="0" w:line="240" w:lineRule="auto"/>
              <w:jc w:val="right"/>
              <w:rPr>
                <w:rFonts w:ascii="Aptos Narrow" w:eastAsia="Times New Roman" w:hAnsi="Aptos Narrow" w:cs="Times New Roman"/>
                <w:color w:val="000000"/>
              </w:rPr>
            </w:pPr>
            <w:r>
              <w:rPr>
                <w:rFonts w:ascii="Aptos Narrow" w:eastAsia="Times New Roman" w:hAnsi="Aptos Narrow" w:cs="Times New Roman"/>
                <w:color w:val="000000"/>
              </w:rPr>
              <w:t>M</w:t>
            </w:r>
            <w:r w:rsidRPr="00856258">
              <w:rPr>
                <w:rFonts w:ascii="Aptos Narrow" w:eastAsia="Times New Roman" w:hAnsi="Aptos Narrow" w:cs="Times New Roman"/>
                <w:color w:val="000000"/>
              </w:rPr>
              <w:t xml:space="preserve">$  1,178 </w:t>
            </w:r>
          </w:p>
        </w:tc>
        <w:tc>
          <w:tcPr>
            <w:tcW w:w="1170" w:type="dxa"/>
            <w:tcBorders>
              <w:top w:val="nil"/>
              <w:left w:val="nil"/>
              <w:bottom w:val="nil"/>
              <w:right w:val="nil"/>
            </w:tcBorders>
            <w:noWrap/>
            <w:vAlign w:val="bottom"/>
            <w:hideMark/>
          </w:tcPr>
          <w:p w14:paraId="3F7A98AE"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 xml:space="preserve"> </w:t>
            </w:r>
            <w:r>
              <w:rPr>
                <w:rFonts w:ascii="Aptos Narrow" w:eastAsia="Times New Roman" w:hAnsi="Aptos Narrow" w:cs="Times New Roman"/>
                <w:color w:val="000000"/>
              </w:rPr>
              <w:t>M</w:t>
            </w:r>
            <w:r w:rsidRPr="00856258">
              <w:rPr>
                <w:rFonts w:ascii="Aptos Narrow" w:eastAsia="Times New Roman" w:hAnsi="Aptos Narrow" w:cs="Times New Roman"/>
                <w:color w:val="000000"/>
              </w:rPr>
              <w:t>$   2,91</w:t>
            </w:r>
            <w:r>
              <w:rPr>
                <w:rFonts w:ascii="Aptos Narrow" w:eastAsia="Times New Roman" w:hAnsi="Aptos Narrow" w:cs="Times New Roman"/>
                <w:color w:val="000000"/>
              </w:rPr>
              <w:t>4</w:t>
            </w:r>
          </w:p>
        </w:tc>
        <w:tc>
          <w:tcPr>
            <w:tcW w:w="990" w:type="dxa"/>
            <w:tcBorders>
              <w:top w:val="nil"/>
              <w:left w:val="nil"/>
              <w:bottom w:val="nil"/>
              <w:right w:val="nil"/>
            </w:tcBorders>
            <w:noWrap/>
            <w:vAlign w:val="bottom"/>
            <w:hideMark/>
          </w:tcPr>
          <w:p w14:paraId="5D402952"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40%</w:t>
            </w:r>
          </w:p>
        </w:tc>
        <w:tc>
          <w:tcPr>
            <w:tcW w:w="1170" w:type="dxa"/>
            <w:gridSpan w:val="2"/>
            <w:tcBorders>
              <w:top w:val="nil"/>
              <w:left w:val="nil"/>
              <w:bottom w:val="nil"/>
              <w:right w:val="nil"/>
            </w:tcBorders>
            <w:noWrap/>
            <w:vAlign w:val="bottom"/>
            <w:hideMark/>
          </w:tcPr>
          <w:p w14:paraId="017E0E07"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51.7%</w:t>
            </w:r>
          </w:p>
        </w:tc>
        <w:tc>
          <w:tcPr>
            <w:tcW w:w="955" w:type="dxa"/>
            <w:tcBorders>
              <w:top w:val="nil"/>
              <w:left w:val="nil"/>
              <w:bottom w:val="nil"/>
              <w:right w:val="nil"/>
            </w:tcBorders>
            <w:noWrap/>
            <w:vAlign w:val="bottom"/>
            <w:hideMark/>
          </w:tcPr>
          <w:p w14:paraId="5BECD0D9"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23.3%</w:t>
            </w:r>
          </w:p>
        </w:tc>
        <w:tc>
          <w:tcPr>
            <w:tcW w:w="1025" w:type="dxa"/>
            <w:tcBorders>
              <w:top w:val="nil"/>
              <w:left w:val="nil"/>
              <w:bottom w:val="nil"/>
              <w:right w:val="nil"/>
            </w:tcBorders>
            <w:noWrap/>
            <w:vAlign w:val="bottom"/>
            <w:hideMark/>
          </w:tcPr>
          <w:p w14:paraId="2714F86A"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-28.4%</w:t>
            </w:r>
          </w:p>
        </w:tc>
      </w:tr>
      <w:tr w:rsidR="00B319E6" w:rsidRPr="00856258" w14:paraId="4356DAEB" w14:textId="77777777">
        <w:trPr>
          <w:trHeight w:val="285"/>
        </w:trPr>
        <w:tc>
          <w:tcPr>
            <w:tcW w:w="1680" w:type="dxa"/>
            <w:tcBorders>
              <w:top w:val="nil"/>
              <w:left w:val="nil"/>
              <w:bottom w:val="nil"/>
              <w:right w:val="nil"/>
            </w:tcBorders>
            <w:noWrap/>
            <w:vAlign w:val="bottom"/>
            <w:hideMark/>
          </w:tcPr>
          <w:p w14:paraId="69467FEB" w14:textId="77777777" w:rsidR="00B319E6" w:rsidRPr="00856258" w:rsidRDefault="00B319E6" w:rsidP="00576F1E">
            <w:pPr>
              <w:spacing w:after="0" w:line="240" w:lineRule="auto"/>
              <w:jc w:val="left"/>
              <w:rPr>
                <w:rFonts w:ascii="Aptos Narrow" w:eastAsia="Times New Roman" w:hAnsi="Aptos Narrow" w:cs="Times New Roman"/>
                <w:color w:val="000000"/>
              </w:rPr>
            </w:pPr>
            <w:r w:rsidRPr="00856258">
              <w:rPr>
                <w:rFonts w:ascii="Aptos Narrow" w:eastAsia="Times New Roman" w:hAnsi="Aptos Narrow" w:cs="Times New Roman"/>
                <w:color w:val="000000"/>
              </w:rPr>
              <w:t>Aluminium</w:t>
            </w:r>
          </w:p>
        </w:tc>
        <w:tc>
          <w:tcPr>
            <w:tcW w:w="1180" w:type="dxa"/>
            <w:tcBorders>
              <w:top w:val="nil"/>
              <w:left w:val="nil"/>
              <w:bottom w:val="nil"/>
              <w:right w:val="nil"/>
            </w:tcBorders>
            <w:noWrap/>
            <w:vAlign w:val="bottom"/>
            <w:hideMark/>
          </w:tcPr>
          <w:p w14:paraId="50A64897"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 xml:space="preserve">                   187,732 </w:t>
            </w:r>
          </w:p>
        </w:tc>
        <w:tc>
          <w:tcPr>
            <w:tcW w:w="1190" w:type="dxa"/>
            <w:tcBorders>
              <w:top w:val="nil"/>
              <w:left w:val="nil"/>
              <w:bottom w:val="nil"/>
              <w:right w:val="nil"/>
            </w:tcBorders>
            <w:noWrap/>
            <w:vAlign w:val="bottom"/>
            <w:hideMark/>
          </w:tcPr>
          <w:p w14:paraId="163BAA1E"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 xml:space="preserve"> </w:t>
            </w:r>
            <w:r>
              <w:rPr>
                <w:rFonts w:ascii="Aptos Narrow" w:eastAsia="Times New Roman" w:hAnsi="Aptos Narrow" w:cs="Times New Roman"/>
                <w:color w:val="000000"/>
              </w:rPr>
              <w:t>M</w:t>
            </w:r>
            <w:r w:rsidRPr="00856258">
              <w:rPr>
                <w:rFonts w:ascii="Aptos Narrow" w:eastAsia="Times New Roman" w:hAnsi="Aptos Narrow" w:cs="Times New Roman"/>
                <w:color w:val="000000"/>
              </w:rPr>
              <w:t xml:space="preserve">$       521 </w:t>
            </w:r>
          </w:p>
        </w:tc>
        <w:tc>
          <w:tcPr>
            <w:tcW w:w="1170" w:type="dxa"/>
            <w:tcBorders>
              <w:top w:val="nil"/>
              <w:left w:val="nil"/>
              <w:bottom w:val="nil"/>
              <w:right w:val="nil"/>
            </w:tcBorders>
            <w:noWrap/>
            <w:vAlign w:val="bottom"/>
            <w:hideMark/>
          </w:tcPr>
          <w:p w14:paraId="09F9EB89"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 xml:space="preserve"> </w:t>
            </w:r>
            <w:r>
              <w:rPr>
                <w:rFonts w:ascii="Aptos Narrow" w:eastAsia="Times New Roman" w:hAnsi="Aptos Narrow" w:cs="Times New Roman"/>
                <w:color w:val="000000"/>
              </w:rPr>
              <w:t>M</w:t>
            </w:r>
            <w:r w:rsidRPr="00856258">
              <w:rPr>
                <w:rFonts w:ascii="Aptos Narrow" w:eastAsia="Times New Roman" w:hAnsi="Aptos Narrow" w:cs="Times New Roman"/>
                <w:color w:val="000000"/>
              </w:rPr>
              <w:t>$       77</w:t>
            </w:r>
            <w:r>
              <w:rPr>
                <w:rFonts w:ascii="Aptos Narrow" w:eastAsia="Times New Roman" w:hAnsi="Aptos Narrow" w:cs="Times New Roman"/>
                <w:color w:val="000000"/>
              </w:rPr>
              <w:t>9</w:t>
            </w:r>
          </w:p>
        </w:tc>
        <w:tc>
          <w:tcPr>
            <w:tcW w:w="990" w:type="dxa"/>
            <w:tcBorders>
              <w:top w:val="nil"/>
              <w:left w:val="nil"/>
              <w:bottom w:val="nil"/>
              <w:right w:val="nil"/>
            </w:tcBorders>
            <w:noWrap/>
            <w:vAlign w:val="bottom"/>
            <w:hideMark/>
          </w:tcPr>
          <w:p w14:paraId="53CDA7CE"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67%</w:t>
            </w:r>
          </w:p>
        </w:tc>
        <w:tc>
          <w:tcPr>
            <w:tcW w:w="1170" w:type="dxa"/>
            <w:gridSpan w:val="2"/>
            <w:tcBorders>
              <w:top w:val="nil"/>
              <w:left w:val="nil"/>
              <w:bottom w:val="nil"/>
              <w:right w:val="nil"/>
            </w:tcBorders>
            <w:noWrap/>
            <w:vAlign w:val="bottom"/>
            <w:hideMark/>
          </w:tcPr>
          <w:p w14:paraId="13AB7D27"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8.5%</w:t>
            </w:r>
          </w:p>
        </w:tc>
        <w:tc>
          <w:tcPr>
            <w:tcW w:w="955" w:type="dxa"/>
            <w:tcBorders>
              <w:top w:val="nil"/>
              <w:left w:val="nil"/>
              <w:bottom w:val="nil"/>
              <w:right w:val="nil"/>
            </w:tcBorders>
            <w:noWrap/>
            <w:vAlign w:val="bottom"/>
            <w:hideMark/>
          </w:tcPr>
          <w:p w14:paraId="34ED098D"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7.1%</w:t>
            </w:r>
          </w:p>
        </w:tc>
        <w:tc>
          <w:tcPr>
            <w:tcW w:w="1025" w:type="dxa"/>
            <w:tcBorders>
              <w:top w:val="nil"/>
              <w:left w:val="nil"/>
              <w:bottom w:val="nil"/>
              <w:right w:val="nil"/>
            </w:tcBorders>
            <w:noWrap/>
            <w:vAlign w:val="bottom"/>
            <w:hideMark/>
          </w:tcPr>
          <w:p w14:paraId="04942B89"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-1.4%</w:t>
            </w:r>
          </w:p>
        </w:tc>
      </w:tr>
      <w:tr w:rsidR="00B319E6" w:rsidRPr="00856258" w14:paraId="7E36ACC2" w14:textId="77777777">
        <w:trPr>
          <w:trHeight w:val="285"/>
        </w:trPr>
        <w:tc>
          <w:tcPr>
            <w:tcW w:w="1680" w:type="dxa"/>
            <w:tcBorders>
              <w:top w:val="nil"/>
              <w:left w:val="nil"/>
              <w:bottom w:val="nil"/>
              <w:right w:val="nil"/>
            </w:tcBorders>
            <w:noWrap/>
            <w:vAlign w:val="bottom"/>
            <w:hideMark/>
          </w:tcPr>
          <w:p w14:paraId="76195364" w14:textId="77777777" w:rsidR="00B319E6" w:rsidRPr="00856258" w:rsidRDefault="00B319E6" w:rsidP="00576F1E">
            <w:pPr>
              <w:spacing w:after="0" w:line="240" w:lineRule="auto"/>
              <w:jc w:val="left"/>
              <w:rPr>
                <w:rFonts w:ascii="Aptos Narrow" w:eastAsia="Times New Roman" w:hAnsi="Aptos Narrow" w:cs="Times New Roman"/>
                <w:color w:val="000000"/>
              </w:rPr>
            </w:pPr>
            <w:r w:rsidRPr="00856258">
              <w:rPr>
                <w:rFonts w:ascii="Aptos Narrow" w:eastAsia="Times New Roman" w:hAnsi="Aptos Narrow" w:cs="Times New Roman"/>
                <w:color w:val="000000"/>
              </w:rPr>
              <w:t>Cement</w:t>
            </w:r>
          </w:p>
        </w:tc>
        <w:tc>
          <w:tcPr>
            <w:tcW w:w="1180" w:type="dxa"/>
            <w:tcBorders>
              <w:top w:val="nil"/>
              <w:left w:val="nil"/>
              <w:bottom w:val="nil"/>
              <w:right w:val="nil"/>
            </w:tcBorders>
            <w:noWrap/>
            <w:vAlign w:val="bottom"/>
            <w:hideMark/>
          </w:tcPr>
          <w:p w14:paraId="44A1245B"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 xml:space="preserve">                   654,110 </w:t>
            </w:r>
          </w:p>
        </w:tc>
        <w:tc>
          <w:tcPr>
            <w:tcW w:w="1190" w:type="dxa"/>
            <w:tcBorders>
              <w:top w:val="nil"/>
              <w:left w:val="nil"/>
              <w:bottom w:val="nil"/>
              <w:right w:val="nil"/>
            </w:tcBorders>
            <w:noWrap/>
            <w:vAlign w:val="bottom"/>
            <w:hideMark/>
          </w:tcPr>
          <w:p w14:paraId="74FC88CD"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 xml:space="preserve"> </w:t>
            </w:r>
            <w:r>
              <w:rPr>
                <w:rFonts w:ascii="Aptos Narrow" w:eastAsia="Times New Roman" w:hAnsi="Aptos Narrow" w:cs="Times New Roman"/>
                <w:color w:val="000000"/>
              </w:rPr>
              <w:t>M</w:t>
            </w:r>
            <w:r w:rsidRPr="00856258">
              <w:rPr>
                <w:rFonts w:ascii="Aptos Narrow" w:eastAsia="Times New Roman" w:hAnsi="Aptos Narrow" w:cs="Times New Roman"/>
                <w:color w:val="000000"/>
              </w:rPr>
              <w:t xml:space="preserve">$          </w:t>
            </w:r>
            <w:r>
              <w:rPr>
                <w:rFonts w:ascii="Aptos Narrow" w:eastAsia="Times New Roman" w:hAnsi="Aptos Narrow" w:cs="Times New Roman"/>
                <w:color w:val="000000"/>
              </w:rPr>
              <w:t>60</w:t>
            </w:r>
          </w:p>
        </w:tc>
        <w:tc>
          <w:tcPr>
            <w:tcW w:w="1170" w:type="dxa"/>
            <w:tcBorders>
              <w:top w:val="nil"/>
              <w:left w:val="nil"/>
              <w:bottom w:val="nil"/>
              <w:right w:val="nil"/>
            </w:tcBorders>
            <w:noWrap/>
            <w:vAlign w:val="bottom"/>
            <w:hideMark/>
          </w:tcPr>
          <w:p w14:paraId="17192732"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 xml:space="preserve"> </w:t>
            </w:r>
            <w:r>
              <w:rPr>
                <w:rFonts w:ascii="Aptos Narrow" w:eastAsia="Times New Roman" w:hAnsi="Aptos Narrow" w:cs="Times New Roman"/>
                <w:color w:val="000000"/>
              </w:rPr>
              <w:t>M</w:t>
            </w:r>
            <w:r w:rsidRPr="00856258">
              <w:rPr>
                <w:rFonts w:ascii="Aptos Narrow" w:eastAsia="Times New Roman" w:hAnsi="Aptos Narrow" w:cs="Times New Roman"/>
                <w:color w:val="000000"/>
              </w:rPr>
              <w:t>$       88</w:t>
            </w:r>
            <w:r>
              <w:rPr>
                <w:rFonts w:ascii="Aptos Narrow" w:eastAsia="Times New Roman" w:hAnsi="Aptos Narrow" w:cs="Times New Roman"/>
                <w:color w:val="000000"/>
              </w:rPr>
              <w:t>4</w:t>
            </w:r>
          </w:p>
        </w:tc>
        <w:tc>
          <w:tcPr>
            <w:tcW w:w="990" w:type="dxa"/>
            <w:tcBorders>
              <w:top w:val="nil"/>
              <w:left w:val="nil"/>
              <w:bottom w:val="nil"/>
              <w:right w:val="nil"/>
            </w:tcBorders>
            <w:noWrap/>
            <w:vAlign w:val="bottom"/>
            <w:hideMark/>
          </w:tcPr>
          <w:p w14:paraId="3B01736B"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7%</w:t>
            </w:r>
          </w:p>
        </w:tc>
        <w:tc>
          <w:tcPr>
            <w:tcW w:w="1170" w:type="dxa"/>
            <w:gridSpan w:val="2"/>
            <w:tcBorders>
              <w:top w:val="nil"/>
              <w:left w:val="nil"/>
              <w:bottom w:val="nil"/>
              <w:right w:val="nil"/>
            </w:tcBorders>
            <w:noWrap/>
            <w:vAlign w:val="bottom"/>
            <w:hideMark/>
          </w:tcPr>
          <w:p w14:paraId="41B5A9EF"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144.3%</w:t>
            </w:r>
          </w:p>
        </w:tc>
        <w:tc>
          <w:tcPr>
            <w:tcW w:w="955" w:type="dxa"/>
            <w:tcBorders>
              <w:top w:val="nil"/>
              <w:left w:val="nil"/>
              <w:bottom w:val="nil"/>
              <w:right w:val="nil"/>
            </w:tcBorders>
            <w:noWrap/>
            <w:vAlign w:val="bottom"/>
            <w:hideMark/>
          </w:tcPr>
          <w:p w14:paraId="71451C66"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138.5%</w:t>
            </w:r>
          </w:p>
        </w:tc>
        <w:tc>
          <w:tcPr>
            <w:tcW w:w="1025" w:type="dxa"/>
            <w:tcBorders>
              <w:top w:val="nil"/>
              <w:left w:val="nil"/>
              <w:bottom w:val="nil"/>
              <w:right w:val="nil"/>
            </w:tcBorders>
            <w:noWrap/>
            <w:vAlign w:val="bottom"/>
            <w:hideMark/>
          </w:tcPr>
          <w:p w14:paraId="035F6873" w14:textId="77777777" w:rsidR="00B319E6" w:rsidRPr="00856258" w:rsidRDefault="00B319E6" w:rsidP="00576F1E">
            <w:pPr>
              <w:spacing w:after="0" w:line="240" w:lineRule="auto"/>
              <w:jc w:val="right"/>
              <w:rPr>
                <w:rFonts w:ascii="Aptos Narrow" w:eastAsia="Times New Roman" w:hAnsi="Aptos Narrow" w:cs="Times New Roman"/>
                <w:color w:val="000000"/>
              </w:rPr>
            </w:pPr>
            <w:r w:rsidRPr="00856258">
              <w:rPr>
                <w:rFonts w:ascii="Aptos Narrow" w:eastAsia="Times New Roman" w:hAnsi="Aptos Narrow" w:cs="Times New Roman"/>
                <w:color w:val="000000"/>
              </w:rPr>
              <w:t>-5.8%</w:t>
            </w:r>
          </w:p>
        </w:tc>
      </w:tr>
    </w:tbl>
    <w:p w14:paraId="35A47829" w14:textId="667C8D8F" w:rsidR="007A4F64" w:rsidRPr="004F5522" w:rsidRDefault="007A4F64" w:rsidP="007A4F64">
      <w:pPr>
        <w:rPr>
          <w:sz w:val="20"/>
          <w:szCs w:val="20"/>
        </w:rPr>
      </w:pPr>
      <w:bookmarkStart w:id="30" w:name="_Ref233731356"/>
      <w:r>
        <w:br/>
      </w:r>
      <w:r w:rsidRPr="00ED624B">
        <w:rPr>
          <w:sz w:val="20"/>
          <w:szCs w:val="20"/>
        </w:rPr>
        <w:t xml:space="preserve">Source: </w:t>
      </w:r>
      <w:r>
        <w:rPr>
          <w:sz w:val="20"/>
          <w:szCs w:val="20"/>
        </w:rPr>
        <w:t xml:space="preserve">World Bank staff </w:t>
      </w:r>
      <w:r w:rsidRPr="00ED624B">
        <w:rPr>
          <w:sz w:val="20"/>
          <w:szCs w:val="20"/>
        </w:rPr>
        <w:t xml:space="preserve">calculations, based on </w:t>
      </w:r>
      <w:r>
        <w:rPr>
          <w:sz w:val="20"/>
          <w:szCs w:val="20"/>
        </w:rPr>
        <w:t xml:space="preserve">2023 product-level trade data from BACI, </w:t>
      </w:r>
      <w:r w:rsidRPr="00ED624B">
        <w:rPr>
          <w:sz w:val="20"/>
          <w:szCs w:val="20"/>
        </w:rPr>
        <w:t>default values</w:t>
      </w:r>
      <w:r>
        <w:rPr>
          <w:sz w:val="20"/>
          <w:szCs w:val="20"/>
        </w:rPr>
        <w:t xml:space="preserve"> for Egyptian goods, EU emission intensities from JRC (2023), and a presumed $100/tCO2e EU ETS price</w:t>
      </w:r>
      <w:r w:rsidRPr="00ED624B">
        <w:rPr>
          <w:sz w:val="20"/>
          <w:szCs w:val="20"/>
        </w:rPr>
        <w:t xml:space="preserve">. </w:t>
      </w:r>
    </w:p>
    <w:p w14:paraId="67285C3E" w14:textId="3DB59060" w:rsidR="00C2284C" w:rsidRDefault="00C2284C" w:rsidP="00C2284C">
      <w:pPr>
        <w:pStyle w:val="Caption"/>
        <w:keepNext/>
      </w:pPr>
      <w:r>
        <w:lastRenderedPageBreak/>
        <w:t xml:space="preserve">Figure </w:t>
      </w:r>
      <w:fldSimple w:instr=" SEQ Figure \* ARABIC ">
        <w:r w:rsidR="00A56AFF">
          <w:rPr>
            <w:noProof/>
          </w:rPr>
          <w:t>4</w:t>
        </w:r>
      </w:fldSimple>
      <w:bookmarkEnd w:id="30"/>
      <w:r>
        <w:t>: Components of the mass-based TEI (2023 trade data)</w:t>
      </w:r>
    </w:p>
    <w:p w14:paraId="15808691" w14:textId="369F50A2" w:rsidR="003F1919" w:rsidRPr="004F5522" w:rsidRDefault="00C55A38" w:rsidP="004F5522">
      <w:pPr>
        <w:rPr>
          <w:sz w:val="20"/>
          <w:szCs w:val="20"/>
        </w:rPr>
      </w:pPr>
      <w:r>
        <w:rPr>
          <w:b/>
          <w:bCs/>
          <w:noProof/>
        </w:rPr>
        <w:drawing>
          <wp:inline distT="0" distB="0" distL="0" distR="0" wp14:anchorId="67801FAC" wp14:editId="511C8B58">
            <wp:extent cx="4142232" cy="3200400"/>
            <wp:effectExtent l="0" t="0" r="0" b="0"/>
            <wp:docPr id="1723679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42232" cy="3200400"/>
                    </a:xfrm>
                    <a:prstGeom prst="rect">
                      <a:avLst/>
                    </a:prstGeom>
                    <a:noFill/>
                  </pic:spPr>
                </pic:pic>
              </a:graphicData>
            </a:graphic>
          </wp:inline>
        </w:drawing>
      </w:r>
      <w:r w:rsidR="00C34970">
        <w:rPr>
          <w:b/>
          <w:bCs/>
        </w:rPr>
        <w:br/>
      </w:r>
      <w:r w:rsidR="00C34970" w:rsidRPr="00ED624B">
        <w:rPr>
          <w:sz w:val="20"/>
          <w:szCs w:val="20"/>
        </w:rPr>
        <w:t xml:space="preserve">Source: </w:t>
      </w:r>
      <w:r w:rsidR="00C56A63">
        <w:rPr>
          <w:sz w:val="20"/>
          <w:szCs w:val="20"/>
        </w:rPr>
        <w:t xml:space="preserve">World Bank staff </w:t>
      </w:r>
      <w:r w:rsidR="00C34970" w:rsidRPr="00ED624B">
        <w:rPr>
          <w:sz w:val="20"/>
          <w:szCs w:val="20"/>
        </w:rPr>
        <w:t xml:space="preserve">calculations, based on </w:t>
      </w:r>
      <w:r w:rsidR="002453F5">
        <w:rPr>
          <w:sz w:val="20"/>
          <w:szCs w:val="20"/>
        </w:rPr>
        <w:t xml:space="preserve">2023 </w:t>
      </w:r>
      <w:r w:rsidR="009C2FFC">
        <w:rPr>
          <w:sz w:val="20"/>
          <w:szCs w:val="20"/>
        </w:rPr>
        <w:t>product-level</w:t>
      </w:r>
      <w:r w:rsidR="002453F5">
        <w:rPr>
          <w:sz w:val="20"/>
          <w:szCs w:val="20"/>
        </w:rPr>
        <w:t xml:space="preserve"> trade data from BACI, </w:t>
      </w:r>
      <w:r w:rsidR="008C5280" w:rsidRPr="00ED624B">
        <w:rPr>
          <w:sz w:val="20"/>
          <w:szCs w:val="20"/>
        </w:rPr>
        <w:t>default values</w:t>
      </w:r>
      <w:r w:rsidR="008C5280">
        <w:rPr>
          <w:sz w:val="20"/>
          <w:szCs w:val="20"/>
        </w:rPr>
        <w:t xml:space="preserve"> for Egyptian goods, </w:t>
      </w:r>
      <w:r w:rsidR="002453F5">
        <w:rPr>
          <w:sz w:val="20"/>
          <w:szCs w:val="20"/>
        </w:rPr>
        <w:t>EU emission intensities</w:t>
      </w:r>
      <w:r w:rsidR="008C5280">
        <w:rPr>
          <w:sz w:val="20"/>
          <w:szCs w:val="20"/>
        </w:rPr>
        <w:t xml:space="preserve"> from JRC (2023), and a presumed $100/tCO2e</w:t>
      </w:r>
      <w:r w:rsidR="008F5BE5">
        <w:rPr>
          <w:sz w:val="20"/>
          <w:szCs w:val="20"/>
        </w:rPr>
        <w:t xml:space="preserve"> EU ETS price</w:t>
      </w:r>
      <w:r w:rsidR="00C34970" w:rsidRPr="00ED624B">
        <w:rPr>
          <w:sz w:val="20"/>
          <w:szCs w:val="20"/>
        </w:rPr>
        <w:t xml:space="preserve">. </w:t>
      </w:r>
    </w:p>
    <w:p w14:paraId="56D1E837" w14:textId="464E76C6" w:rsidR="000E0AD7" w:rsidRDefault="000E0AD7" w:rsidP="00E2727E">
      <w:pPr>
        <w:spacing w:line="240" w:lineRule="auto"/>
        <w:jc w:val="left"/>
        <w:rPr>
          <w:rFonts w:cs="Segoe UI"/>
        </w:rPr>
      </w:pPr>
    </w:p>
    <w:p w14:paraId="1E92ECE0" w14:textId="1EE1DCA3" w:rsidR="00966674" w:rsidRDefault="002F2742" w:rsidP="00592697">
      <w:pPr>
        <w:pStyle w:val="Heading3"/>
      </w:pPr>
      <w:r>
        <w:t>Iron and Steel</w:t>
      </w:r>
    </w:p>
    <w:p w14:paraId="71D693C2" w14:textId="45D8AFAA" w:rsidR="00F87FC0" w:rsidRDefault="00B06D93" w:rsidP="00AC60DF">
      <w:r>
        <w:rPr>
          <w:b/>
          <w:bCs/>
        </w:rPr>
        <w:t>I</w:t>
      </w:r>
      <w:r w:rsidR="00D9457F" w:rsidRPr="00293674">
        <w:rPr>
          <w:b/>
          <w:bCs/>
        </w:rPr>
        <w:t xml:space="preserve">ron and steel </w:t>
      </w:r>
      <w:r w:rsidR="000263ED" w:rsidRPr="00293674">
        <w:rPr>
          <w:b/>
          <w:bCs/>
        </w:rPr>
        <w:t xml:space="preserve">appears </w:t>
      </w:r>
      <w:r w:rsidR="00D77B84" w:rsidRPr="00293674">
        <w:rPr>
          <w:b/>
          <w:bCs/>
        </w:rPr>
        <w:t>to be Egypt’s most exposed sector</w:t>
      </w:r>
      <w:r w:rsidR="00B31842" w:rsidRPr="00293674">
        <w:rPr>
          <w:b/>
          <w:bCs/>
        </w:rPr>
        <w:t xml:space="preserve"> </w:t>
      </w:r>
      <w:r>
        <w:rPr>
          <w:b/>
          <w:bCs/>
        </w:rPr>
        <w:t>in some</w:t>
      </w:r>
      <w:r w:rsidR="006F15D5" w:rsidRPr="00293674">
        <w:rPr>
          <w:b/>
          <w:bCs/>
        </w:rPr>
        <w:t xml:space="preserve"> </w:t>
      </w:r>
      <w:r w:rsidR="00B31842" w:rsidRPr="00293674">
        <w:rPr>
          <w:b/>
          <w:bCs/>
        </w:rPr>
        <w:t>metrics</w:t>
      </w:r>
      <w:r w:rsidR="00940737">
        <w:rPr>
          <w:b/>
          <w:bCs/>
        </w:rPr>
        <w:t xml:space="preserve">, </w:t>
      </w:r>
      <w:r w:rsidR="00B00B8D" w:rsidRPr="00293674">
        <w:rPr>
          <w:b/>
          <w:bCs/>
        </w:rPr>
        <w:t xml:space="preserve">but </w:t>
      </w:r>
      <w:r w:rsidR="00135E34">
        <w:rPr>
          <w:b/>
          <w:bCs/>
        </w:rPr>
        <w:t xml:space="preserve">it may also have </w:t>
      </w:r>
      <w:r w:rsidR="000C15A4" w:rsidRPr="00293674">
        <w:rPr>
          <w:b/>
          <w:bCs/>
        </w:rPr>
        <w:t xml:space="preserve">the greatest potential to benefit </w:t>
      </w:r>
      <w:r w:rsidR="00AA6E05" w:rsidRPr="00293674">
        <w:rPr>
          <w:b/>
          <w:bCs/>
        </w:rPr>
        <w:t xml:space="preserve">by </w:t>
      </w:r>
      <w:r w:rsidR="00293674" w:rsidRPr="00293674">
        <w:rPr>
          <w:b/>
          <w:bCs/>
        </w:rPr>
        <w:t>reporting its actual emissions</w:t>
      </w:r>
      <w:r w:rsidR="00D77B84" w:rsidRPr="00293674">
        <w:rPr>
          <w:b/>
          <w:bCs/>
        </w:rPr>
        <w:t>.</w:t>
      </w:r>
      <w:r w:rsidR="005E39D2">
        <w:t xml:space="preserve"> </w:t>
      </w:r>
      <w:r w:rsidR="008A1E02">
        <w:t xml:space="preserve">In 2023, </w:t>
      </w:r>
      <w:r w:rsidR="005F42A0">
        <w:t xml:space="preserve">Egypt </w:t>
      </w:r>
      <w:r w:rsidR="00966F58">
        <w:t>export</w:t>
      </w:r>
      <w:r w:rsidR="001E37C3">
        <w:t>ed</w:t>
      </w:r>
      <w:r w:rsidR="005603E3">
        <w:t xml:space="preserve"> 1.5 million tons </w:t>
      </w:r>
      <w:r w:rsidR="003B7F78">
        <w:t>of covered steel products worth</w:t>
      </w:r>
      <w:r w:rsidR="0080171F">
        <w:t xml:space="preserve"> </w:t>
      </w:r>
      <w:r w:rsidR="003C7E46">
        <w:t xml:space="preserve">$1.2 billion </w:t>
      </w:r>
      <w:r w:rsidR="003B7F78">
        <w:t>to the EU</w:t>
      </w:r>
      <w:r w:rsidR="005D03A4">
        <w:t>, representing 40% of its total stee</w:t>
      </w:r>
      <w:r w:rsidR="00C02CDF">
        <w:t>l</w:t>
      </w:r>
      <w:r w:rsidR="008E35E5">
        <w:t xml:space="preserve"> exports.</w:t>
      </w:r>
      <w:r w:rsidR="00C671FE">
        <w:t xml:space="preserve"> </w:t>
      </w:r>
      <w:r w:rsidR="00E75242">
        <w:t>Meanwhile,</w:t>
      </w:r>
      <w:r w:rsidR="00E167CB">
        <w:t xml:space="preserve"> </w:t>
      </w:r>
      <w:r w:rsidR="008109FC">
        <w:t>Egyptian steel products were assigned the relatively high “other countries” default values</w:t>
      </w:r>
      <w:r w:rsidR="00DB406C">
        <w:t>, resulting</w:t>
      </w:r>
      <w:r w:rsidR="00A1752E">
        <w:t xml:space="preserve"> in</w:t>
      </w:r>
      <w:r w:rsidR="00D8169E">
        <w:t xml:space="preserve"> an ad</w:t>
      </w:r>
      <w:r w:rsidR="003C4402">
        <w:t>-</w:t>
      </w:r>
      <w:r w:rsidR="00D8169E">
        <w:t>valorem cost equivalent of 52%</w:t>
      </w:r>
      <w:r w:rsidR="005B2532">
        <w:t xml:space="preserve">, </w:t>
      </w:r>
      <w:r w:rsidR="00454B2A">
        <w:t>more than twice that of the EU average producer</w:t>
      </w:r>
      <w:r w:rsidR="008109FC">
        <w:t>.</w:t>
      </w:r>
      <w:r w:rsidR="008E35E5">
        <w:t xml:space="preserve"> </w:t>
      </w:r>
      <w:r w:rsidR="000C1822">
        <w:t>This combination indicates high exposure—unless Egyptian producers can document their actual emissions.</w:t>
      </w:r>
      <w:r w:rsidR="00AC60DF">
        <w:t xml:space="preserve"> Moreover</w:t>
      </w:r>
      <w:r w:rsidR="00824DA6">
        <w:t xml:space="preserve">, </w:t>
      </w:r>
      <w:r w:rsidR="008B6131">
        <w:t xml:space="preserve">iron and </w:t>
      </w:r>
      <w:r w:rsidR="00F31608">
        <w:t>steel products</w:t>
      </w:r>
      <w:r w:rsidR="00AC60DF">
        <w:t>,</w:t>
      </w:r>
      <w:r w:rsidR="00F31608">
        <w:t xml:space="preserve"> with high default values</w:t>
      </w:r>
      <w:r w:rsidR="00AC60DF">
        <w:t>,</w:t>
      </w:r>
      <w:r w:rsidR="00F31608">
        <w:t xml:space="preserve"> can </w:t>
      </w:r>
      <w:r w:rsidR="00862CDE">
        <w:t>face obligations</w:t>
      </w:r>
      <w:r w:rsidR="002B1E26">
        <w:t xml:space="preserve"> for </w:t>
      </w:r>
      <w:r w:rsidR="00AC60DF">
        <w:t>most of</w:t>
      </w:r>
      <w:r w:rsidR="002B1E26">
        <w:t xml:space="preserve"> their</w:t>
      </w:r>
      <w:r w:rsidR="0098445E">
        <w:t xml:space="preserve"> emissions</w:t>
      </w:r>
      <w:r w:rsidR="009B1FE3">
        <w:t xml:space="preserve"> already this year. </w:t>
      </w:r>
      <w:r w:rsidR="00D2079C" w:rsidRPr="000058EA">
        <w:fldChar w:fldCharType="begin"/>
      </w:r>
      <w:r w:rsidR="00D2079C" w:rsidRPr="000058EA">
        <w:instrText xml:space="preserve"> REF _Ref181560730 \h </w:instrText>
      </w:r>
      <w:r w:rsidR="00D2079C">
        <w:instrText xml:space="preserve"> \* MERGEFORMAT </w:instrText>
      </w:r>
      <w:r w:rsidR="00D2079C" w:rsidRPr="000058EA">
        <w:fldChar w:fldCharType="separate"/>
      </w:r>
      <w:r w:rsidR="00D2079C">
        <w:t xml:space="preserve">Figure </w:t>
      </w:r>
      <w:r w:rsidR="00D2079C">
        <w:rPr>
          <w:noProof/>
        </w:rPr>
        <w:t>4</w:t>
      </w:r>
      <w:r w:rsidR="00D2079C" w:rsidRPr="000058EA">
        <w:fldChar w:fldCharType="end"/>
      </w:r>
      <w:r w:rsidR="00D2079C">
        <w:t xml:space="preserve"> illustrates the implications of the phase-in for </w:t>
      </w:r>
      <w:r w:rsidR="009F6587">
        <w:t xml:space="preserve">two </w:t>
      </w:r>
      <w:r w:rsidR="00D2079C">
        <w:t>types of producers</w:t>
      </w:r>
      <w:r w:rsidR="00C9113F">
        <w:t xml:space="preserve"> of flat-rolled steel</w:t>
      </w:r>
      <w:r w:rsidR="00D2079C">
        <w:t xml:space="preserve">: one that has an emissions profile like EU producers (and verifies those actual emissions), and a </w:t>
      </w:r>
      <w:r w:rsidR="00C54457">
        <w:t xml:space="preserve">second one </w:t>
      </w:r>
      <w:r w:rsidR="00D2079C">
        <w:t xml:space="preserve">that </w:t>
      </w:r>
      <w:r w:rsidR="0028086A">
        <w:t xml:space="preserve">uses </w:t>
      </w:r>
      <w:r w:rsidR="00D2079C">
        <w:t xml:space="preserve">the </w:t>
      </w:r>
      <w:r w:rsidR="00BB0086">
        <w:t>default value assigned</w:t>
      </w:r>
      <w:r w:rsidR="00EE5C35">
        <w:t xml:space="preserve"> to it</w:t>
      </w:r>
      <w:r w:rsidR="008F3F68">
        <w:t xml:space="preserve">, in this case </w:t>
      </w:r>
      <w:r w:rsidR="00C54457">
        <w:t xml:space="preserve">under </w:t>
      </w:r>
      <w:r w:rsidR="001042B8">
        <w:t xml:space="preserve">the </w:t>
      </w:r>
      <w:r w:rsidR="008F3F68">
        <w:t>“Other countries” category</w:t>
      </w:r>
      <w:r w:rsidR="00D2079C">
        <w:t xml:space="preserve">. In 2026, </w:t>
      </w:r>
      <w:r w:rsidR="00AD2235">
        <w:t xml:space="preserve">an Egyptian </w:t>
      </w:r>
      <w:r w:rsidR="00D2079C">
        <w:t xml:space="preserve">producer that </w:t>
      </w:r>
      <w:r w:rsidR="00020862">
        <w:t xml:space="preserve">proves it </w:t>
      </w:r>
      <w:r w:rsidR="00AD2235">
        <w:t xml:space="preserve">is </w:t>
      </w:r>
      <w:r w:rsidR="00D2079C">
        <w:t xml:space="preserve">at least as clean as efficient EU producers </w:t>
      </w:r>
      <w:r w:rsidR="00534E5B">
        <w:t xml:space="preserve">would have </w:t>
      </w:r>
      <w:r w:rsidR="00D2079C">
        <w:t xml:space="preserve">nearly all of their CBAM liability on their exported goods offset by the free allocation adjustment; however, </w:t>
      </w:r>
      <w:r w:rsidR="00AB1FA3">
        <w:t>a producer that</w:t>
      </w:r>
      <w:r w:rsidR="00710E7D">
        <w:t xml:space="preserve"> does not document its actual </w:t>
      </w:r>
      <w:r w:rsidR="00F90EDF">
        <w:t>emissions intensity and relies</w:t>
      </w:r>
      <w:r w:rsidR="00EB147E">
        <w:t xml:space="preserve"> on </w:t>
      </w:r>
      <w:r w:rsidR="00D2079C">
        <w:t xml:space="preserve">the </w:t>
      </w:r>
      <w:r w:rsidR="006E3AC1">
        <w:t xml:space="preserve">default </w:t>
      </w:r>
      <w:r w:rsidR="00962B40">
        <w:t xml:space="preserve">value </w:t>
      </w:r>
      <w:r w:rsidR="00D2079C">
        <w:t xml:space="preserve">will </w:t>
      </w:r>
      <w:r w:rsidR="00C33CFC">
        <w:t>have obligations in excess of the benchmark</w:t>
      </w:r>
      <w:r w:rsidR="00D2079C">
        <w:t xml:space="preserve">. As the phase-in continues, the benchmark reductions decline and the markup penalty for using defaults increases </w:t>
      </w:r>
      <w:r w:rsidR="00CB2165">
        <w:t xml:space="preserve">over the next </w:t>
      </w:r>
      <w:r w:rsidR="00D2079C">
        <w:t>three years.</w:t>
      </w:r>
    </w:p>
    <w:p w14:paraId="7D26E9F1" w14:textId="7A8EF11E" w:rsidR="00A11EAB" w:rsidRDefault="00A11EAB" w:rsidP="00A11EAB">
      <w:pPr>
        <w:pStyle w:val="Caption"/>
        <w:keepNext/>
      </w:pPr>
      <w:r>
        <w:lastRenderedPageBreak/>
        <w:t xml:space="preserve">Figure </w:t>
      </w:r>
      <w:fldSimple w:instr=" SEQ Figure \* ARABIC ">
        <w:r w:rsidR="00A56AFF">
          <w:rPr>
            <w:noProof/>
          </w:rPr>
          <w:t>5</w:t>
        </w:r>
      </w:fldSimple>
      <w:r>
        <w:t xml:space="preserve">: Components of total obligations </w:t>
      </w:r>
      <w:r w:rsidR="00006773">
        <w:t>(</w:t>
      </w:r>
      <w:r w:rsidR="00CA15A4">
        <w:t>tCO2e/</w:t>
      </w:r>
      <w:r w:rsidR="003735D9">
        <w:t xml:space="preserve">ton of product) </w:t>
      </w:r>
      <w:r>
        <w:t xml:space="preserve">under the CBAM </w:t>
      </w:r>
      <w:r w:rsidDel="002F59BC">
        <w:t>phase-</w:t>
      </w:r>
      <w:r>
        <w:t>in: declared emissions intensity (by type of producers), markup, and residual benchmark under EU ETS free allowances phase-ou</w:t>
      </w:r>
      <w:r w:rsidR="00375A40">
        <w:t>t</w:t>
      </w:r>
      <w:r w:rsidR="00817E70">
        <w:t xml:space="preserve"> (tCO2e/t of product)</w:t>
      </w:r>
    </w:p>
    <w:p w14:paraId="46BA1EB8" w14:textId="1DE153F1" w:rsidR="00265529" w:rsidRDefault="009F6587" w:rsidP="009F6587">
      <w:pPr>
        <w:jc w:val="center"/>
      </w:pPr>
      <w:r>
        <w:rPr>
          <w:noProof/>
        </w:rPr>
        <w:drawing>
          <wp:inline distT="0" distB="0" distL="0" distR="0" wp14:anchorId="7DEED3AE" wp14:editId="685DF45A">
            <wp:extent cx="4572000" cy="3319272"/>
            <wp:effectExtent l="0" t="0" r="0" b="0"/>
            <wp:docPr id="89113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72000" cy="3319272"/>
                    </a:xfrm>
                    <a:prstGeom prst="rect">
                      <a:avLst/>
                    </a:prstGeom>
                    <a:noFill/>
                  </pic:spPr>
                </pic:pic>
              </a:graphicData>
            </a:graphic>
          </wp:inline>
        </w:drawing>
      </w:r>
    </w:p>
    <w:p w14:paraId="6D395B13" w14:textId="255FA604" w:rsidR="00265529" w:rsidRPr="00ED624B" w:rsidRDefault="00265529" w:rsidP="00265529">
      <w:pPr>
        <w:rPr>
          <w:sz w:val="20"/>
          <w:szCs w:val="20"/>
        </w:rPr>
      </w:pPr>
      <w:r w:rsidRPr="00ED624B">
        <w:rPr>
          <w:sz w:val="20"/>
          <w:szCs w:val="20"/>
        </w:rPr>
        <w:t xml:space="preserve">Source: Own calculations, based on default values and provisional benchmarks for flat-rolled steel (Product CN code 7208) </w:t>
      </w:r>
      <w:r w:rsidR="00DE200D">
        <w:rPr>
          <w:sz w:val="20"/>
          <w:szCs w:val="20"/>
        </w:rPr>
        <w:t xml:space="preserve">as in the implementing regulation </w:t>
      </w:r>
      <w:r w:rsidR="00DE200D" w:rsidRPr="00DE200D">
        <w:rPr>
          <w:sz w:val="20"/>
          <w:szCs w:val="20"/>
        </w:rPr>
        <w:t>2025/2621</w:t>
      </w:r>
      <w:r w:rsidRPr="00ED624B">
        <w:rPr>
          <w:sz w:val="20"/>
          <w:szCs w:val="20"/>
        </w:rPr>
        <w:t xml:space="preserve">. </w:t>
      </w:r>
    </w:p>
    <w:p w14:paraId="407C08C5" w14:textId="77777777" w:rsidR="00917286" w:rsidRDefault="00917286" w:rsidP="00A53297"/>
    <w:p w14:paraId="425537DC" w14:textId="32336A96" w:rsidR="008A0EFB" w:rsidRDefault="00D524B6" w:rsidP="00A53297">
      <w:r w:rsidRPr="00B57321">
        <w:rPr>
          <w:b/>
          <w:bCs/>
        </w:rPr>
        <w:t xml:space="preserve">Evidence suggests </w:t>
      </w:r>
      <w:r w:rsidR="00606AB2" w:rsidRPr="00B57321">
        <w:rPr>
          <w:b/>
          <w:bCs/>
        </w:rPr>
        <w:t xml:space="preserve">that </w:t>
      </w:r>
      <w:r w:rsidR="00596913" w:rsidRPr="00B57321">
        <w:rPr>
          <w:b/>
          <w:bCs/>
        </w:rPr>
        <w:t xml:space="preserve">Egyptian </w:t>
      </w:r>
      <w:r w:rsidR="004F33C4" w:rsidRPr="00B57321">
        <w:rPr>
          <w:b/>
          <w:bCs/>
        </w:rPr>
        <w:t xml:space="preserve">primary </w:t>
      </w:r>
      <w:r w:rsidR="00596913" w:rsidRPr="00B57321">
        <w:rPr>
          <w:b/>
          <w:bCs/>
        </w:rPr>
        <w:t xml:space="preserve">iron and steel </w:t>
      </w:r>
      <w:r w:rsidR="008A0EFB" w:rsidRPr="00B57321">
        <w:rPr>
          <w:b/>
          <w:bCs/>
        </w:rPr>
        <w:t xml:space="preserve">facilities </w:t>
      </w:r>
      <w:r w:rsidR="004F33C4" w:rsidRPr="00B57321">
        <w:rPr>
          <w:b/>
          <w:bCs/>
        </w:rPr>
        <w:t xml:space="preserve">are </w:t>
      </w:r>
      <w:r w:rsidR="008A0EFB" w:rsidRPr="00B57321">
        <w:rPr>
          <w:b/>
          <w:bCs/>
        </w:rPr>
        <w:t>relatively less emissions intensive than its global counterparts</w:t>
      </w:r>
      <w:r w:rsidR="008A0EFB">
        <w:t xml:space="preserve"> (</w:t>
      </w:r>
      <w:r w:rsidR="008A0EFB">
        <w:fldChar w:fldCharType="begin"/>
      </w:r>
      <w:r w:rsidR="008A0EFB">
        <w:instrText xml:space="preserve"> REF _Ref230706586 \h </w:instrText>
      </w:r>
      <w:r w:rsidR="008A0EFB">
        <w:fldChar w:fldCharType="separate"/>
      </w:r>
      <w:r w:rsidR="008A0EFB">
        <w:t xml:space="preserve">Figure </w:t>
      </w:r>
      <w:r w:rsidR="008A0EFB">
        <w:rPr>
          <w:noProof/>
        </w:rPr>
        <w:t>3</w:t>
      </w:r>
      <w:r w:rsidR="008A0EFB">
        <w:fldChar w:fldCharType="end"/>
      </w:r>
      <w:r w:rsidR="008A0EFB">
        <w:t>)</w:t>
      </w:r>
      <w:r w:rsidR="00F97224">
        <w:t>. Indeed</w:t>
      </w:r>
      <w:r w:rsidR="008A0EFB">
        <w:t>,</w:t>
      </w:r>
      <w:r w:rsidR="00F97224">
        <w:t xml:space="preserve"> </w:t>
      </w:r>
      <w:r w:rsidR="004D6C14">
        <w:t xml:space="preserve">according to Climate Trace, </w:t>
      </w:r>
      <w:r w:rsidR="00F97224">
        <w:t>E</w:t>
      </w:r>
      <w:r w:rsidR="002271E6">
        <w:t xml:space="preserve">gypt no longer has an operating </w:t>
      </w:r>
      <w:commentRangeStart w:id="31"/>
      <w:r w:rsidR="002271E6">
        <w:t>blast furnace</w:t>
      </w:r>
      <w:commentRangeEnd w:id="31"/>
      <w:r w:rsidR="00777436">
        <w:rPr>
          <w:rStyle w:val="CommentReference"/>
          <w:sz w:val="22"/>
          <w:szCs w:val="22"/>
        </w:rPr>
        <w:commentReference w:id="31"/>
      </w:r>
      <w:r w:rsidR="00CA3658">
        <w:t>, the most emissions-intensive production route</w:t>
      </w:r>
      <w:r w:rsidR="002271E6">
        <w:t xml:space="preserve">; </w:t>
      </w:r>
      <w:r w:rsidR="001C04D6">
        <w:t xml:space="preserve">of its </w:t>
      </w:r>
      <w:r w:rsidR="00FE4218">
        <w:t xml:space="preserve">10 </w:t>
      </w:r>
      <w:r w:rsidR="00E176CA">
        <w:t xml:space="preserve">major </w:t>
      </w:r>
      <w:r w:rsidR="006120F5">
        <w:t xml:space="preserve">steel </w:t>
      </w:r>
      <w:r w:rsidR="001C04D6">
        <w:t xml:space="preserve">plants, </w:t>
      </w:r>
      <w:r w:rsidR="00ED5F8B">
        <w:t xml:space="preserve">6 rely on electric arc furnaces </w:t>
      </w:r>
      <w:r w:rsidR="00FE4218">
        <w:t xml:space="preserve">(EAF) </w:t>
      </w:r>
      <w:r w:rsidR="00ED5F8B">
        <w:t xml:space="preserve">and </w:t>
      </w:r>
      <w:r w:rsidR="00FE4218">
        <w:t>4 a combination of direct reduction and EAF.</w:t>
      </w:r>
      <w:r w:rsidR="00C73701">
        <w:t xml:space="preserve"> </w:t>
      </w:r>
      <w:r w:rsidR="00061CA5">
        <w:t>The total annual production of crude steel is r</w:t>
      </w:r>
      <w:r w:rsidR="00B163DF">
        <w:t xml:space="preserve">oughly </w:t>
      </w:r>
      <w:r w:rsidR="007C76A0">
        <w:t>1</w:t>
      </w:r>
      <w:r w:rsidR="00B35BCE">
        <w:t>0</w:t>
      </w:r>
      <w:r w:rsidR="007C76A0">
        <w:t xml:space="preserve"> million</w:t>
      </w:r>
      <w:r w:rsidR="003542B5">
        <w:t xml:space="preserve"> tons</w:t>
      </w:r>
      <w:r w:rsidR="008971EB">
        <w:t>.</w:t>
      </w:r>
      <w:r w:rsidR="00267BAF">
        <w:rPr>
          <w:rStyle w:val="FootnoteReference"/>
        </w:rPr>
        <w:footnoteReference w:id="13"/>
      </w:r>
      <w:r w:rsidR="00E37B84">
        <w:t xml:space="preserve"> </w:t>
      </w:r>
    </w:p>
    <w:p w14:paraId="07F70AA1" w14:textId="3267650F" w:rsidR="002A7A6A" w:rsidRDefault="00945772" w:rsidP="00A53297">
      <w:r w:rsidRPr="004B52C9">
        <w:rPr>
          <w:b/>
          <w:bCs/>
        </w:rPr>
        <w:t>Eg</w:t>
      </w:r>
      <w:r w:rsidR="00600930" w:rsidRPr="004B52C9">
        <w:rPr>
          <w:b/>
          <w:bCs/>
        </w:rPr>
        <w:t>yptian exporters of steel products are not necessarily</w:t>
      </w:r>
      <w:r w:rsidR="00694723" w:rsidRPr="004B52C9">
        <w:rPr>
          <w:b/>
          <w:bCs/>
        </w:rPr>
        <w:t xml:space="preserve"> relying </w:t>
      </w:r>
      <w:r w:rsidR="00727950" w:rsidRPr="004B52C9">
        <w:rPr>
          <w:b/>
          <w:bCs/>
        </w:rPr>
        <w:t>domestic steel</w:t>
      </w:r>
      <w:r w:rsidR="001C115E" w:rsidRPr="004B52C9">
        <w:rPr>
          <w:b/>
          <w:bCs/>
        </w:rPr>
        <w:t>, and information about</w:t>
      </w:r>
      <w:r w:rsidR="00FA6738" w:rsidRPr="004B52C9">
        <w:rPr>
          <w:b/>
          <w:bCs/>
        </w:rPr>
        <w:t xml:space="preserve"> their size</w:t>
      </w:r>
      <w:r w:rsidR="00205F90" w:rsidRPr="004B52C9">
        <w:rPr>
          <w:b/>
          <w:bCs/>
        </w:rPr>
        <w:t>, numbers, or supply chains</w:t>
      </w:r>
      <w:r w:rsidR="0016421B">
        <w:rPr>
          <w:b/>
          <w:bCs/>
        </w:rPr>
        <w:t xml:space="preserve"> is lacking</w:t>
      </w:r>
      <w:r w:rsidR="00205F90" w:rsidRPr="004B52C9">
        <w:rPr>
          <w:b/>
          <w:bCs/>
        </w:rPr>
        <w:t>.</w:t>
      </w:r>
      <w:r w:rsidR="004B52C9" w:rsidRPr="004B52C9">
        <w:rPr>
          <w:b/>
          <w:bCs/>
        </w:rPr>
        <w:t xml:space="preserve"> </w:t>
      </w:r>
      <w:r w:rsidR="003D1F18" w:rsidRPr="003D1F18">
        <w:t>In</w:t>
      </w:r>
      <w:r w:rsidR="003D1F18">
        <w:rPr>
          <w:b/>
          <w:bCs/>
        </w:rPr>
        <w:t xml:space="preserve"> </w:t>
      </w:r>
      <w:r w:rsidR="003D1F18" w:rsidRPr="003D1F18">
        <w:t>2023,</w:t>
      </w:r>
      <w:r w:rsidR="003D1F18">
        <w:t xml:space="preserve"> Egypt imported</w:t>
      </w:r>
      <w:r w:rsidR="000567FA">
        <w:t xml:space="preserve"> 14 million </w:t>
      </w:r>
      <w:r w:rsidR="007B4E45">
        <w:t xml:space="preserve">tons of </w:t>
      </w:r>
      <w:r w:rsidR="00851FCD">
        <w:t>CBAM-</w:t>
      </w:r>
      <w:r w:rsidR="007B4E45">
        <w:t xml:space="preserve">covered </w:t>
      </w:r>
      <w:r w:rsidR="00851FCD">
        <w:t>steel products</w:t>
      </w:r>
      <w:r w:rsidR="0099649F">
        <w:t>—</w:t>
      </w:r>
      <w:r w:rsidR="00DC6F42">
        <w:t>more than</w:t>
      </w:r>
      <w:r w:rsidR="00B0315B">
        <w:t xml:space="preserve"> total domestic crude steel production and </w:t>
      </w:r>
      <w:r w:rsidR="007B4E45">
        <w:t xml:space="preserve">9 times what </w:t>
      </w:r>
      <w:r w:rsidR="003733C0">
        <w:t xml:space="preserve">was </w:t>
      </w:r>
      <w:r w:rsidR="007B4E45">
        <w:t>exported</w:t>
      </w:r>
      <w:r w:rsidR="00851FCD">
        <w:t xml:space="preserve"> to the EU</w:t>
      </w:r>
      <w:r w:rsidR="007B1652">
        <w:t xml:space="preserve"> by weight</w:t>
      </w:r>
      <w:r w:rsidR="00851FCD">
        <w:t>.</w:t>
      </w:r>
      <w:r w:rsidR="00CE385E">
        <w:t xml:space="preserve"> </w:t>
      </w:r>
      <w:r w:rsidR="00EB59AE">
        <w:t>For this reason,</w:t>
      </w:r>
      <w:r w:rsidR="00F9378C">
        <w:t xml:space="preserve"> the decision to apply “other countries” default values to Egyptian steel exports</w:t>
      </w:r>
      <w:r w:rsidR="00B913AF">
        <w:t xml:space="preserve"> may not be surprising. </w:t>
      </w:r>
      <w:r w:rsidR="00106C15">
        <w:t xml:space="preserve">There may be many </w:t>
      </w:r>
      <w:r w:rsidR="00B913AF">
        <w:t>Egyptian firms</w:t>
      </w:r>
      <w:r w:rsidR="003D1F18">
        <w:rPr>
          <w:b/>
          <w:bCs/>
        </w:rPr>
        <w:t xml:space="preserve"> </w:t>
      </w:r>
      <w:r w:rsidR="00106C15" w:rsidRPr="00106C15">
        <w:t>addi</w:t>
      </w:r>
      <w:r w:rsidR="00106C15">
        <w:t xml:space="preserve">ng value </w:t>
      </w:r>
      <w:r w:rsidR="006F2973">
        <w:t xml:space="preserve">to steel products using imported steel as inputs and exporting the result to the EU. </w:t>
      </w:r>
      <w:r w:rsidR="000A294B">
        <w:t>In 2014</w:t>
      </w:r>
      <w:r w:rsidR="004A6B6D">
        <w:t xml:space="preserve"> (the last year of data </w:t>
      </w:r>
      <w:r w:rsidR="00F46887">
        <w:t xml:space="preserve">shared by </w:t>
      </w:r>
      <w:r w:rsidR="00E26334">
        <w:t xml:space="preserve">Egypt </w:t>
      </w:r>
      <w:r w:rsidR="004A6B6D">
        <w:t>in the Exporter Dynamics Database</w:t>
      </w:r>
      <w:r w:rsidR="00E26334">
        <w:t>)</w:t>
      </w:r>
      <w:r w:rsidR="00E024E8">
        <w:t>,</w:t>
      </w:r>
      <w:r w:rsidR="00425993">
        <w:t xml:space="preserve"> there were over 500</w:t>
      </w:r>
      <w:r w:rsidR="002A646D">
        <w:t xml:space="preserve"> firms </w:t>
      </w:r>
      <w:r w:rsidR="002F0119">
        <w:t>exporting</w:t>
      </w:r>
      <w:r w:rsidR="00F40F2F">
        <w:t xml:space="preserve"> steel products</w:t>
      </w:r>
      <w:r w:rsidR="00CB36CC">
        <w:t xml:space="preserve">, 77 of which </w:t>
      </w:r>
      <w:r w:rsidR="00406A10">
        <w:t xml:space="preserve">had significant </w:t>
      </w:r>
      <w:r w:rsidR="00F926E2">
        <w:t xml:space="preserve">exports to </w:t>
      </w:r>
      <w:r w:rsidR="00406A10">
        <w:t>the EU</w:t>
      </w:r>
      <w:r w:rsidR="00B26FE2">
        <w:t>—an order of magnitude larger than the number of</w:t>
      </w:r>
      <w:r w:rsidR="0040093C">
        <w:t xml:space="preserve"> domestic </w:t>
      </w:r>
      <w:r w:rsidR="004E0AFC">
        <w:lastRenderedPageBreak/>
        <w:t xml:space="preserve">production </w:t>
      </w:r>
      <w:r w:rsidR="0040093C">
        <w:t xml:space="preserve">facilities. </w:t>
      </w:r>
      <w:r w:rsidR="007D6486">
        <w:t>Although t</w:t>
      </w:r>
      <w:r w:rsidR="0007481C">
        <w:t xml:space="preserve">hese </w:t>
      </w:r>
      <w:r w:rsidR="00C92C86">
        <w:t xml:space="preserve">data </w:t>
      </w:r>
      <w:r w:rsidR="007D6486">
        <w:t xml:space="preserve">are old, they </w:t>
      </w:r>
      <w:r w:rsidR="00C92C86">
        <w:t>indicate that</w:t>
      </w:r>
      <w:r w:rsidR="00D8307B">
        <w:t xml:space="preserve"> there may be many</w:t>
      </w:r>
      <w:r w:rsidR="0082237C">
        <w:t xml:space="preserve"> small or medium enterprises </w:t>
      </w:r>
      <w:r w:rsidR="00AF712D">
        <w:t>engaged in CBAM product trade with the EU</w:t>
      </w:r>
      <w:r w:rsidR="002A7A6A">
        <w:t>.</w:t>
      </w:r>
    </w:p>
    <w:p w14:paraId="34D0FE15" w14:textId="4E869C16" w:rsidR="00945772" w:rsidRPr="004B52C9" w:rsidRDefault="00BA6F85" w:rsidP="00A53297">
      <w:pPr>
        <w:rPr>
          <w:b/>
          <w:bCs/>
        </w:rPr>
      </w:pPr>
      <w:r>
        <w:rPr>
          <w:b/>
          <w:bCs/>
        </w:rPr>
        <w:t>S</w:t>
      </w:r>
      <w:r w:rsidR="007330ED">
        <w:rPr>
          <w:b/>
          <w:bCs/>
        </w:rPr>
        <w:t xml:space="preserve">teel product </w:t>
      </w:r>
      <w:r>
        <w:rPr>
          <w:b/>
          <w:bCs/>
        </w:rPr>
        <w:t xml:space="preserve">producers that are downstream in the supply </w:t>
      </w:r>
      <w:r w:rsidR="007330ED">
        <w:rPr>
          <w:b/>
          <w:bCs/>
        </w:rPr>
        <w:t xml:space="preserve">chain </w:t>
      </w:r>
      <w:r w:rsidR="0073550A" w:rsidRPr="00F76529">
        <w:rPr>
          <w:b/>
          <w:bCs/>
        </w:rPr>
        <w:t xml:space="preserve">are likely to have more difficulty documenting </w:t>
      </w:r>
      <w:r w:rsidR="00054DF5" w:rsidRPr="00F76529">
        <w:rPr>
          <w:b/>
          <w:bCs/>
        </w:rPr>
        <w:t xml:space="preserve">and declaring </w:t>
      </w:r>
      <w:r w:rsidR="0073550A" w:rsidRPr="00F76529">
        <w:rPr>
          <w:b/>
          <w:bCs/>
        </w:rPr>
        <w:t xml:space="preserve">their </w:t>
      </w:r>
      <w:r w:rsidR="00054DF5" w:rsidRPr="00F76529">
        <w:rPr>
          <w:b/>
          <w:bCs/>
        </w:rPr>
        <w:t xml:space="preserve">actual </w:t>
      </w:r>
      <w:r w:rsidR="0073550A" w:rsidRPr="00F76529">
        <w:rPr>
          <w:b/>
          <w:bCs/>
        </w:rPr>
        <w:t>emissions</w:t>
      </w:r>
      <w:r w:rsidR="0078694E">
        <w:rPr>
          <w:b/>
          <w:bCs/>
        </w:rPr>
        <w:t xml:space="preserve"> than the major steel producers</w:t>
      </w:r>
      <w:r w:rsidR="00054DF5">
        <w:t xml:space="preserve">. For those </w:t>
      </w:r>
      <w:r w:rsidR="00A96DA4">
        <w:t xml:space="preserve">relying on domestic steel as inputs, </w:t>
      </w:r>
      <w:r w:rsidR="00A46777">
        <w:t>MRV by</w:t>
      </w:r>
      <w:r w:rsidR="0016606B">
        <w:t xml:space="preserve"> the major facilities</w:t>
      </w:r>
      <w:r w:rsidR="003B2639">
        <w:t xml:space="preserve"> can help</w:t>
      </w:r>
      <w:r w:rsidR="00400401">
        <w:t xml:space="preserve"> </w:t>
      </w:r>
      <w:r w:rsidR="004C303D">
        <w:t xml:space="preserve">improve the competitiveness of </w:t>
      </w:r>
      <w:r w:rsidR="00400401">
        <w:t xml:space="preserve">those </w:t>
      </w:r>
      <w:r w:rsidR="00F431BD">
        <w:t xml:space="preserve">downstream </w:t>
      </w:r>
      <w:r w:rsidR="00400401">
        <w:t>producers</w:t>
      </w:r>
      <w:r w:rsidR="004C303D">
        <w:t xml:space="preserve">. For those relying on imported steel inputs, they will need </w:t>
      </w:r>
      <w:r w:rsidR="001A5105">
        <w:t xml:space="preserve">reporting by their suppliers. </w:t>
      </w:r>
      <w:r w:rsidR="00DF3CDF">
        <w:t>The reliance on the EU for exports of finished steel products</w:t>
      </w:r>
      <w:r w:rsidR="001F07B6">
        <w:t xml:space="preserve"> means that Egyptian producers</w:t>
      </w:r>
      <w:r w:rsidR="00AB519E">
        <w:t xml:space="preserve"> seeking to </w:t>
      </w:r>
      <w:r w:rsidR="00421E39">
        <w:t>compete will</w:t>
      </w:r>
      <w:r w:rsidR="0058150D">
        <w:t xml:space="preserve"> shift their demand for inputs to low-carbon suppliers, including domestic ones.</w:t>
      </w:r>
      <w:r w:rsidR="00F76529">
        <w:t xml:space="preserve"> </w:t>
      </w:r>
      <w:r w:rsidR="00054DF5">
        <w:t xml:space="preserve"> </w:t>
      </w:r>
      <w:r w:rsidR="000D397F">
        <w:t xml:space="preserve"> </w:t>
      </w:r>
    </w:p>
    <w:p w14:paraId="52ECB18F" w14:textId="70A36F16" w:rsidR="00D95138" w:rsidRDefault="008705B8" w:rsidP="008705B8">
      <w:pPr>
        <w:pStyle w:val="Heading3"/>
      </w:pPr>
      <w:r>
        <w:t>Aluminum</w:t>
      </w:r>
    </w:p>
    <w:p w14:paraId="124E0B5A" w14:textId="5D0194CE" w:rsidR="008705B8" w:rsidRDefault="00E908E9" w:rsidP="008705B8">
      <w:r w:rsidRPr="00CF2839">
        <w:rPr>
          <w:b/>
          <w:bCs/>
        </w:rPr>
        <w:t>Although</w:t>
      </w:r>
      <w:r w:rsidR="00485AAC" w:rsidRPr="00CF2839">
        <w:rPr>
          <w:b/>
          <w:bCs/>
        </w:rPr>
        <w:t xml:space="preserve"> Egyptian exporters </w:t>
      </w:r>
      <w:r w:rsidR="00CF2839" w:rsidRPr="00CF2839">
        <w:rPr>
          <w:b/>
          <w:bCs/>
        </w:rPr>
        <w:t xml:space="preserve">of aluminum products </w:t>
      </w:r>
      <w:r w:rsidR="00485AAC" w:rsidRPr="00CF2839">
        <w:rPr>
          <w:b/>
          <w:bCs/>
        </w:rPr>
        <w:t>are highly dependent on EU</w:t>
      </w:r>
      <w:r w:rsidR="009C636E">
        <w:rPr>
          <w:b/>
          <w:bCs/>
        </w:rPr>
        <w:t xml:space="preserve"> trade</w:t>
      </w:r>
      <w:r w:rsidR="00485AAC" w:rsidRPr="00CF2839">
        <w:rPr>
          <w:b/>
          <w:bCs/>
        </w:rPr>
        <w:t xml:space="preserve">, </w:t>
      </w:r>
      <w:r w:rsidR="00F917AD" w:rsidRPr="00CF2839">
        <w:rPr>
          <w:b/>
          <w:bCs/>
        </w:rPr>
        <w:t>the</w:t>
      </w:r>
      <w:r w:rsidR="000F1875" w:rsidRPr="00CF2839">
        <w:rPr>
          <w:b/>
          <w:bCs/>
        </w:rPr>
        <w:t xml:space="preserve"> CBAM </w:t>
      </w:r>
      <w:r w:rsidR="00241DC3" w:rsidRPr="00CF2839">
        <w:rPr>
          <w:b/>
          <w:bCs/>
        </w:rPr>
        <w:t>cos</w:t>
      </w:r>
      <w:r w:rsidR="00B86C75" w:rsidRPr="00CF2839">
        <w:rPr>
          <w:b/>
          <w:bCs/>
        </w:rPr>
        <w:t xml:space="preserve">ts </w:t>
      </w:r>
      <w:r w:rsidR="00AC657F" w:rsidRPr="00CF2839">
        <w:rPr>
          <w:b/>
          <w:bCs/>
        </w:rPr>
        <w:t>are less pronounced</w:t>
      </w:r>
      <w:r w:rsidR="00CF2839" w:rsidRPr="00CF2839">
        <w:rPr>
          <w:b/>
          <w:bCs/>
        </w:rPr>
        <w:t xml:space="preserve"> for these goods</w:t>
      </w:r>
      <w:r w:rsidR="00137358">
        <w:rPr>
          <w:b/>
          <w:bCs/>
        </w:rPr>
        <w:t xml:space="preserve"> than in other sectors</w:t>
      </w:r>
      <w:r w:rsidR="00CF2839" w:rsidRPr="00CF2839">
        <w:rPr>
          <w:b/>
          <w:bCs/>
        </w:rPr>
        <w:t>.</w:t>
      </w:r>
      <w:r w:rsidR="00CF2839">
        <w:t xml:space="preserve"> </w:t>
      </w:r>
      <w:r w:rsidR="00A6026F">
        <w:t>Egyptian aluminum producers</w:t>
      </w:r>
      <w:r w:rsidR="00BC183F">
        <w:t xml:space="preserve"> exported</w:t>
      </w:r>
      <w:r w:rsidR="00983448">
        <w:t xml:space="preserve"> about $0.5 billion</w:t>
      </w:r>
      <w:r w:rsidR="00762B71">
        <w:t xml:space="preserve"> in CBAM covered </w:t>
      </w:r>
      <w:r w:rsidR="00575D73">
        <w:t>goods to the EU</w:t>
      </w:r>
      <w:r w:rsidR="00DA2AC0">
        <w:t xml:space="preserve"> in 2023, rough</w:t>
      </w:r>
      <w:r w:rsidR="002F2BF4">
        <w:t>ly half the value of steel exports</w:t>
      </w:r>
      <w:r w:rsidR="0052246A">
        <w:t>,</w:t>
      </w:r>
      <w:r w:rsidR="002F2BF4">
        <w:t xml:space="preserve"> but representing</w:t>
      </w:r>
      <w:r w:rsidR="0052246A">
        <w:t xml:space="preserve"> a full two-thirds</w:t>
      </w:r>
      <w:r w:rsidR="001D5C45">
        <w:t xml:space="preserve"> of</w:t>
      </w:r>
      <w:r w:rsidR="00A9318C">
        <w:t xml:space="preserve"> Egypt’s worldwide exports of these products.</w:t>
      </w:r>
      <w:r w:rsidR="008F7B70">
        <w:t xml:space="preserve"> </w:t>
      </w:r>
      <w:r w:rsidR="00645490">
        <w:t>Given their</w:t>
      </w:r>
      <w:r w:rsidR="00884ED4">
        <w:t xml:space="preserve"> default values</w:t>
      </w:r>
      <w:r w:rsidR="00275B7D">
        <w:t xml:space="preserve"> (without markups)</w:t>
      </w:r>
      <w:r w:rsidR="00884ED4">
        <w:t xml:space="preserve">, </w:t>
      </w:r>
      <w:r w:rsidR="00F640EC">
        <w:t>the ad valorem equivalent</w:t>
      </w:r>
      <w:r w:rsidR="00275B7D">
        <w:t xml:space="preserve"> </w:t>
      </w:r>
      <w:r w:rsidR="00F55532">
        <w:t>of the CBAM obligations would be 8.5%</w:t>
      </w:r>
      <w:r w:rsidR="00196BFC">
        <w:t>, as compared to 7.1% for an average EU producer.</w:t>
      </w:r>
      <w:r w:rsidR="00AD0745">
        <w:t xml:space="preserve"> The result is only a slight competitiveness loss</w:t>
      </w:r>
      <w:r w:rsidR="007B524D">
        <w:t xml:space="preserve">. </w:t>
      </w:r>
      <w:r w:rsidR="0053751C">
        <w:t xml:space="preserve">Still, </w:t>
      </w:r>
      <w:r w:rsidR="00316A5F">
        <w:t xml:space="preserve">as markups to using defaults are phased in, </w:t>
      </w:r>
      <w:r w:rsidR="00D34E65">
        <w:t xml:space="preserve">documenting actual emissions will be important for </w:t>
      </w:r>
      <w:r w:rsidR="00AD53F0">
        <w:t>maintaining competitiveness.</w:t>
      </w:r>
      <w:r w:rsidR="00D34E65">
        <w:t xml:space="preserve"> </w:t>
      </w:r>
    </w:p>
    <w:p w14:paraId="3825CD71" w14:textId="05CCA486" w:rsidR="007366FB" w:rsidRDefault="00470127" w:rsidP="008705B8">
      <w:r w:rsidRPr="001E0762">
        <w:rPr>
          <w:b/>
          <w:bCs/>
        </w:rPr>
        <w:t xml:space="preserve">Egypt has a single aluminum </w:t>
      </w:r>
      <w:r w:rsidR="00C76FF8" w:rsidRPr="001E0762">
        <w:rPr>
          <w:b/>
          <w:bCs/>
        </w:rPr>
        <w:t xml:space="preserve">smelter </w:t>
      </w:r>
      <w:r w:rsidR="008020E8" w:rsidRPr="001E0762">
        <w:rPr>
          <w:b/>
          <w:bCs/>
        </w:rPr>
        <w:t>(the Nag Hammadi plant)</w:t>
      </w:r>
      <w:r w:rsidR="00C00103" w:rsidRPr="001E0762">
        <w:rPr>
          <w:b/>
          <w:bCs/>
        </w:rPr>
        <w:t xml:space="preserve">, which is </w:t>
      </w:r>
      <w:r w:rsidR="003C2002" w:rsidRPr="001E0762">
        <w:rPr>
          <w:b/>
          <w:bCs/>
        </w:rPr>
        <w:t>presumed</w:t>
      </w:r>
      <w:r w:rsidR="00C00103" w:rsidRPr="001E0762">
        <w:rPr>
          <w:b/>
          <w:bCs/>
        </w:rPr>
        <w:t xml:space="preserve"> to have </w:t>
      </w:r>
      <w:r w:rsidR="00165BFB" w:rsidRPr="001E0762">
        <w:rPr>
          <w:b/>
          <w:bCs/>
        </w:rPr>
        <w:t xml:space="preserve">a </w:t>
      </w:r>
      <w:r w:rsidR="00C00103" w:rsidRPr="001E0762">
        <w:rPr>
          <w:b/>
          <w:bCs/>
        </w:rPr>
        <w:t>typical emissions factor.</w:t>
      </w:r>
      <w:r w:rsidR="00C00103">
        <w:t xml:space="preserve"> </w:t>
      </w:r>
      <w:r w:rsidR="00941EF7">
        <w:t>New facilities are planned nearby to double capacity.</w:t>
      </w:r>
      <w:r w:rsidR="00A54CC7">
        <w:rPr>
          <w:rStyle w:val="FootnoteReference"/>
        </w:rPr>
        <w:footnoteReference w:id="14"/>
      </w:r>
      <w:r w:rsidR="00941EF7">
        <w:t xml:space="preserve"> </w:t>
      </w:r>
      <w:r w:rsidR="00471D3A">
        <w:t xml:space="preserve">A large </w:t>
      </w:r>
      <w:r w:rsidR="006C353A">
        <w:t xml:space="preserve">production complex </w:t>
      </w:r>
      <w:r w:rsidR="00B01CF6">
        <w:t xml:space="preserve">has also been proposed </w:t>
      </w:r>
      <w:r w:rsidR="008654EC">
        <w:t>in the Suez Canal Economic Zone.</w:t>
      </w:r>
      <w:r w:rsidR="00B01CF6">
        <w:rPr>
          <w:rStyle w:val="FootnoteReference"/>
        </w:rPr>
        <w:footnoteReference w:id="15"/>
      </w:r>
      <w:r w:rsidR="008654EC">
        <w:t xml:space="preserve"> </w:t>
      </w:r>
      <w:r w:rsidR="002407F0">
        <w:t>Ensuring th</w:t>
      </w:r>
      <w:r w:rsidR="00B8028B">
        <w:t>e</w:t>
      </w:r>
      <w:r w:rsidR="002407F0">
        <w:t>s</w:t>
      </w:r>
      <w:r w:rsidR="00B8028B">
        <w:t>e</w:t>
      </w:r>
      <w:r w:rsidR="002407F0">
        <w:t xml:space="preserve"> </w:t>
      </w:r>
      <w:r w:rsidR="00B8028B">
        <w:t xml:space="preserve">new </w:t>
      </w:r>
      <w:r w:rsidR="002407F0">
        <w:t>facilit</w:t>
      </w:r>
      <w:r w:rsidR="00B8028B">
        <w:t>ies</w:t>
      </w:r>
      <w:r w:rsidR="002407F0">
        <w:t xml:space="preserve"> </w:t>
      </w:r>
      <w:r w:rsidR="00B8028B">
        <w:t xml:space="preserve">are </w:t>
      </w:r>
      <w:r w:rsidR="00B95BFB">
        <w:t>state-of-the-art</w:t>
      </w:r>
      <w:r w:rsidR="004C21F4">
        <w:t xml:space="preserve"> also in terms of emissions </w:t>
      </w:r>
      <w:r w:rsidR="0024655A">
        <w:t xml:space="preserve">intensity </w:t>
      </w:r>
      <w:r w:rsidR="004C21F4">
        <w:t xml:space="preserve">will </w:t>
      </w:r>
      <w:r w:rsidR="00B53DC6">
        <w:t xml:space="preserve">help boost </w:t>
      </w:r>
      <w:r w:rsidR="002B186B">
        <w:t xml:space="preserve">competitiveness </w:t>
      </w:r>
      <w:r w:rsidR="005B394B">
        <w:t>in EU markets.</w:t>
      </w:r>
      <w:r w:rsidR="00801AEB">
        <w:t xml:space="preserve"> </w:t>
      </w:r>
      <w:r w:rsidR="00A61AF7">
        <w:t>Egypt also imports</w:t>
      </w:r>
      <w:r w:rsidR="00F23B27">
        <w:t xml:space="preserve"> by weight roughly the same amount of aluminum as it exports to the EU</w:t>
      </w:r>
      <w:r w:rsidR="00F8566F">
        <w:t>, suggesting</w:t>
      </w:r>
      <w:r w:rsidR="00F0438E">
        <w:t xml:space="preserve"> that </w:t>
      </w:r>
      <w:r w:rsidR="007D5420">
        <w:t xml:space="preserve">precursor </w:t>
      </w:r>
      <w:r w:rsidR="00E36446">
        <w:t xml:space="preserve">emissions will be relevant in this sector </w:t>
      </w:r>
      <w:r w:rsidR="00A316C6">
        <w:t>too</w:t>
      </w:r>
      <w:r w:rsidR="00E36446">
        <w:t>.</w:t>
      </w:r>
    </w:p>
    <w:p w14:paraId="6FB3C282" w14:textId="4C815614" w:rsidR="00EA6DC2" w:rsidRDefault="009B4E70" w:rsidP="008B58D3">
      <w:r w:rsidRPr="00046DFF">
        <w:rPr>
          <w:b/>
          <w:bCs/>
        </w:rPr>
        <w:t>Downstream firms</w:t>
      </w:r>
      <w:r w:rsidR="00263217" w:rsidRPr="00046DFF">
        <w:rPr>
          <w:b/>
          <w:bCs/>
        </w:rPr>
        <w:t xml:space="preserve"> are likely important</w:t>
      </w:r>
      <w:r w:rsidR="008634F9" w:rsidRPr="00046DFF">
        <w:rPr>
          <w:b/>
          <w:bCs/>
        </w:rPr>
        <w:t xml:space="preserve"> for aluminum product exports</w:t>
      </w:r>
      <w:r w:rsidR="00401632" w:rsidRPr="00046DFF">
        <w:rPr>
          <w:b/>
          <w:bCs/>
        </w:rPr>
        <w:t xml:space="preserve"> as well</w:t>
      </w:r>
      <w:r w:rsidR="00713F83" w:rsidRPr="00046DFF">
        <w:rPr>
          <w:b/>
          <w:bCs/>
        </w:rPr>
        <w:t xml:space="preserve">, but </w:t>
      </w:r>
      <w:r w:rsidR="005E29DA" w:rsidRPr="00046DFF">
        <w:rPr>
          <w:b/>
          <w:bCs/>
        </w:rPr>
        <w:t>not as</w:t>
      </w:r>
      <w:r w:rsidR="00C06285" w:rsidRPr="00046DFF">
        <w:rPr>
          <w:b/>
          <w:bCs/>
        </w:rPr>
        <w:t xml:space="preserve"> significantly as for steel</w:t>
      </w:r>
      <w:r w:rsidR="00401632" w:rsidRPr="00046DFF">
        <w:rPr>
          <w:b/>
          <w:bCs/>
        </w:rPr>
        <w:t>.</w:t>
      </w:r>
      <w:r w:rsidR="008B58D3">
        <w:t xml:space="preserve"> A decade ago</w:t>
      </w:r>
      <w:r w:rsidR="00995A9F">
        <w:t xml:space="preserve"> (</w:t>
      </w:r>
      <w:r w:rsidR="00F300F0">
        <w:t>for which data are available)</w:t>
      </w:r>
      <w:r w:rsidR="008B58D3">
        <w:t xml:space="preserve">, </w:t>
      </w:r>
      <w:r w:rsidR="006C2300">
        <w:t xml:space="preserve">Egypt reported </w:t>
      </w:r>
      <w:r w:rsidR="00BE6115">
        <w:t xml:space="preserve">about 200 firms </w:t>
      </w:r>
      <w:r w:rsidR="006C2300">
        <w:t xml:space="preserve">exporting </w:t>
      </w:r>
      <w:r w:rsidR="00BE6115">
        <w:t>covered aluminum products</w:t>
      </w:r>
      <w:r w:rsidR="00814CD1">
        <w:t>, of which 34 were</w:t>
      </w:r>
      <w:r w:rsidR="00E97BDD">
        <w:t xml:space="preserve"> dependent on EU trade.</w:t>
      </w:r>
      <w:r w:rsidR="00E072DA">
        <w:t xml:space="preserve"> Those firms also appeared to </w:t>
      </w:r>
      <w:r w:rsidR="00BB238F">
        <w:t>be larger, trading</w:t>
      </w:r>
      <w:r w:rsidR="008D2FD7">
        <w:t xml:space="preserve"> higher values</w:t>
      </w:r>
      <w:r w:rsidR="00835316">
        <w:t xml:space="preserve"> </w:t>
      </w:r>
      <w:r w:rsidR="00457217">
        <w:t xml:space="preserve">annually compared to </w:t>
      </w:r>
      <w:r w:rsidR="00835316">
        <w:t xml:space="preserve">their steel-sector counterparts. </w:t>
      </w:r>
      <w:r w:rsidR="0007146D">
        <w:t>It would</w:t>
      </w:r>
      <w:r w:rsidR="00046DFF">
        <w:t xml:space="preserve"> be important </w:t>
      </w:r>
      <w:r w:rsidR="00596914">
        <w:t>to prepare these downstream firms to</w:t>
      </w:r>
      <w:r w:rsidR="00CF502E">
        <w:t xml:space="preserve"> report based on their own emissions </w:t>
      </w:r>
      <w:r w:rsidR="00E41CE4">
        <w:t>and those of</w:t>
      </w:r>
      <w:r w:rsidR="00050B40">
        <w:t xml:space="preserve"> their </w:t>
      </w:r>
      <w:r w:rsidR="0007146D">
        <w:t>suppliers</w:t>
      </w:r>
      <w:r w:rsidR="00050B40">
        <w:t>.</w:t>
      </w:r>
    </w:p>
    <w:p w14:paraId="3F0D4E3D" w14:textId="4B41C752" w:rsidR="00050B40" w:rsidRDefault="00910D06" w:rsidP="00910D06">
      <w:pPr>
        <w:pStyle w:val="Heading3"/>
      </w:pPr>
      <w:r>
        <w:t>Fertilizers</w:t>
      </w:r>
    </w:p>
    <w:p w14:paraId="6F5669A3" w14:textId="580D3117" w:rsidR="009213FF" w:rsidRPr="00703031" w:rsidRDefault="002E77C5" w:rsidP="00703031">
      <w:r w:rsidRPr="009443C2">
        <w:rPr>
          <w:b/>
          <w:bCs/>
        </w:rPr>
        <w:t xml:space="preserve">For Egypt, </w:t>
      </w:r>
      <w:r w:rsidR="006A171A">
        <w:rPr>
          <w:b/>
          <w:bCs/>
        </w:rPr>
        <w:t>f</w:t>
      </w:r>
      <w:r w:rsidR="00DB644E" w:rsidRPr="009443C2">
        <w:rPr>
          <w:b/>
          <w:bCs/>
        </w:rPr>
        <w:t>ertilizers</w:t>
      </w:r>
      <w:r w:rsidR="00CB3E8F" w:rsidRPr="009443C2">
        <w:rPr>
          <w:b/>
          <w:bCs/>
        </w:rPr>
        <w:t xml:space="preserve"> are the largest</w:t>
      </w:r>
      <w:r w:rsidRPr="009443C2">
        <w:rPr>
          <w:b/>
          <w:bCs/>
        </w:rPr>
        <w:t xml:space="preserve"> CBAM sector</w:t>
      </w:r>
      <w:r w:rsidR="00D847B6" w:rsidRPr="009443C2">
        <w:rPr>
          <w:b/>
          <w:bCs/>
        </w:rPr>
        <w:t xml:space="preserve"> </w:t>
      </w:r>
      <w:r w:rsidR="00B00DF9" w:rsidRPr="009443C2">
        <w:rPr>
          <w:b/>
          <w:bCs/>
        </w:rPr>
        <w:t xml:space="preserve">by mass </w:t>
      </w:r>
      <w:commentRangeStart w:id="32"/>
      <w:r w:rsidR="00B00DF9" w:rsidRPr="009443C2">
        <w:rPr>
          <w:b/>
          <w:bCs/>
        </w:rPr>
        <w:t xml:space="preserve">or </w:t>
      </w:r>
      <w:commentRangeEnd w:id="32"/>
      <w:r w:rsidR="006A171A" w:rsidRPr="009443C2">
        <w:rPr>
          <w:rStyle w:val="CommentReference"/>
          <w:b/>
          <w:bCs/>
          <w:sz w:val="22"/>
          <w:szCs w:val="22"/>
        </w:rPr>
        <w:commentReference w:id="32"/>
      </w:r>
      <w:r w:rsidR="00B00DF9" w:rsidRPr="009443C2">
        <w:rPr>
          <w:b/>
          <w:bCs/>
        </w:rPr>
        <w:t>value</w:t>
      </w:r>
      <w:r w:rsidR="00121C94">
        <w:rPr>
          <w:b/>
          <w:bCs/>
        </w:rPr>
        <w:t xml:space="preserve"> of exports</w:t>
      </w:r>
      <w:r w:rsidR="00B51052" w:rsidRPr="009443C2">
        <w:rPr>
          <w:b/>
          <w:bCs/>
        </w:rPr>
        <w:t>; however,</w:t>
      </w:r>
      <w:r w:rsidR="001E26CA" w:rsidRPr="009443C2">
        <w:rPr>
          <w:b/>
          <w:bCs/>
        </w:rPr>
        <w:t xml:space="preserve"> </w:t>
      </w:r>
      <w:r w:rsidR="006A4EA0">
        <w:rPr>
          <w:b/>
          <w:bCs/>
        </w:rPr>
        <w:t xml:space="preserve">Egyptian fertilizer producers </w:t>
      </w:r>
      <w:r w:rsidR="005C7400" w:rsidRPr="009443C2">
        <w:rPr>
          <w:b/>
          <w:bCs/>
        </w:rPr>
        <w:t xml:space="preserve">are estimated to </w:t>
      </w:r>
      <w:r w:rsidR="002942C0" w:rsidRPr="009443C2">
        <w:rPr>
          <w:b/>
          <w:bCs/>
        </w:rPr>
        <w:t xml:space="preserve">maintain </w:t>
      </w:r>
      <w:r w:rsidR="00F72ABC">
        <w:rPr>
          <w:b/>
          <w:bCs/>
        </w:rPr>
        <w:t xml:space="preserve">or improve </w:t>
      </w:r>
      <w:r w:rsidR="002942C0" w:rsidRPr="009443C2">
        <w:rPr>
          <w:b/>
          <w:bCs/>
        </w:rPr>
        <w:t>their competitiveness</w:t>
      </w:r>
      <w:r w:rsidR="00F578B5">
        <w:rPr>
          <w:b/>
          <w:bCs/>
        </w:rPr>
        <w:t xml:space="preserve"> </w:t>
      </w:r>
      <w:r w:rsidR="00F578B5">
        <w:rPr>
          <w:b/>
          <w:bCs/>
        </w:rPr>
        <w:lastRenderedPageBreak/>
        <w:t>on EU markets</w:t>
      </w:r>
      <w:r w:rsidR="002942C0" w:rsidRPr="009443C2">
        <w:rPr>
          <w:b/>
          <w:bCs/>
        </w:rPr>
        <w:t>.</w:t>
      </w:r>
      <w:r w:rsidR="009925B8">
        <w:t xml:space="preserve"> </w:t>
      </w:r>
      <w:r w:rsidR="0060404C">
        <w:t>Egypt exported</w:t>
      </w:r>
      <w:r w:rsidR="002D4ED1">
        <w:t xml:space="preserve"> $1.2 billion in covered fertilizer products to the EU in 2023, or</w:t>
      </w:r>
      <w:r w:rsidR="008E4B20">
        <w:t xml:space="preserve"> 38% of </w:t>
      </w:r>
      <w:r w:rsidR="00691CD3">
        <w:t xml:space="preserve">its? </w:t>
      </w:r>
      <w:r w:rsidR="008E4B20">
        <w:t>global exports</w:t>
      </w:r>
      <w:r w:rsidR="007B0537">
        <w:t>—similar to scope and trade dependence as the steel sector.</w:t>
      </w:r>
      <w:r w:rsidR="009925B8">
        <w:t xml:space="preserve"> </w:t>
      </w:r>
      <w:r w:rsidR="008D7896">
        <w:t xml:space="preserve">However, the ad valorem equivalent of the </w:t>
      </w:r>
      <w:r w:rsidR="00E774E3">
        <w:t xml:space="preserve">default </w:t>
      </w:r>
      <w:r w:rsidR="007B7267">
        <w:t>embedded carbon costs</w:t>
      </w:r>
      <w:r w:rsidR="00C71E1D">
        <w:t xml:space="preserve"> of 28.5%</w:t>
      </w:r>
      <w:r w:rsidR="00197BBA">
        <w:t>, though substantial, is</w:t>
      </w:r>
      <w:r w:rsidR="0043306A">
        <w:t xml:space="preserve"> similar to th</w:t>
      </w:r>
      <w:r w:rsidR="002A33BB">
        <w:t>e 27.4%</w:t>
      </w:r>
      <w:r w:rsidR="0043306A">
        <w:t xml:space="preserve"> of the </w:t>
      </w:r>
      <w:r w:rsidR="00DC486F">
        <w:t>average EU producer</w:t>
      </w:r>
      <w:r w:rsidR="002A33BB">
        <w:t xml:space="preserve"> </w:t>
      </w:r>
      <w:r w:rsidR="00D37D15">
        <w:t xml:space="preserve">for </w:t>
      </w:r>
      <w:r w:rsidR="002A33BB">
        <w:t>the same product mi</w:t>
      </w:r>
      <w:r w:rsidR="00D37D15">
        <w:t>x</w:t>
      </w:r>
      <w:r w:rsidR="00C92CE7">
        <w:t>, resulting in</w:t>
      </w:r>
      <w:r w:rsidR="000B519D">
        <w:t xml:space="preserve"> </w:t>
      </w:r>
      <w:r w:rsidR="00E87B01">
        <w:t>a slight competitiveness</w:t>
      </w:r>
      <w:r w:rsidR="00CA4A73">
        <w:t xml:space="preserve"> disadvantage of 1.1%.</w:t>
      </w:r>
      <w:r w:rsidR="00340F41">
        <w:t xml:space="preserve"> Reporting actual emissions is likely to overcome</w:t>
      </w:r>
      <w:r w:rsidR="00780232">
        <w:t xml:space="preserve"> this disadvantage</w:t>
      </w:r>
      <w:r w:rsidR="004E62BE">
        <w:t>.</w:t>
      </w:r>
    </w:p>
    <w:p w14:paraId="28590085" w14:textId="0A78048A" w:rsidR="00910D06" w:rsidRDefault="00C43735" w:rsidP="00910D06">
      <w:r>
        <w:t>As identified by Climate Tra</w:t>
      </w:r>
      <w:r w:rsidR="004E62BE">
        <w:t>c</w:t>
      </w:r>
      <w:r>
        <w:t>e</w:t>
      </w:r>
      <w:r w:rsidR="004E62BE">
        <w:t xml:space="preserve">, </w:t>
      </w:r>
      <w:r w:rsidR="00227EF6">
        <w:t>Egypt has</w:t>
      </w:r>
      <w:r w:rsidR="00CD2A2B">
        <w:t xml:space="preserve"> 6 active fertilizer plants</w:t>
      </w:r>
      <w:r w:rsidR="00814145">
        <w:t xml:space="preserve"> (ammonia producers)</w:t>
      </w:r>
      <w:r w:rsidR="006016D0">
        <w:t>,</w:t>
      </w:r>
      <w:r w:rsidR="001B6896">
        <w:t xml:space="preserve"> </w:t>
      </w:r>
      <w:r w:rsidR="00670197">
        <w:t xml:space="preserve">and their </w:t>
      </w:r>
      <w:r w:rsidR="00AF5EEB">
        <w:t>estimated emissions factors are</w:t>
      </w:r>
      <w:r w:rsidR="003E5113">
        <w:t xml:space="preserve"> significantly lower than the global average.</w:t>
      </w:r>
      <w:r w:rsidR="00C65215">
        <w:t xml:space="preserve"> </w:t>
      </w:r>
      <w:r w:rsidR="001A0345">
        <w:t>This evidence suggests that</w:t>
      </w:r>
      <w:r w:rsidR="00F55A8F">
        <w:t xml:space="preserve"> Egyptian </w:t>
      </w:r>
      <w:r w:rsidR="000831F1">
        <w:t xml:space="preserve">fertilizer </w:t>
      </w:r>
      <w:r w:rsidR="00F55A8F">
        <w:t>producers could gain</w:t>
      </w:r>
      <w:r w:rsidR="001A0C59">
        <w:t xml:space="preserve"> competitiveness</w:t>
      </w:r>
      <w:r w:rsidR="000831F1">
        <w:t xml:space="preserve"> </w:t>
      </w:r>
      <w:r w:rsidR="00BC241D">
        <w:t xml:space="preserve">in EU markets </w:t>
      </w:r>
      <w:r w:rsidR="009C2673">
        <w:t xml:space="preserve">under </w:t>
      </w:r>
      <w:r w:rsidR="00BC241D">
        <w:t xml:space="preserve">with the </w:t>
      </w:r>
      <w:r w:rsidR="009C2673">
        <w:t>CBAM</w:t>
      </w:r>
      <w:r w:rsidR="00BC241D">
        <w:t xml:space="preserve"> implementation</w:t>
      </w:r>
      <w:r w:rsidR="00E1730D">
        <w:t>, if they can credibly document and verify their emissions.</w:t>
      </w:r>
    </w:p>
    <w:p w14:paraId="2C5C199E" w14:textId="0DFE10C7" w:rsidR="00EF224D" w:rsidRDefault="009661E3" w:rsidP="009661E3">
      <w:pPr>
        <w:pStyle w:val="Heading3"/>
      </w:pPr>
      <w:r>
        <w:t>Cement</w:t>
      </w:r>
    </w:p>
    <w:p w14:paraId="3F3921BC" w14:textId="4109D72C" w:rsidR="00E65FC7" w:rsidRDefault="00910A33" w:rsidP="00E65FC7">
      <w:r w:rsidRPr="0083711C">
        <w:rPr>
          <w:b/>
          <w:bCs/>
        </w:rPr>
        <w:t>Of the four main CBAM sectors</w:t>
      </w:r>
      <w:r w:rsidR="00EF3EC4" w:rsidRPr="0083711C">
        <w:rPr>
          <w:b/>
          <w:bCs/>
        </w:rPr>
        <w:t>, c</w:t>
      </w:r>
      <w:r w:rsidR="00E65FC7" w:rsidRPr="0083711C">
        <w:rPr>
          <w:b/>
          <w:bCs/>
        </w:rPr>
        <w:t>ement products are</w:t>
      </w:r>
      <w:r w:rsidR="009A2F75" w:rsidRPr="0083711C">
        <w:rPr>
          <w:b/>
          <w:bCs/>
        </w:rPr>
        <w:t xml:space="preserve"> the </w:t>
      </w:r>
      <w:r w:rsidR="0083711C" w:rsidRPr="0083711C">
        <w:rPr>
          <w:b/>
          <w:bCs/>
        </w:rPr>
        <w:t>least exposed for Egypt.</w:t>
      </w:r>
      <w:r w:rsidR="0083711C">
        <w:t xml:space="preserve"> </w:t>
      </w:r>
      <w:r w:rsidR="00E04034">
        <w:t xml:space="preserve">They are the </w:t>
      </w:r>
      <w:r w:rsidR="0083711C">
        <w:t>smalle</w:t>
      </w:r>
      <w:r w:rsidR="00E04034">
        <w:t>st by value</w:t>
      </w:r>
      <w:r w:rsidR="00662DF6">
        <w:t>—just $59 million</w:t>
      </w:r>
      <w:r w:rsidR="008D08F9">
        <w:t xml:space="preserve"> in 2023</w:t>
      </w:r>
      <w:r w:rsidR="00DE2E89">
        <w:t>, or one-tenth</w:t>
      </w:r>
      <w:r w:rsidR="005F40B5">
        <w:t xml:space="preserve"> that of aluminum—and only 7% of exports go to the EU.</w:t>
      </w:r>
      <w:r w:rsidR="004308CC">
        <w:t xml:space="preserve"> The ad valorem equivalent of the embedded carbon costs</w:t>
      </w:r>
      <w:r w:rsidR="00810A12">
        <w:t xml:space="preserve"> is substantial</w:t>
      </w:r>
      <w:r w:rsidR="00D8259C">
        <w:t>—144%</w:t>
      </w:r>
      <w:r w:rsidR="00911E42">
        <w:t>—</w:t>
      </w:r>
      <w:r w:rsidR="00B715C2">
        <w:t xml:space="preserve">but the </w:t>
      </w:r>
      <w:r w:rsidR="006446C0">
        <w:t>EU average for those products would be a similar</w:t>
      </w:r>
      <w:r w:rsidR="005E2462">
        <w:t xml:space="preserve"> 139%, implying</w:t>
      </w:r>
      <w:r w:rsidR="00572CA3">
        <w:t xml:space="preserve"> a cost difference of 6%. </w:t>
      </w:r>
    </w:p>
    <w:p w14:paraId="2555A102" w14:textId="30E8F0A9" w:rsidR="00850A5E" w:rsidRDefault="00286DFE" w:rsidP="00E65FC7">
      <w:r>
        <w:t>Climate Trace identifies 26 facilities producing cement</w:t>
      </w:r>
      <w:r w:rsidR="00981905">
        <w:t xml:space="preserve"> in Egypt</w:t>
      </w:r>
      <w:r w:rsidR="000736FC">
        <w:t>, with a range of</w:t>
      </w:r>
      <w:r w:rsidR="009C7F1F">
        <w:t xml:space="preserve"> emission intensities</w:t>
      </w:r>
      <w:r w:rsidR="00E10B4F">
        <w:t xml:space="preserve"> </w:t>
      </w:r>
      <w:r w:rsidR="00606E23">
        <w:t xml:space="preserve">depending on calcination </w:t>
      </w:r>
      <w:r w:rsidR="00373623">
        <w:t xml:space="preserve">factors </w:t>
      </w:r>
      <w:r w:rsidR="00606E23">
        <w:t>and fuel source</w:t>
      </w:r>
      <w:r w:rsidR="00373623">
        <w:t>s for the type of cement</w:t>
      </w:r>
      <w:r w:rsidR="00606E23">
        <w:t xml:space="preserve">, </w:t>
      </w:r>
      <w:r w:rsidR="00E10B4F">
        <w:t xml:space="preserve">but </w:t>
      </w:r>
      <w:r w:rsidR="003402A0">
        <w:t xml:space="preserve">the </w:t>
      </w:r>
      <w:r w:rsidR="00E10B4F">
        <w:t xml:space="preserve">average </w:t>
      </w:r>
      <w:r w:rsidR="003402A0">
        <w:t xml:space="preserve">is </w:t>
      </w:r>
      <w:r w:rsidR="00E10B4F">
        <w:t>similar to the global average.</w:t>
      </w:r>
      <w:r w:rsidR="003402A0">
        <w:t xml:space="preserve"> </w:t>
      </w:r>
    </w:p>
    <w:p w14:paraId="7BDFDE71" w14:textId="0637CD92" w:rsidR="00830A6E" w:rsidRDefault="00830A6E" w:rsidP="00830A6E">
      <w:pPr>
        <w:pStyle w:val="Heading3"/>
      </w:pPr>
      <w:r>
        <w:t>Other products that may be added</w:t>
      </w:r>
    </w:p>
    <w:p w14:paraId="190A96FD" w14:textId="39037827" w:rsidR="00A316C6" w:rsidRDefault="00054C96" w:rsidP="00A316C6">
      <w:r w:rsidRPr="00AF6469">
        <w:rPr>
          <w:b/>
        </w:rPr>
        <w:t>The European Commission is proposing to add roughly 180 steel- and aluminum-intensive downstream products</w:t>
      </w:r>
      <w:r w:rsidRPr="00054C96">
        <w:t xml:space="preserve"> to the list</w:t>
      </w:r>
      <w:r w:rsidR="00DC4F2A">
        <w:t xml:space="preserve"> of CBAM goods</w:t>
      </w:r>
      <w:r w:rsidRPr="00054C96">
        <w:t>.</w:t>
      </w:r>
      <w:r w:rsidR="00DC4F2A">
        <w:t xml:space="preserve"> </w:t>
      </w:r>
      <w:r w:rsidR="00C766D6">
        <w:t xml:space="preserve">More products may be added during the </w:t>
      </w:r>
      <w:r w:rsidR="004F6705">
        <w:t xml:space="preserve">legislative process in the EU. </w:t>
      </w:r>
      <w:r w:rsidR="00AB0C58">
        <w:t xml:space="preserve">Examples </w:t>
      </w:r>
      <w:r w:rsidR="00AE34D9">
        <w:t xml:space="preserve">include </w:t>
      </w:r>
      <w:r w:rsidR="00BA736E">
        <w:t>auto parts, m</w:t>
      </w:r>
      <w:r w:rsidR="00BA736E" w:rsidRPr="00BA736E">
        <w:t xml:space="preserve">achinery and </w:t>
      </w:r>
      <w:r w:rsidR="00BA736E">
        <w:t>i</w:t>
      </w:r>
      <w:r w:rsidR="00BA736E" w:rsidRPr="00BA736E">
        <w:t xml:space="preserve">ndustrial </w:t>
      </w:r>
      <w:r w:rsidR="00BA736E">
        <w:t>e</w:t>
      </w:r>
      <w:r w:rsidR="00BA736E" w:rsidRPr="00BA736E">
        <w:t>quipment</w:t>
      </w:r>
      <w:r w:rsidR="00BA736E">
        <w:t>,</w:t>
      </w:r>
      <w:r w:rsidR="004974BE">
        <w:t xml:space="preserve"> domestic appliances, </w:t>
      </w:r>
      <w:r w:rsidR="0033212D">
        <w:t xml:space="preserve">and </w:t>
      </w:r>
      <w:r w:rsidR="004974BE">
        <w:t>fabricated metals</w:t>
      </w:r>
      <w:r w:rsidR="0033212D">
        <w:t xml:space="preserve">. </w:t>
      </w:r>
      <w:r w:rsidR="00BA736E">
        <w:t xml:space="preserve"> </w:t>
      </w:r>
      <w:r w:rsidRPr="00054C96">
        <w:t>If approved, these rules would take effect on January 1, 2028.</w:t>
      </w:r>
    </w:p>
    <w:p w14:paraId="45DDCAD4" w14:textId="04E8CC37" w:rsidR="002A304F" w:rsidRPr="00A316C6" w:rsidRDefault="00137967" w:rsidP="00A316C6">
      <w:r>
        <w:t xml:space="preserve">The </w:t>
      </w:r>
      <w:r w:rsidR="00D53144">
        <w:t xml:space="preserve">total </w:t>
      </w:r>
      <w:r w:rsidR="002A304F">
        <w:t>Egyptian exports of these</w:t>
      </w:r>
      <w:r>
        <w:t xml:space="preserve"> listed</w:t>
      </w:r>
      <w:r w:rsidR="002A304F">
        <w:t xml:space="preserve"> products were valued at </w:t>
      </w:r>
      <w:r w:rsidR="00756CBF">
        <w:t>$284 million</w:t>
      </w:r>
      <w:r>
        <w:t xml:space="preserve"> in 2023</w:t>
      </w:r>
      <w:r w:rsidR="00CB5F1F">
        <w:t>—</w:t>
      </w:r>
      <w:r w:rsidR="00422498">
        <w:t xml:space="preserve">or 17% of </w:t>
      </w:r>
      <w:r w:rsidR="00CB5F1F">
        <w:t xml:space="preserve">the value of aluminum </w:t>
      </w:r>
      <w:r w:rsidR="00D53144">
        <w:t xml:space="preserve">and iron and steel </w:t>
      </w:r>
      <w:r w:rsidR="00CB5F1F">
        <w:t>exports</w:t>
      </w:r>
      <w:r w:rsidR="00D53144">
        <w:t>.</w:t>
      </w:r>
      <w:r w:rsidR="00CB5F1F">
        <w:t xml:space="preserve"> </w:t>
      </w:r>
      <w:r w:rsidR="00E364C6">
        <w:t>Specific d</w:t>
      </w:r>
      <w:r w:rsidR="00E161C5">
        <w:t>efault values are not</w:t>
      </w:r>
      <w:r w:rsidR="00FB7EF1">
        <w:t xml:space="preserve"> yet available, but even if assigned the </w:t>
      </w:r>
      <w:r w:rsidR="00911721">
        <w:t>high emission intensity values of</w:t>
      </w:r>
      <w:r w:rsidR="00E364C6">
        <w:t xml:space="preserve"> steel products by weight, the ad valorem equivalent </w:t>
      </w:r>
      <w:r w:rsidR="00E27697">
        <w:t xml:space="preserve">would not exceed 10%. </w:t>
      </w:r>
      <w:r w:rsidR="003436B9">
        <w:t xml:space="preserve">Since these downstream products have more value added, the carbon </w:t>
      </w:r>
      <w:r w:rsidR="00313799">
        <w:t xml:space="preserve">cost share </w:t>
      </w:r>
      <w:r w:rsidR="003436B9">
        <w:t xml:space="preserve">and exposure risk tend to be lower than for </w:t>
      </w:r>
      <w:r w:rsidR="00313799">
        <w:t>primary products.</w:t>
      </w:r>
      <w:r w:rsidR="003436B9">
        <w:t xml:space="preserve"> </w:t>
      </w:r>
      <w:r w:rsidR="008D0AAF">
        <w:t xml:space="preserve">Still, demonstrating the use of carbon-competitive </w:t>
      </w:r>
      <w:r w:rsidR="00F5272A">
        <w:t>inputs would</w:t>
      </w:r>
      <w:r w:rsidR="004B656F">
        <w:t xml:space="preserve"> help boost competitiveness for these products as well.</w:t>
      </w:r>
    </w:p>
    <w:p w14:paraId="59960AED" w14:textId="77777777" w:rsidR="007F7E41" w:rsidRDefault="007F7E41" w:rsidP="007F7E41">
      <w:pPr>
        <w:pStyle w:val="Heading2"/>
      </w:pPr>
      <w:bookmarkStart w:id="33" w:name="_Toc234844387"/>
      <w:r>
        <w:lastRenderedPageBreak/>
        <w:t>CBAM and future clean energy exports</w:t>
      </w:r>
      <w:bookmarkEnd w:id="33"/>
    </w:p>
    <w:p w14:paraId="6C2DFE23" w14:textId="77777777" w:rsidR="007F7E41" w:rsidRDefault="007F7E41" w:rsidP="007F7E41">
      <w:pPr>
        <w:pStyle w:val="Heading3"/>
      </w:pPr>
      <w:bookmarkStart w:id="34" w:name="_Ref230703490"/>
      <w:r>
        <w:t>Electricity</w:t>
      </w:r>
      <w:bookmarkEnd w:id="34"/>
    </w:p>
    <w:p w14:paraId="258BD726" w14:textId="6FA51B1A" w:rsidR="00EE6E25" w:rsidRDefault="00EE6E25" w:rsidP="007F7E41">
      <w:r w:rsidRPr="007D1305">
        <w:rPr>
          <w:b/>
          <w:bCs/>
        </w:rPr>
        <w:t>The electricity sector</w:t>
      </w:r>
      <w:r w:rsidR="002A73DB" w:rsidRPr="007D1305">
        <w:rPr>
          <w:b/>
          <w:bCs/>
        </w:rPr>
        <w:t xml:space="preserve"> has important implications for </w:t>
      </w:r>
      <w:r w:rsidR="00A24CC9" w:rsidRPr="007D1305">
        <w:rPr>
          <w:b/>
          <w:bCs/>
        </w:rPr>
        <w:t>trade with the EU under CBAM.</w:t>
      </w:r>
      <w:r w:rsidR="00272065">
        <w:t xml:space="preserve"> First of all, it factors into the indirect emissions of </w:t>
      </w:r>
      <w:r w:rsidR="00F80906">
        <w:t xml:space="preserve">certain CBAM </w:t>
      </w:r>
      <w:r w:rsidR="002A4893">
        <w:t>goods</w:t>
      </w:r>
      <w:r w:rsidR="00F80906">
        <w:t>—namely fertilizers and cement for now, but</w:t>
      </w:r>
      <w:r w:rsidR="009A5958">
        <w:t xml:space="preserve"> the scope may be expanded for other products in the future. At the moment, Egypt’s default emissions factor</w:t>
      </w:r>
      <w:r w:rsidR="006A0F9F">
        <w:t xml:space="preserve"> (</w:t>
      </w:r>
      <w:r w:rsidR="006A0F9F" w:rsidRPr="006A0F9F">
        <w:t>0</w:t>
      </w:r>
      <w:r w:rsidR="006A0F9F">
        <w:t>.</w:t>
      </w:r>
      <w:r w:rsidR="006A0F9F" w:rsidRPr="006A0F9F">
        <w:t>442</w:t>
      </w:r>
      <w:r w:rsidR="006A0F9F">
        <w:t xml:space="preserve"> </w:t>
      </w:r>
      <w:r w:rsidR="006A0F9F" w:rsidRPr="006A0F9F">
        <w:t>tCO2eq/MWh</w:t>
      </w:r>
      <w:r w:rsidR="006A0F9F">
        <w:t xml:space="preserve">) is less than that of the EU (0.612 </w:t>
      </w:r>
      <w:r w:rsidR="006A0F9F" w:rsidRPr="006A0F9F">
        <w:t>tCO2eq/MWh</w:t>
      </w:r>
      <w:r w:rsidR="006A0F9F">
        <w:t>)</w:t>
      </w:r>
      <w:r w:rsidR="0079788F">
        <w:t>, reflecting a grid that is dominated by natural gas</w:t>
      </w:r>
      <w:r w:rsidR="00C95829">
        <w:t>.</w:t>
      </w:r>
      <w:r w:rsidR="00FB4205">
        <w:t xml:space="preserve"> </w:t>
      </w:r>
      <w:r w:rsidR="005904AF">
        <w:t xml:space="preserve">This default factor is </w:t>
      </w:r>
      <w:r w:rsidR="00AD765F">
        <w:t>similar to other thi</w:t>
      </w:r>
      <w:r w:rsidR="00AD765F" w:rsidRPr="00AD765F">
        <w:t>rd-party estimates</w:t>
      </w:r>
      <w:r w:rsidR="001123A7">
        <w:t xml:space="preserve"> of Egypt’s grid intensity; </w:t>
      </w:r>
      <w:r w:rsidR="00AD765F" w:rsidRPr="00AD765F">
        <w:t>Ember</w:t>
      </w:r>
      <w:r w:rsidR="001123A7">
        <w:t>, for example, gives</w:t>
      </w:r>
      <w:r w:rsidR="00AD765F" w:rsidRPr="00AD765F">
        <w:t xml:space="preserve"> 0.446 tCO2eq/MWh</w:t>
      </w:r>
      <w:r w:rsidR="0082384F">
        <w:t xml:space="preserve"> for</w:t>
      </w:r>
      <w:r w:rsidR="00AD765F" w:rsidRPr="00AD765F">
        <w:t xml:space="preserve"> 2024</w:t>
      </w:r>
      <w:r w:rsidR="00AD765F">
        <w:t>.</w:t>
      </w:r>
      <w:r w:rsidR="00AD765F" w:rsidRPr="00AD765F">
        <w:t xml:space="preserve"> </w:t>
      </w:r>
      <w:r w:rsidR="00EC1CFD">
        <w:t>Expansion of renewable energy could further reduce this number</w:t>
      </w:r>
      <w:r w:rsidR="002A003D">
        <w:t>,</w:t>
      </w:r>
      <w:r w:rsidR="00EC1CFD">
        <w:t xml:space="preserve"> and </w:t>
      </w:r>
      <w:r w:rsidR="001B4A4A">
        <w:t xml:space="preserve">efficiency investments to </w:t>
      </w:r>
      <w:r w:rsidR="00EC1CFD">
        <w:t>improve</w:t>
      </w:r>
      <w:r w:rsidR="001B4A4A">
        <w:t xml:space="preserve"> </w:t>
      </w:r>
      <w:r w:rsidR="00EC1CFD">
        <w:t>the electricity</w:t>
      </w:r>
      <w:r w:rsidR="002A003D">
        <w:t xml:space="preserve"> intensity</w:t>
      </w:r>
      <w:r w:rsidR="0079788F">
        <w:t xml:space="preserve"> </w:t>
      </w:r>
      <w:r w:rsidR="002A003D">
        <w:t>of the production of CBAM</w:t>
      </w:r>
      <w:r w:rsidR="001B4A4A">
        <w:t xml:space="preserve"> goods could further reduce their</w:t>
      </w:r>
      <w:r w:rsidR="004F440C">
        <w:t xml:space="preserve"> obligations.</w:t>
      </w:r>
    </w:p>
    <w:p w14:paraId="3B7B6EF7" w14:textId="3B7E66A6" w:rsidR="007F7E41" w:rsidRDefault="004F440C" w:rsidP="007F7E41">
      <w:r w:rsidRPr="007D1305">
        <w:t xml:space="preserve">Second, although Egypt does not currently </w:t>
      </w:r>
      <w:r w:rsidR="006C750F" w:rsidRPr="007D1305">
        <w:t xml:space="preserve">export electricity </w:t>
      </w:r>
      <w:r w:rsidR="00C0024F">
        <w:t xml:space="preserve">as a good </w:t>
      </w:r>
      <w:r w:rsidR="006C750F" w:rsidRPr="007D1305">
        <w:t>to the EU,</w:t>
      </w:r>
      <w:r w:rsidR="007D1305" w:rsidRPr="007D1305">
        <w:t xml:space="preserve"> it plans to do so in the future.</w:t>
      </w:r>
      <w:r w:rsidR="007D1305">
        <w:t xml:space="preserve"> </w:t>
      </w:r>
      <w:r w:rsidR="007F7E41" w:rsidRPr="005417B7">
        <w:t>Egypt</w:t>
      </w:r>
      <w:r w:rsidR="007F7E41">
        <w:t xml:space="preserve"> i</w:t>
      </w:r>
      <w:r w:rsidR="007F7E41" w:rsidRPr="005417B7">
        <w:t xml:space="preserve">s </w:t>
      </w:r>
      <w:r w:rsidR="00DF5738">
        <w:t xml:space="preserve">pursuing </w:t>
      </w:r>
      <w:r w:rsidR="0045015B">
        <w:t xml:space="preserve">multiple </w:t>
      </w:r>
      <w:r w:rsidR="007F7E41" w:rsidRPr="005417B7">
        <w:t>interconnection projects with Greece</w:t>
      </w:r>
      <w:r w:rsidR="00E176BD">
        <w:t>/</w:t>
      </w:r>
      <w:r w:rsidR="00C8149A">
        <w:t>Cyprus</w:t>
      </w:r>
      <w:r w:rsidR="007F7E41" w:rsidRPr="005417B7">
        <w:t xml:space="preserve"> and Italy</w:t>
      </w:r>
      <w:r w:rsidR="006E487A">
        <w:t>, each</w:t>
      </w:r>
      <w:r w:rsidR="007F7E41" w:rsidRPr="005417B7">
        <w:t xml:space="preserve"> </w:t>
      </w:r>
      <w:r w:rsidR="009F7CA7">
        <w:t xml:space="preserve">with </w:t>
      </w:r>
      <w:r w:rsidR="00EB12E9">
        <w:t xml:space="preserve">capacities of </w:t>
      </w:r>
      <w:r w:rsidR="00DD1D55">
        <w:t>2-</w:t>
      </w:r>
      <w:commentRangeStart w:id="35"/>
      <w:commentRangeStart w:id="36"/>
      <w:r w:rsidR="007F7E41" w:rsidRPr="005417B7">
        <w:t>3 GW</w:t>
      </w:r>
      <w:r w:rsidR="006E487A">
        <w:t xml:space="preserve"> and </w:t>
      </w:r>
      <w:r w:rsidR="005F6DF6">
        <w:t xml:space="preserve">each </w:t>
      </w:r>
      <w:r w:rsidR="00EB12E9">
        <w:t xml:space="preserve">allowing </w:t>
      </w:r>
      <w:r w:rsidR="00863BB5">
        <w:t xml:space="preserve">for </w:t>
      </w:r>
      <w:r w:rsidR="00EB12E9">
        <w:t>up</w:t>
      </w:r>
      <w:r w:rsidR="00823E8B">
        <w:t xml:space="preserve"> to </w:t>
      </w:r>
      <w:r w:rsidR="00863BB5">
        <w:t xml:space="preserve">20-25 TWh </w:t>
      </w:r>
      <w:r w:rsidR="007F7E41" w:rsidRPr="005417B7">
        <w:t>of renewable energy</w:t>
      </w:r>
      <w:r w:rsidR="00863BB5">
        <w:t xml:space="preserve"> exports annually</w:t>
      </w:r>
      <w:r w:rsidR="00E176BD">
        <w:t>.</w:t>
      </w:r>
      <w:r w:rsidR="007F7E41">
        <w:t xml:space="preserve"> </w:t>
      </w:r>
      <w:r w:rsidR="005F6DF6">
        <w:t xml:space="preserve">with the first </w:t>
      </w:r>
      <w:r w:rsidR="007F7E41">
        <w:t>starting around 2035</w:t>
      </w:r>
      <w:r w:rsidR="007F7E41" w:rsidRPr="005417B7">
        <w:t xml:space="preserve">. </w:t>
      </w:r>
      <w:commentRangeEnd w:id="35"/>
      <w:r w:rsidR="007F7E41">
        <w:rPr>
          <w:rStyle w:val="CommentReference"/>
          <w:sz w:val="22"/>
          <w:szCs w:val="22"/>
        </w:rPr>
        <w:commentReference w:id="35"/>
      </w:r>
      <w:commentRangeEnd w:id="36"/>
      <w:r>
        <w:rPr>
          <w:rStyle w:val="CommentReference"/>
          <w:sz w:val="22"/>
          <w:szCs w:val="22"/>
        </w:rPr>
        <w:commentReference w:id="36"/>
      </w:r>
      <w:r w:rsidR="000F5213">
        <w:t>Egypt currently produces 250 TWh annually.</w:t>
      </w:r>
    </w:p>
    <w:p w14:paraId="095CC317" w14:textId="78F04A26" w:rsidR="007F7E41" w:rsidRDefault="007F7E41" w:rsidP="00573785">
      <w:r w:rsidRPr="0050139C">
        <w:rPr>
          <w:b/>
          <w:bCs/>
        </w:rPr>
        <w:t xml:space="preserve">For greening Egyptian trade, a decision will need to be made whether to use </w:t>
      </w:r>
      <w:r w:rsidR="00FA6BFC">
        <w:rPr>
          <w:b/>
          <w:bCs/>
        </w:rPr>
        <w:t>new</w:t>
      </w:r>
      <w:r w:rsidRPr="0050139C">
        <w:rPr>
          <w:b/>
          <w:bCs/>
        </w:rPr>
        <w:t xml:space="preserve"> renewable energy </w:t>
      </w:r>
      <w:r w:rsidR="00FA6BFC">
        <w:rPr>
          <w:b/>
          <w:bCs/>
        </w:rPr>
        <w:t xml:space="preserve">capacity </w:t>
      </w:r>
      <w:r w:rsidRPr="0050139C">
        <w:rPr>
          <w:b/>
          <w:bCs/>
        </w:rPr>
        <w:t>to lower the overall emissions intensity of the Egyptian grid, reducing the scope 2 emissions of manufacturing, or to dedicate it to EU electricity exports, maximizing the clean premium of those electricity sales, but leaving the grid factor largely unchanged.</w:t>
      </w:r>
      <w:r>
        <w:t xml:space="preserve"> Under CBAM, electricity purchases (either as EU imports or as inputs to CBAM-covered goods) are </w:t>
      </w:r>
      <w:r w:rsidR="00840DC0">
        <w:t xml:space="preserve">assigned </w:t>
      </w:r>
      <w:r>
        <w:t>the average grid intensity, except under specific circumstances. T</w:t>
      </w:r>
      <w:r w:rsidRPr="00984F4F">
        <w:t>o qualify as green electricity under CBAM</w:t>
      </w:r>
      <w:r w:rsidR="006B0C4C">
        <w:t xml:space="preserve"> under current rules</w:t>
      </w:r>
      <w:r w:rsidRPr="00984F4F">
        <w:t>, exports must be supported by power purchase agreements, physical interconnection, and hourly documentation proving renewable generation and delivery. The EU requires smart metering data, congestion attestations, and verification by accredited third parties to ensure compliance and avoid double counting.</w:t>
      </w:r>
      <w:r w:rsidR="004E4A0E">
        <w:rPr>
          <w:rStyle w:val="FootnoteReference"/>
        </w:rPr>
        <w:footnoteReference w:id="16"/>
      </w:r>
      <w:r w:rsidR="008D0670">
        <w:t xml:space="preserve"> </w:t>
      </w:r>
    </w:p>
    <w:p w14:paraId="46B4F62A" w14:textId="77777777" w:rsidR="007F7E41" w:rsidRDefault="007F7E41" w:rsidP="007F7E41">
      <w:pPr>
        <w:pStyle w:val="Heading3"/>
      </w:pPr>
      <w:r>
        <w:t>Hydrogen</w:t>
      </w:r>
    </w:p>
    <w:p w14:paraId="1578CB44" w14:textId="3265685F" w:rsidR="008D203D" w:rsidRDefault="008D203D" w:rsidP="008D203D">
      <w:r w:rsidRPr="00167F2B">
        <w:rPr>
          <w:b/>
          <w:bCs/>
        </w:rPr>
        <w:t xml:space="preserve">The EU ETS, CBAM, and </w:t>
      </w:r>
      <w:r w:rsidR="00FC4E6A" w:rsidRPr="00167F2B">
        <w:rPr>
          <w:b/>
          <w:bCs/>
        </w:rPr>
        <w:t xml:space="preserve">the EU </w:t>
      </w:r>
      <w:r w:rsidRPr="00167F2B">
        <w:rPr>
          <w:b/>
          <w:bCs/>
        </w:rPr>
        <w:t>renewable energy directive (RED) all create demand for low-carbon hydrogen to decarbonize industrial heat and chemical inputs.</w:t>
      </w:r>
      <w:r>
        <w:t xml:space="preserve"> Hydrogen markets differentiate between green, blue, and gray hydrogen. Green hydrogen is produced by splitting water into hydrogen and oxygen using electrolysis, powered by renewable electricity (solar, wind, etc.). Grey hydrogen is produced from natural gas through steam methane reforming, which releases significant CO2 during production. Blue hydrogen uses the same production process as grey but captures and stores the resulting CO</w:t>
      </w:r>
      <w:r w:rsidRPr="00AF6469">
        <w:rPr>
          <w:vertAlign w:val="subscript"/>
        </w:rPr>
        <w:t>2</w:t>
      </w:r>
      <w:r>
        <w:t xml:space="preserve"> emissions through carbon capture and storage (CCS) technology, reducing the carbon footprint by 85–95%. </w:t>
      </w:r>
    </w:p>
    <w:p w14:paraId="27547490" w14:textId="5655AF22" w:rsidR="007F7E41" w:rsidRDefault="00C27012" w:rsidP="00A44C25">
      <w:r w:rsidRPr="00167F2B">
        <w:rPr>
          <w:b/>
          <w:bCs/>
        </w:rPr>
        <w:lastRenderedPageBreak/>
        <w:t xml:space="preserve">Egypt launched its National Low-Carbon Hydrogen Strategy in August 2024, </w:t>
      </w:r>
      <w:r w:rsidR="00916143" w:rsidRPr="00167F2B">
        <w:rPr>
          <w:b/>
          <w:bCs/>
        </w:rPr>
        <w:t>aiming for significant investments in green hydrogen</w:t>
      </w:r>
      <w:r w:rsidRPr="00167F2B">
        <w:rPr>
          <w:b/>
          <w:bCs/>
        </w:rPr>
        <w:t>.</w:t>
      </w:r>
      <w:r w:rsidR="00EF06A9">
        <w:rPr>
          <w:rStyle w:val="FootnoteReference"/>
        </w:rPr>
        <w:footnoteReference w:id="17"/>
      </w:r>
      <w:r w:rsidRPr="00C27012">
        <w:t xml:space="preserve"> </w:t>
      </w:r>
      <w:r w:rsidR="00E417DE" w:rsidRPr="00E417DE">
        <w:t>Egypt has strong structural advantages for this role</w:t>
      </w:r>
      <w:r w:rsidR="00745F28">
        <w:t>—</w:t>
      </w:r>
      <w:r w:rsidR="00E417DE" w:rsidRPr="00E417DE">
        <w:t xml:space="preserve">abundant solar and wind resources, proximity to Europe, and existing energy infrastructure—and the EU has identified it as a key potential supplier as part of its own target to import 10 million tonnes of hydrogen by 2030. </w:t>
      </w:r>
      <w:r w:rsidR="00A44C25">
        <w:t xml:space="preserve">The government has established a Supreme Council for hydrogen, allocated land for renewable-powered hydrogen production, </w:t>
      </w:r>
      <w:r w:rsidR="004D2DC9" w:rsidRPr="004D2DC9">
        <w:t xml:space="preserve">signed </w:t>
      </w:r>
      <w:r w:rsidR="00D95B7B">
        <w:t xml:space="preserve">multiple </w:t>
      </w:r>
      <w:r w:rsidR="004D2DC9" w:rsidRPr="004D2DC9">
        <w:t>MoUs for green hydrogen projects</w:t>
      </w:r>
      <w:r w:rsidR="004D2DC9">
        <w:t>,</w:t>
      </w:r>
      <w:r w:rsidR="004D2DC9" w:rsidRPr="004D2DC9">
        <w:t xml:space="preserve"> </w:t>
      </w:r>
      <w:r w:rsidR="00A44C25">
        <w:t>and contracted a Belgian consultant to develop an implementation plan.</w:t>
      </w:r>
      <w:r w:rsidR="00D110E8">
        <w:t xml:space="preserve"> </w:t>
      </w:r>
      <w:r w:rsidR="00573462">
        <w:t>T</w:t>
      </w:r>
      <w:r w:rsidR="00A44C25">
        <w:t>he Egypt Green Hydrogen project in the Suez Canal Economic Zone</w:t>
      </w:r>
      <w:r w:rsidR="00746F11">
        <w:t xml:space="preserve"> has negotiated </w:t>
      </w:r>
      <w:r w:rsidR="00A44C25">
        <w:t>a 20-year</w:t>
      </w:r>
      <w:r w:rsidR="00697CC9">
        <w:t>, $520 million</w:t>
      </w:r>
      <w:r w:rsidR="00A44C25">
        <w:t xml:space="preserve"> off-take agreement</w:t>
      </w:r>
      <w:r w:rsidR="00746F11">
        <w:t>, with</w:t>
      </w:r>
      <w:r w:rsidR="00A44C25">
        <w:t xml:space="preserve"> </w:t>
      </w:r>
      <w:r w:rsidR="00FA4737">
        <w:t xml:space="preserve">Germany as the final destination </w:t>
      </w:r>
      <w:r w:rsidR="00697CC9">
        <w:t xml:space="preserve">and </w:t>
      </w:r>
      <w:r w:rsidR="00A44C25">
        <w:t>production expected to start in 2027.</w:t>
      </w:r>
      <w:r w:rsidR="00AD5741">
        <w:rPr>
          <w:rStyle w:val="FootnoteReference"/>
        </w:rPr>
        <w:footnoteReference w:id="18"/>
      </w:r>
      <w:r w:rsidR="00A44C25">
        <w:t xml:space="preserve"> </w:t>
      </w:r>
    </w:p>
    <w:p w14:paraId="3F5A9BA7" w14:textId="77777777" w:rsidR="00F27487" w:rsidRDefault="002A2F21" w:rsidP="009F5FDC">
      <w:r w:rsidRPr="00167F2B">
        <w:rPr>
          <w:b/>
          <w:bCs/>
        </w:rPr>
        <w:t>Under the current CBAM regulation</w:t>
      </w:r>
      <w:r w:rsidR="00B011DB" w:rsidRPr="00167F2B">
        <w:rPr>
          <w:b/>
          <w:bCs/>
        </w:rPr>
        <w:t>, importers of hydrogen must pay only for direct emissions</w:t>
      </w:r>
      <w:r w:rsidR="008C20AF" w:rsidRPr="00167F2B">
        <w:rPr>
          <w:b/>
          <w:bCs/>
        </w:rPr>
        <w:t>.</w:t>
      </w:r>
      <w:r w:rsidR="008C20AF">
        <w:t xml:space="preserve"> </w:t>
      </w:r>
      <w:r w:rsidR="0000041D">
        <w:t>Electrolysis-based h</w:t>
      </w:r>
      <w:r w:rsidR="00C86229">
        <w:t>ydrogen projects</w:t>
      </w:r>
      <w:r w:rsidR="0000041D">
        <w:t xml:space="preserve"> using electricity from the grid will not be penalized. </w:t>
      </w:r>
      <w:r w:rsidR="00F360A7">
        <w:t>However</w:t>
      </w:r>
      <w:r w:rsidR="00EA1E27">
        <w:t xml:space="preserve">, the </w:t>
      </w:r>
      <w:r w:rsidR="00D110E8">
        <w:t xml:space="preserve">CBAM </w:t>
      </w:r>
      <w:r w:rsidR="00EA1E27">
        <w:t>scope may expand in the future to include indirect emissions</w:t>
      </w:r>
      <w:r w:rsidR="00A22741">
        <w:t xml:space="preserve"> </w:t>
      </w:r>
      <w:r w:rsidR="009542F5">
        <w:t>embedded in hydrogen</w:t>
      </w:r>
      <w:r w:rsidR="00D110E8">
        <w:t xml:space="preserve">, </w:t>
      </w:r>
      <w:r w:rsidR="00EA03B3">
        <w:t xml:space="preserve">and thus production </w:t>
      </w:r>
      <w:r w:rsidR="00D110E8">
        <w:t xml:space="preserve">supplied by renewable energy </w:t>
      </w:r>
      <w:r w:rsidR="00EA03B3">
        <w:t>would</w:t>
      </w:r>
      <w:r w:rsidR="009542F5">
        <w:t xml:space="preserve"> </w:t>
      </w:r>
      <w:r w:rsidR="00D110E8">
        <w:t>have an advantage</w:t>
      </w:r>
      <w:r w:rsidR="00EA03B3">
        <w:t xml:space="preserve"> at that point</w:t>
      </w:r>
      <w:r w:rsidR="00EA1E27">
        <w:t>.</w:t>
      </w:r>
      <w:r w:rsidR="009F5FDC">
        <w:t xml:space="preserve"> </w:t>
      </w:r>
    </w:p>
    <w:p w14:paraId="6E0880D7" w14:textId="3B83838D" w:rsidR="007F7E41" w:rsidRPr="00541DED" w:rsidRDefault="009F5FDC" w:rsidP="009F5FDC">
      <w:r w:rsidRPr="00167F2B">
        <w:rPr>
          <w:b/>
          <w:bCs/>
        </w:rPr>
        <w:t>In addition to CBAM, there are other regulations that will likely</w:t>
      </w:r>
      <w:r w:rsidR="000F0713" w:rsidRPr="00167F2B">
        <w:rPr>
          <w:b/>
          <w:bCs/>
        </w:rPr>
        <w:t xml:space="preserve"> drive demand for green hydrogen in the EU.</w:t>
      </w:r>
      <w:r w:rsidR="000F0713">
        <w:t xml:space="preserve"> </w:t>
      </w:r>
      <w:r w:rsidR="000F0713" w:rsidRPr="000F0713">
        <w:t>Under the EU Renewable Energy Directive (RED III), green hydrogen is legally called a Renewable Fuel of Non-Biological Origin (RFNBO). To count as a RFNBO, hydrogen must achieve at least a 70% greenhouse gas emissions saving compared to fossil fuels.</w:t>
      </w:r>
      <w:r w:rsidR="001F7346">
        <w:t xml:space="preserve"> </w:t>
      </w:r>
      <w:r w:rsidR="001F7346" w:rsidRPr="001F7346">
        <w:t>At least 42% of hydrogen used in industry must be RFNBO-certified by 2030, rising to 60% by 2035.</w:t>
      </w:r>
      <w:r w:rsidR="00DE6973">
        <w:t xml:space="preserve"> These regulations will help supp</w:t>
      </w:r>
      <w:r w:rsidR="00B627CF">
        <w:t>ort demand for imports of green hydrogen from Egypt.</w:t>
      </w:r>
    </w:p>
    <w:p w14:paraId="39A84EAE" w14:textId="7610BA8B" w:rsidR="002E5CFA" w:rsidRDefault="00DF76F0" w:rsidP="00DF76F0">
      <w:pPr>
        <w:pStyle w:val="Heading2"/>
      </w:pPr>
      <w:bookmarkStart w:id="38" w:name="_Toc234844388"/>
      <w:r>
        <w:t>Macroeconomic</w:t>
      </w:r>
      <w:r w:rsidR="00561F94">
        <w:t xml:space="preserve"> and</w:t>
      </w:r>
      <w:r>
        <w:t xml:space="preserve"> trade</w:t>
      </w:r>
      <w:r w:rsidR="00561F94">
        <w:t xml:space="preserve"> </w:t>
      </w:r>
      <w:r>
        <w:t>implications for Egypt</w:t>
      </w:r>
      <w:bookmarkEnd w:id="38"/>
    </w:p>
    <w:p w14:paraId="4CEBECFC" w14:textId="780AB133" w:rsidR="00B322E9" w:rsidRDefault="00AE53C8" w:rsidP="00DD0E41">
      <w:pPr>
        <w:rPr>
          <w:rFonts w:cs="Segoe UI"/>
        </w:rPr>
      </w:pPr>
      <w:r>
        <w:rPr>
          <w:rFonts w:cs="Segoe UI"/>
          <w:b/>
          <w:bCs/>
        </w:rPr>
        <w:t>To understand how</w:t>
      </w:r>
      <w:r w:rsidR="00FE3A89">
        <w:rPr>
          <w:rFonts w:cs="Segoe UI"/>
          <w:b/>
          <w:bCs/>
        </w:rPr>
        <w:t xml:space="preserve"> these exposure pressures translate into </w:t>
      </w:r>
      <w:r w:rsidR="00DF7D85">
        <w:rPr>
          <w:rFonts w:cs="Segoe UI"/>
          <w:b/>
          <w:bCs/>
        </w:rPr>
        <w:t xml:space="preserve">trade and macroeconomic impacts, </w:t>
      </w:r>
      <w:r w:rsidR="00004429">
        <w:rPr>
          <w:rFonts w:cs="Segoe UI"/>
          <w:b/>
          <w:bCs/>
          <w:szCs w:val="20"/>
        </w:rPr>
        <w:t xml:space="preserve">numerical </w:t>
      </w:r>
      <w:r w:rsidR="00B93FFC" w:rsidRPr="000D3921">
        <w:rPr>
          <w:rFonts w:cs="Segoe UI"/>
          <w:b/>
          <w:bCs/>
          <w:szCs w:val="20"/>
        </w:rPr>
        <w:t>modelling</w:t>
      </w:r>
      <w:r w:rsidR="00B73367">
        <w:rPr>
          <w:rFonts w:cs="Segoe UI"/>
          <w:b/>
          <w:bCs/>
          <w:szCs w:val="20"/>
        </w:rPr>
        <w:t xml:space="preserve"> </w:t>
      </w:r>
      <w:r w:rsidR="00004429">
        <w:rPr>
          <w:rFonts w:cs="Segoe UI"/>
          <w:b/>
          <w:bCs/>
          <w:szCs w:val="20"/>
        </w:rPr>
        <w:t>is required</w:t>
      </w:r>
      <w:r w:rsidR="00EB5568">
        <w:rPr>
          <w:rFonts w:cs="Segoe UI"/>
          <w:b/>
          <w:bCs/>
        </w:rPr>
        <w:t xml:space="preserve">. </w:t>
      </w:r>
      <w:r w:rsidR="0011726F" w:rsidRPr="0011726F">
        <w:t>Alsharkas</w:t>
      </w:r>
      <w:r w:rsidR="000729E7">
        <w:rPr>
          <w:rFonts w:cs="Segoe UI"/>
        </w:rPr>
        <w:t xml:space="preserve"> et al. (2026)</w:t>
      </w:r>
      <w:r w:rsidR="00D4697B">
        <w:rPr>
          <w:rFonts w:cs="Segoe UI"/>
        </w:rPr>
        <w:t xml:space="preserve"> deploy </w:t>
      </w:r>
      <w:r w:rsidR="00D4697B" w:rsidRPr="00D4697B">
        <w:rPr>
          <w:rFonts w:cs="Segoe UI"/>
        </w:rPr>
        <w:t xml:space="preserve">computable general equilibrium (CGE) </w:t>
      </w:r>
      <w:r w:rsidR="00D4697B">
        <w:rPr>
          <w:rFonts w:cs="Segoe UI"/>
        </w:rPr>
        <w:t xml:space="preserve">to </w:t>
      </w:r>
      <w:r w:rsidR="00595E62" w:rsidRPr="00595E62">
        <w:rPr>
          <w:rFonts w:cs="Segoe UI"/>
        </w:rPr>
        <w:t>simulat</w:t>
      </w:r>
      <w:r w:rsidR="00D4697B">
        <w:rPr>
          <w:rFonts w:cs="Segoe UI"/>
        </w:rPr>
        <w:t>e</w:t>
      </w:r>
      <w:r w:rsidR="00595E62" w:rsidRPr="00595E62">
        <w:rPr>
          <w:rFonts w:cs="Segoe UI"/>
        </w:rPr>
        <w:t xml:space="preserve"> the </w:t>
      </w:r>
      <w:r w:rsidR="00A61FD6">
        <w:rPr>
          <w:rFonts w:cs="Segoe UI"/>
        </w:rPr>
        <w:t xml:space="preserve">global </w:t>
      </w:r>
      <w:r w:rsidR="00595E62" w:rsidRPr="00595E62">
        <w:rPr>
          <w:rFonts w:cs="Segoe UI"/>
        </w:rPr>
        <w:t>impact</w:t>
      </w:r>
      <w:r w:rsidR="00A61FD6">
        <w:rPr>
          <w:rFonts w:cs="Segoe UI"/>
        </w:rPr>
        <w:t>s</w:t>
      </w:r>
      <w:r w:rsidR="00595E62" w:rsidRPr="00595E62">
        <w:rPr>
          <w:rFonts w:cs="Segoe UI"/>
        </w:rPr>
        <w:t xml:space="preserve"> of CBAM on changes in trade, welfare and sectoral output.</w:t>
      </w:r>
      <w:r w:rsidR="004F11A6">
        <w:rPr>
          <w:rStyle w:val="FootnoteReference"/>
        </w:rPr>
        <w:footnoteReference w:id="19"/>
      </w:r>
      <w:r w:rsidR="00595E62" w:rsidRPr="00595E62">
        <w:rPr>
          <w:rFonts w:cs="Segoe UI"/>
        </w:rPr>
        <w:t xml:space="preserve"> </w:t>
      </w:r>
      <w:r w:rsidR="00C60C09">
        <w:rPr>
          <w:rFonts w:cs="Segoe UI"/>
        </w:rPr>
        <w:t xml:space="preserve">An overview of the modeling approach is </w:t>
      </w:r>
      <w:r w:rsidR="00E526F5">
        <w:rPr>
          <w:rFonts w:cs="Segoe UI"/>
        </w:rPr>
        <w:t>described in the text box</w:t>
      </w:r>
      <w:r w:rsidR="00C60C09">
        <w:rPr>
          <w:rFonts w:cs="Segoe UI"/>
        </w:rPr>
        <w:t xml:space="preserve">. </w:t>
      </w:r>
      <w:r w:rsidR="001E6A84">
        <w:rPr>
          <w:rFonts w:cs="Segoe UI"/>
        </w:rPr>
        <w:t xml:space="preserve">As always, modeling </w:t>
      </w:r>
      <w:r w:rsidR="008C1508">
        <w:rPr>
          <w:rFonts w:cs="Segoe UI"/>
        </w:rPr>
        <w:t>results are sensitive to</w:t>
      </w:r>
      <w:r w:rsidR="001B7D23">
        <w:rPr>
          <w:rFonts w:cs="Segoe UI"/>
        </w:rPr>
        <w:t xml:space="preserve"> structural</w:t>
      </w:r>
      <w:r w:rsidR="006E01B1">
        <w:rPr>
          <w:rFonts w:cs="Segoe UI"/>
        </w:rPr>
        <w:t>, data, and scenario assumptions</w:t>
      </w:r>
      <w:r w:rsidR="003B1AFF">
        <w:rPr>
          <w:rFonts w:cs="Segoe UI"/>
        </w:rPr>
        <w:t>.</w:t>
      </w:r>
      <w:r w:rsidR="003E28E0">
        <w:rPr>
          <w:rStyle w:val="FootnoteReference"/>
        </w:rPr>
        <w:footnoteReference w:id="20"/>
      </w:r>
      <w:r w:rsidR="003B1AFF">
        <w:rPr>
          <w:rFonts w:cs="Segoe UI"/>
        </w:rPr>
        <w:t xml:space="preserve"> </w:t>
      </w:r>
    </w:p>
    <w:p w14:paraId="6B700B52" w14:textId="3419D56F" w:rsidR="00493A24" w:rsidRDefault="00493A24" w:rsidP="00DD0E41">
      <w:pPr>
        <w:rPr>
          <w:rFonts w:cs="Segoe UI"/>
        </w:rPr>
      </w:pPr>
      <w:r>
        <w:rPr>
          <w:rFonts w:cs="Segoe UI"/>
          <w:noProof/>
        </w:rPr>
        <w:lastRenderedPageBreak/>
        <mc:AlternateContent>
          <mc:Choice Requires="wps">
            <w:drawing>
              <wp:anchor distT="0" distB="0" distL="114300" distR="114300" simplePos="0" relativeHeight="251658241" behindDoc="0" locked="0" layoutInCell="1" allowOverlap="1" wp14:anchorId="5E1DD598" wp14:editId="7E8633A2">
                <wp:simplePos x="0" y="0"/>
                <wp:positionH relativeFrom="margin">
                  <wp:align>left</wp:align>
                </wp:positionH>
                <wp:positionV relativeFrom="paragraph">
                  <wp:posOffset>301625</wp:posOffset>
                </wp:positionV>
                <wp:extent cx="5956300" cy="4633595"/>
                <wp:effectExtent l="0" t="0" r="25400" b="14605"/>
                <wp:wrapTopAndBottom/>
                <wp:docPr id="729765783" name="Text Box 4"/>
                <wp:cNvGraphicFramePr/>
                <a:graphic xmlns:a="http://schemas.openxmlformats.org/drawingml/2006/main">
                  <a:graphicData uri="http://schemas.microsoft.com/office/word/2010/wordprocessingShape">
                    <wps:wsp>
                      <wps:cNvSpPr txBox="1"/>
                      <wps:spPr>
                        <a:xfrm>
                          <a:off x="0" y="0"/>
                          <a:ext cx="5956300" cy="4633595"/>
                        </a:xfrm>
                        <a:prstGeom prst="rect">
                          <a:avLst/>
                        </a:prstGeom>
                        <a:solidFill>
                          <a:schemeClr val="lt1"/>
                        </a:solidFill>
                        <a:ln w="6350">
                          <a:solidFill>
                            <a:prstClr val="black"/>
                          </a:solidFill>
                        </a:ln>
                      </wps:spPr>
                      <wps:txbx>
                        <w:txbxContent>
                          <w:p w14:paraId="64B40B57" w14:textId="77777777" w:rsidR="00285A3E" w:rsidRDefault="00040E8A" w:rsidP="00493A24">
                            <w:pPr>
                              <w:rPr>
                                <w:rFonts w:cs="Segoe UI"/>
                                <w:b/>
                                <w:bCs/>
                              </w:rPr>
                            </w:pPr>
                            <w:r>
                              <w:rPr>
                                <w:rFonts w:cs="Segoe UI"/>
                                <w:b/>
                                <w:bCs/>
                              </w:rPr>
                              <w:t>Modeling th</w:t>
                            </w:r>
                            <w:r w:rsidR="00285A3E">
                              <w:rPr>
                                <w:rFonts w:cs="Segoe UI"/>
                                <w:b/>
                                <w:bCs/>
                              </w:rPr>
                              <w:t>e global, regional, and domestic economic effects of CBAM</w:t>
                            </w:r>
                          </w:p>
                          <w:p w14:paraId="2ADCE30C" w14:textId="3228DD06" w:rsidR="00493A24" w:rsidRDefault="00493A24" w:rsidP="00493A24">
                            <w:pPr>
                              <w:rPr>
                                <w:rFonts w:cs="Segoe UI"/>
                              </w:rPr>
                            </w:pPr>
                            <w:r>
                              <w:rPr>
                                <w:rFonts w:cs="Segoe UI"/>
                              </w:rPr>
                              <w:t xml:space="preserve">The reported simulations are from the ENVISAGE model using GTAP 11 trade and input-output data (base year 2017). The model represents how </w:t>
                            </w:r>
                            <w:r w:rsidRPr="00595E62">
                              <w:rPr>
                                <w:rFonts w:cs="Segoe UI"/>
                              </w:rPr>
                              <w:t xml:space="preserve">the </w:t>
                            </w:r>
                            <w:r>
                              <w:rPr>
                                <w:rFonts w:cs="Segoe UI"/>
                              </w:rPr>
                              <w:t xml:space="preserve">EU policy reforms—the </w:t>
                            </w:r>
                            <w:r w:rsidRPr="00EE6B75">
                              <w:rPr>
                                <w:rFonts w:cs="Segoe UI"/>
                              </w:rPr>
                              <w:t>removal of free allocations to EU producers and the introduction of CBAM</w:t>
                            </w:r>
                            <w:r>
                              <w:rPr>
                                <w:rFonts w:cs="Segoe UI"/>
                              </w:rPr>
                              <w:t xml:space="preserve"> certificate payments—alter patterns of global demand and </w:t>
                            </w:r>
                            <w:r w:rsidRPr="00595E62">
                              <w:rPr>
                                <w:rFonts w:cs="Segoe UI"/>
                              </w:rPr>
                              <w:t>change</w:t>
                            </w:r>
                            <w:r>
                              <w:rPr>
                                <w:rFonts w:cs="Segoe UI"/>
                              </w:rPr>
                              <w:t xml:space="preserve"> </w:t>
                            </w:r>
                            <w:r w:rsidRPr="00595E62">
                              <w:rPr>
                                <w:rFonts w:cs="Segoe UI"/>
                              </w:rPr>
                              <w:t>prices</w:t>
                            </w:r>
                            <w:r>
                              <w:rPr>
                                <w:rFonts w:cs="Segoe UI"/>
                              </w:rPr>
                              <w:t xml:space="preserve"> not only of CBAM goods but all traded goods, especially </w:t>
                            </w:r>
                            <w:r w:rsidRPr="00595E62">
                              <w:rPr>
                                <w:rFonts w:cs="Segoe UI"/>
                              </w:rPr>
                              <w:t xml:space="preserve">fossil fuels. The pre-CBAM policy scenario (the reference scenario against which we measure CBAM impacts) involves the implementation of carbon pricing in the EU at 100$/ton of CO2e alongside output subsidies to EU producers of CBAM goods amounting to 90 percent of the value of carbon content. </w:t>
                            </w:r>
                            <w:r>
                              <w:rPr>
                                <w:rFonts w:cs="Segoe UI"/>
                              </w:rPr>
                              <w:t>For example, t</w:t>
                            </w:r>
                            <w:r w:rsidRPr="00595E62">
                              <w:rPr>
                                <w:rFonts w:cs="Segoe UI"/>
                              </w:rPr>
                              <w:t xml:space="preserve">he value of </w:t>
                            </w:r>
                            <w:r>
                              <w:rPr>
                                <w:rFonts w:cs="Segoe UI"/>
                              </w:rPr>
                              <w:t xml:space="preserve">the </w:t>
                            </w:r>
                            <w:r w:rsidRPr="00595E62">
                              <w:rPr>
                                <w:rFonts w:cs="Segoe UI"/>
                              </w:rPr>
                              <w:t xml:space="preserve">subsidy </w:t>
                            </w:r>
                            <w:r>
                              <w:rPr>
                                <w:rFonts w:cs="Segoe UI"/>
                              </w:rPr>
                              <w:t xml:space="preserve">amounts to </w:t>
                            </w:r>
                            <w:r w:rsidRPr="00595E62">
                              <w:rPr>
                                <w:rFonts w:cs="Segoe UI"/>
                              </w:rPr>
                              <w:t>45.3%</w:t>
                            </w:r>
                            <w:r>
                              <w:rPr>
                                <w:rFonts w:cs="Segoe UI"/>
                              </w:rPr>
                              <w:t xml:space="preserve"> for </w:t>
                            </w:r>
                            <w:r w:rsidRPr="00595E62">
                              <w:rPr>
                                <w:rFonts w:cs="Segoe UI"/>
                              </w:rPr>
                              <w:t>fertilizers and 38.5%</w:t>
                            </w:r>
                            <w:r>
                              <w:rPr>
                                <w:rFonts w:cs="Segoe UI"/>
                              </w:rPr>
                              <w:t xml:space="preserve"> for </w:t>
                            </w:r>
                            <w:r w:rsidRPr="00595E62">
                              <w:rPr>
                                <w:rFonts w:cs="Segoe UI"/>
                              </w:rPr>
                              <w:t>cement</w:t>
                            </w:r>
                            <w:r>
                              <w:rPr>
                                <w:rFonts w:cs="Segoe UI"/>
                              </w:rPr>
                              <w:t>, as the most affected EU sectors</w:t>
                            </w:r>
                            <w:r w:rsidRPr="00595E62">
                              <w:rPr>
                                <w:rFonts w:cs="Segoe UI"/>
                              </w:rPr>
                              <w:t xml:space="preserve">. The CBAM policy scenario maintains the 100$/tCO2e price and combines the removal of these output subsidies with the introduction of CBAM certificate costs for EU imports. The cost of CBAM certificates is estimated based on the latest default values issued by the EC in December. </w:t>
                            </w:r>
                          </w:p>
                          <w:p w14:paraId="76FF0598" w14:textId="77777777" w:rsidR="00493A24" w:rsidRDefault="00493A24" w:rsidP="00493A24">
                            <w:pPr>
                              <w:rPr>
                                <w:rFonts w:cs="Segoe UI"/>
                              </w:rPr>
                            </w:pPr>
                            <w:r>
                              <w:rPr>
                                <w:rFonts w:cs="Segoe UI"/>
                              </w:rPr>
                              <w:t>T</w:t>
                            </w:r>
                            <w:r w:rsidRPr="00595E62">
                              <w:rPr>
                                <w:rFonts w:cs="Segoe UI"/>
                              </w:rPr>
                              <w:t xml:space="preserve">hese simulations </w:t>
                            </w:r>
                            <w:r>
                              <w:rPr>
                                <w:rFonts w:cs="Segoe UI"/>
                              </w:rPr>
                              <w:t>may overstate impacts for a few reasons</w:t>
                            </w:r>
                            <w:r w:rsidRPr="00595E62">
                              <w:rPr>
                                <w:rFonts w:cs="Segoe UI"/>
                              </w:rPr>
                              <w:t xml:space="preserve">: i) they </w:t>
                            </w:r>
                            <w:r>
                              <w:rPr>
                                <w:rFonts w:cs="Segoe UI"/>
                              </w:rPr>
                              <w:t xml:space="preserve">assume </w:t>
                            </w:r>
                            <w:r w:rsidRPr="00595E62">
                              <w:rPr>
                                <w:rFonts w:cs="Segoe UI"/>
                              </w:rPr>
                              <w:t>full implementation of CBAM, which in practice will be introduced gradually, with time to allow for improvements in carbon efficiency that are not modeled, ii) exporters are assumed to be using default values</w:t>
                            </w:r>
                            <w:r>
                              <w:rPr>
                                <w:rFonts w:cs="Segoe UI"/>
                              </w:rPr>
                              <w:t xml:space="preserve"> on average</w:t>
                            </w:r>
                            <w:r w:rsidRPr="00595E62">
                              <w:rPr>
                                <w:rFonts w:cs="Segoe UI"/>
                              </w:rPr>
                              <w:t xml:space="preserve">, </w:t>
                            </w:r>
                            <w:r>
                              <w:rPr>
                                <w:rFonts w:cs="Segoe UI"/>
                              </w:rPr>
                              <w:t xml:space="preserve">although </w:t>
                            </w:r>
                            <w:r w:rsidRPr="00595E62">
                              <w:rPr>
                                <w:rFonts w:cs="Segoe UI"/>
                              </w:rPr>
                              <w:t>cleaner exporters will be able to certify their lower emission intensities and face lower CBAM certificate costs, iii)</w:t>
                            </w:r>
                            <w:r>
                              <w:rPr>
                                <w:rFonts w:cs="Segoe UI"/>
                              </w:rPr>
                              <w:t xml:space="preserve"> </w:t>
                            </w:r>
                            <w:r w:rsidRPr="00595E62">
                              <w:rPr>
                                <w:rFonts w:cs="Segoe UI"/>
                              </w:rPr>
                              <w:t>the model allows for full adjustment within the simulation period</w:t>
                            </w:r>
                            <w:r>
                              <w:rPr>
                                <w:rFonts w:cs="Segoe UI"/>
                              </w:rPr>
                              <w:t xml:space="preserve">, whereas </w:t>
                            </w:r>
                            <w:r w:rsidRPr="00595E62">
                              <w:rPr>
                                <w:rFonts w:cs="Segoe UI"/>
                              </w:rPr>
                              <w:t>trade reallocation would likely take time.</w:t>
                            </w:r>
                            <w:r>
                              <w:rPr>
                                <w:rFonts w:cs="Segoe UI"/>
                              </w:rPr>
                              <w:t xml:space="preserve"> On the other hand, requiring global coverage of balanced trade data, the model is calibrated to a situation that may depart from the current one in important ways for fast-changing economies.</w:t>
                            </w:r>
                          </w:p>
                          <w:p w14:paraId="308687F0" w14:textId="77777777" w:rsidR="00493A24" w:rsidRDefault="00493A24" w:rsidP="00493A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1DD598" id="Text Box 4" o:spid="_x0000_s1027" type="#_x0000_t202" style="position:absolute;left:0;text-align:left;margin-left:0;margin-top:23.75pt;width:469pt;height:364.85pt;z-index:251658241;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" fillcolor="white [3201]" strokeweight=".5pt">
                <v:textbox>
                  <w:txbxContent>
                    <w:p w14:paraId="64B40B57" w14:textId="77777777" w:rsidR="00285A3E" w:rsidRDefault="00040E8A" w:rsidP="00493A24">
                      <w:pPr>
                        <w:rPr>
                          <w:rFonts w:cs="Segoe UI"/>
                          <w:b/>
                          <w:bCs/>
                        </w:rPr>
                      </w:pPr>
                      <w:r>
                        <w:rPr>
                          <w:rFonts w:cs="Segoe UI"/>
                          <w:b/>
                          <w:bCs/>
                        </w:rPr>
                        <w:t>Modeling th</w:t>
                      </w:r>
                      <w:r w:rsidR="00285A3E">
                        <w:rPr>
                          <w:rFonts w:cs="Segoe UI"/>
                          <w:b/>
                          <w:bCs/>
                        </w:rPr>
                        <w:t>e global, regional, and domestic economic effects of CBAM</w:t>
                      </w:r>
                    </w:p>
                    <w:p w14:paraId="2ADCE30C" w14:textId="3228DD06" w:rsidR="00493A24" w:rsidRDefault="00493A24" w:rsidP="00493A24">
                      <w:pPr>
                        <w:rPr>
                          <w:rFonts w:cs="Segoe UI"/>
                        </w:rPr>
                      </w:pPr>
                      <w:r>
                        <w:rPr>
                          <w:rFonts w:cs="Segoe UI"/>
                        </w:rPr>
                        <w:t xml:space="preserve">The reported simulations are from the ENVISAGE model using GTAP 11 trade and input-output data (base year 2017). The model represents how </w:t>
                      </w:r>
                      <w:r w:rsidRPr="00595E62">
                        <w:rPr>
                          <w:rFonts w:cs="Segoe UI"/>
                        </w:rPr>
                        <w:t xml:space="preserve">the </w:t>
                      </w:r>
                      <w:r>
                        <w:rPr>
                          <w:rFonts w:cs="Segoe UI"/>
                        </w:rPr>
                        <w:t xml:space="preserve">EU policy reforms—the </w:t>
                      </w:r>
                      <w:r w:rsidRPr="00EE6B75">
                        <w:rPr>
                          <w:rFonts w:cs="Segoe UI"/>
                        </w:rPr>
                        <w:t>removal of free allocations to EU producers and the introduction of CBAM</w:t>
                      </w:r>
                      <w:r>
                        <w:rPr>
                          <w:rFonts w:cs="Segoe UI"/>
                        </w:rPr>
                        <w:t xml:space="preserve"> certificate payments—alter patterns of global demand and </w:t>
                      </w:r>
                      <w:r w:rsidRPr="00595E62">
                        <w:rPr>
                          <w:rFonts w:cs="Segoe UI"/>
                        </w:rPr>
                        <w:t>change</w:t>
                      </w:r>
                      <w:r>
                        <w:rPr>
                          <w:rFonts w:cs="Segoe UI"/>
                        </w:rPr>
                        <w:t xml:space="preserve"> </w:t>
                      </w:r>
                      <w:r w:rsidRPr="00595E62">
                        <w:rPr>
                          <w:rFonts w:cs="Segoe UI"/>
                        </w:rPr>
                        <w:t>prices</w:t>
                      </w:r>
                      <w:r>
                        <w:rPr>
                          <w:rFonts w:cs="Segoe UI"/>
                        </w:rPr>
                        <w:t xml:space="preserve"> not only of CBAM goods but all traded goods, especially </w:t>
                      </w:r>
                      <w:r w:rsidRPr="00595E62">
                        <w:rPr>
                          <w:rFonts w:cs="Segoe UI"/>
                        </w:rPr>
                        <w:t xml:space="preserve">fossil fuels. The pre-CBAM policy scenario (the reference scenario against which we measure CBAM impacts) involves the implementation of carbon pricing in the EU at 100$/ton of CO2e alongside output subsidies to EU producers of CBAM goods amounting to 90 percent of the value of carbon content. </w:t>
                      </w:r>
                      <w:r>
                        <w:rPr>
                          <w:rFonts w:cs="Segoe UI"/>
                        </w:rPr>
                        <w:t>For example, t</w:t>
                      </w:r>
                      <w:r w:rsidRPr="00595E62">
                        <w:rPr>
                          <w:rFonts w:cs="Segoe UI"/>
                        </w:rPr>
                        <w:t xml:space="preserve">he value of </w:t>
                      </w:r>
                      <w:r>
                        <w:rPr>
                          <w:rFonts w:cs="Segoe UI"/>
                        </w:rPr>
                        <w:t xml:space="preserve">the </w:t>
                      </w:r>
                      <w:r w:rsidRPr="00595E62">
                        <w:rPr>
                          <w:rFonts w:cs="Segoe UI"/>
                        </w:rPr>
                        <w:t xml:space="preserve">subsidy </w:t>
                      </w:r>
                      <w:r>
                        <w:rPr>
                          <w:rFonts w:cs="Segoe UI"/>
                        </w:rPr>
                        <w:t xml:space="preserve">amounts to </w:t>
                      </w:r>
                      <w:r w:rsidRPr="00595E62">
                        <w:rPr>
                          <w:rFonts w:cs="Segoe UI"/>
                        </w:rPr>
                        <w:t>45.3%</w:t>
                      </w:r>
                      <w:r>
                        <w:rPr>
                          <w:rFonts w:cs="Segoe UI"/>
                        </w:rPr>
                        <w:t xml:space="preserve"> for </w:t>
                      </w:r>
                      <w:r w:rsidRPr="00595E62">
                        <w:rPr>
                          <w:rFonts w:cs="Segoe UI"/>
                        </w:rPr>
                        <w:t>fertilizers and 38.5%</w:t>
                      </w:r>
                      <w:r>
                        <w:rPr>
                          <w:rFonts w:cs="Segoe UI"/>
                        </w:rPr>
                        <w:t xml:space="preserve"> for </w:t>
                      </w:r>
                      <w:r w:rsidRPr="00595E62">
                        <w:rPr>
                          <w:rFonts w:cs="Segoe UI"/>
                        </w:rPr>
                        <w:t>cement</w:t>
                      </w:r>
                      <w:r>
                        <w:rPr>
                          <w:rFonts w:cs="Segoe UI"/>
                        </w:rPr>
                        <w:t>, as the most affected EU sectors</w:t>
                      </w:r>
                      <w:r w:rsidRPr="00595E62">
                        <w:rPr>
                          <w:rFonts w:cs="Segoe UI"/>
                        </w:rPr>
                        <w:t xml:space="preserve">. The CBAM policy scenario maintains the 100$/tCO2e price and combines the removal of these output subsidies with the introduction of CBAM certificate costs for EU imports. The cost of CBAM certificates is estimated based on the latest default values issued by the EC in December. </w:t>
                      </w:r>
                    </w:p>
                    <w:p w14:paraId="76FF0598" w14:textId="77777777" w:rsidR="00493A24" w:rsidRDefault="00493A24" w:rsidP="00493A24">
                      <w:pPr>
                        <w:rPr>
                          <w:rFonts w:cs="Segoe UI"/>
                        </w:rPr>
                      </w:pPr>
                      <w:r>
                        <w:rPr>
                          <w:rFonts w:cs="Segoe UI"/>
                        </w:rPr>
                        <w:t>T</w:t>
                      </w:r>
                      <w:r w:rsidRPr="00595E62">
                        <w:rPr>
                          <w:rFonts w:cs="Segoe UI"/>
                        </w:rPr>
                        <w:t xml:space="preserve">hese simulations </w:t>
                      </w:r>
                      <w:r>
                        <w:rPr>
                          <w:rFonts w:cs="Segoe UI"/>
                        </w:rPr>
                        <w:t>may overstate impacts for a few reasons</w:t>
                      </w:r>
                      <w:r w:rsidRPr="00595E62">
                        <w:rPr>
                          <w:rFonts w:cs="Segoe UI"/>
                        </w:rPr>
                        <w:t xml:space="preserve">: i) they </w:t>
                      </w:r>
                      <w:r>
                        <w:rPr>
                          <w:rFonts w:cs="Segoe UI"/>
                        </w:rPr>
                        <w:t xml:space="preserve">assume </w:t>
                      </w:r>
                      <w:r w:rsidRPr="00595E62">
                        <w:rPr>
                          <w:rFonts w:cs="Segoe UI"/>
                        </w:rPr>
                        <w:t>full implementation of CBAM, which in practice will be introduced gradually, with time to allow for improvements in carbon efficiency that are not modeled, ii) exporters are assumed to be using default values</w:t>
                      </w:r>
                      <w:r>
                        <w:rPr>
                          <w:rFonts w:cs="Segoe UI"/>
                        </w:rPr>
                        <w:t xml:space="preserve"> on average</w:t>
                      </w:r>
                      <w:r w:rsidRPr="00595E62">
                        <w:rPr>
                          <w:rFonts w:cs="Segoe UI"/>
                        </w:rPr>
                        <w:t xml:space="preserve">, </w:t>
                      </w:r>
                      <w:r>
                        <w:rPr>
                          <w:rFonts w:cs="Segoe UI"/>
                        </w:rPr>
                        <w:t xml:space="preserve">although </w:t>
                      </w:r>
                      <w:r w:rsidRPr="00595E62">
                        <w:rPr>
                          <w:rFonts w:cs="Segoe UI"/>
                        </w:rPr>
                        <w:t>cleaner exporters will be able to certify their lower emission intensities and face lower CBAM certificate costs, iii)</w:t>
                      </w:r>
                      <w:r>
                        <w:rPr>
                          <w:rFonts w:cs="Segoe UI"/>
                        </w:rPr>
                        <w:t xml:space="preserve"> </w:t>
                      </w:r>
                      <w:r w:rsidRPr="00595E62">
                        <w:rPr>
                          <w:rFonts w:cs="Segoe UI"/>
                        </w:rPr>
                        <w:t>the model allows for full adjustment within the simulation period</w:t>
                      </w:r>
                      <w:r>
                        <w:rPr>
                          <w:rFonts w:cs="Segoe UI"/>
                        </w:rPr>
                        <w:t xml:space="preserve">, whereas </w:t>
                      </w:r>
                      <w:r w:rsidRPr="00595E62">
                        <w:rPr>
                          <w:rFonts w:cs="Segoe UI"/>
                        </w:rPr>
                        <w:t>trade reallocation would likely take time.</w:t>
                      </w:r>
                      <w:r>
                        <w:rPr>
                          <w:rFonts w:cs="Segoe UI"/>
                        </w:rPr>
                        <w:t xml:space="preserve"> On the other hand, requiring global coverage of balanced trade data, the model is calibrated to a situation that may depart from the current one in important ways for fast-changing economies.</w:t>
                      </w:r>
                    </w:p>
                    <w:p w14:paraId="308687F0" w14:textId="77777777" w:rsidR="00493A24" w:rsidRDefault="00493A24" w:rsidP="00493A24"/>
                  </w:txbxContent>
                </v:textbox>
                <w10:wrap type="topAndBottom" anchorx="margin"/>
              </v:shape>
            </w:pict>
          </mc:Fallback>
        </mc:AlternateContent>
      </w:r>
    </w:p>
    <w:p w14:paraId="5D88920F" w14:textId="77777777" w:rsidR="00493A24" w:rsidRDefault="00493A24" w:rsidP="00B322E9">
      <w:pPr>
        <w:rPr>
          <w:rFonts w:cs="Segoe UI"/>
        </w:rPr>
      </w:pPr>
    </w:p>
    <w:p w14:paraId="040C0E2F" w14:textId="00D3EF1B" w:rsidR="00B84939" w:rsidRDefault="00B84939" w:rsidP="00B322E9">
      <w:pPr>
        <w:rPr>
          <w:rFonts w:cs="Segoe UI"/>
        </w:rPr>
      </w:pPr>
      <w:r>
        <w:rPr>
          <w:rFonts w:cs="Segoe UI"/>
        </w:rPr>
        <w:t>The results</w:t>
      </w:r>
      <w:r w:rsidR="00001969">
        <w:rPr>
          <w:rFonts w:cs="Segoe UI"/>
        </w:rPr>
        <w:t xml:space="preserve"> reflect the changes in </w:t>
      </w:r>
      <w:r w:rsidR="00535A3D">
        <w:rPr>
          <w:rFonts w:cs="Segoe UI"/>
        </w:rPr>
        <w:t xml:space="preserve">relative competitiveness as well as general equilibrium effects. </w:t>
      </w:r>
      <w:r w:rsidR="00610B72">
        <w:rPr>
          <w:rFonts w:cs="Segoe UI"/>
        </w:rPr>
        <w:t xml:space="preserve">Aluminum </w:t>
      </w:r>
      <w:r w:rsidR="00FF5D54">
        <w:rPr>
          <w:rFonts w:cs="Segoe UI"/>
        </w:rPr>
        <w:t xml:space="preserve">and steel </w:t>
      </w:r>
      <w:r w:rsidR="00610B72">
        <w:rPr>
          <w:rFonts w:cs="Segoe UI"/>
        </w:rPr>
        <w:t xml:space="preserve">exports </w:t>
      </w:r>
      <w:r w:rsidR="00E719D2">
        <w:rPr>
          <w:rFonts w:cs="Segoe UI"/>
        </w:rPr>
        <w:t>do not appear to be significantly affected</w:t>
      </w:r>
      <w:r w:rsidR="00610B72">
        <w:rPr>
          <w:rFonts w:cs="Segoe UI"/>
        </w:rPr>
        <w:t xml:space="preserve">. </w:t>
      </w:r>
      <w:r w:rsidR="00797E55">
        <w:rPr>
          <w:rFonts w:cs="Segoe UI"/>
        </w:rPr>
        <w:t xml:space="preserve">Fertilizer exports </w:t>
      </w:r>
      <w:r w:rsidR="00E719D2">
        <w:rPr>
          <w:rFonts w:cs="Segoe UI"/>
        </w:rPr>
        <w:t xml:space="preserve">would be expected to </w:t>
      </w:r>
      <w:r w:rsidR="00797E55">
        <w:rPr>
          <w:rFonts w:cs="Segoe UI"/>
        </w:rPr>
        <w:t>expand</w:t>
      </w:r>
      <w:r w:rsidR="00174072">
        <w:rPr>
          <w:rFonts w:cs="Segoe UI"/>
        </w:rPr>
        <w:t xml:space="preserve"> to the rest of the world (ROW)</w:t>
      </w:r>
      <w:r w:rsidR="00406DAA">
        <w:rPr>
          <w:rFonts w:cs="Segoe UI"/>
        </w:rPr>
        <w:t xml:space="preserve"> due to </w:t>
      </w:r>
      <w:r w:rsidR="002A079A">
        <w:rPr>
          <w:rFonts w:cs="Segoe UI"/>
        </w:rPr>
        <w:t xml:space="preserve">lower EU supplies from the loss of subsidies </w:t>
      </w:r>
      <w:r w:rsidR="00406DAA">
        <w:rPr>
          <w:rFonts w:cs="Segoe UI"/>
        </w:rPr>
        <w:t xml:space="preserve">and downward pressures </w:t>
      </w:r>
      <w:r w:rsidR="002A079A">
        <w:rPr>
          <w:rFonts w:cs="Segoe UI"/>
        </w:rPr>
        <w:t>on global natural gas prices from reduced demand for fossil fuels</w:t>
      </w:r>
      <w:r w:rsidR="0090644F">
        <w:rPr>
          <w:rFonts w:cs="Segoe UI"/>
        </w:rPr>
        <w:t>;</w:t>
      </w:r>
      <w:r w:rsidR="002A079A">
        <w:rPr>
          <w:rFonts w:cs="Segoe UI"/>
        </w:rPr>
        <w:t xml:space="preserve"> </w:t>
      </w:r>
      <w:r w:rsidR="00B051EC">
        <w:rPr>
          <w:rFonts w:cs="Segoe UI"/>
        </w:rPr>
        <w:t>exports to the EU would also significant expand</w:t>
      </w:r>
      <w:r w:rsidR="0090644F">
        <w:rPr>
          <w:rFonts w:cs="Segoe UI"/>
        </w:rPr>
        <w:t xml:space="preserve">. </w:t>
      </w:r>
      <w:r w:rsidR="005805CD">
        <w:rPr>
          <w:rFonts w:cs="Segoe UI"/>
        </w:rPr>
        <w:t xml:space="preserve">The </w:t>
      </w:r>
      <w:r w:rsidR="00973DC0">
        <w:rPr>
          <w:rFonts w:cs="Segoe UI"/>
        </w:rPr>
        <w:t xml:space="preserve">contraction in EU </w:t>
      </w:r>
      <w:r w:rsidR="004A57AE">
        <w:rPr>
          <w:rFonts w:cs="Segoe UI"/>
        </w:rPr>
        <w:t>demand</w:t>
      </w:r>
      <w:r w:rsidR="00830073">
        <w:rPr>
          <w:rFonts w:cs="Segoe UI"/>
        </w:rPr>
        <w:t>—due to</w:t>
      </w:r>
      <w:r w:rsidR="00387A71">
        <w:rPr>
          <w:rFonts w:cs="Segoe UI"/>
        </w:rPr>
        <w:t xml:space="preserve"> higher domestic costs of goods and production—spills over </w:t>
      </w:r>
      <w:r w:rsidR="00704524">
        <w:rPr>
          <w:rFonts w:cs="Segoe UI"/>
        </w:rPr>
        <w:t xml:space="preserve">to cause a decline in Egyptian exports of </w:t>
      </w:r>
      <w:r w:rsidR="00387A71">
        <w:rPr>
          <w:rFonts w:cs="Segoe UI"/>
        </w:rPr>
        <w:t>non-CBAM goods</w:t>
      </w:r>
      <w:r w:rsidR="00704524">
        <w:rPr>
          <w:rFonts w:cs="Segoe UI"/>
        </w:rPr>
        <w:t>.</w:t>
      </w:r>
      <w:r w:rsidR="00D636ED">
        <w:rPr>
          <w:rFonts w:cs="Segoe UI"/>
        </w:rPr>
        <w:t xml:space="preserve"> </w:t>
      </w:r>
    </w:p>
    <w:p w14:paraId="1F5D9ACC" w14:textId="2388D877" w:rsidR="00493A24" w:rsidRDefault="00493A24" w:rsidP="00B322E9"/>
    <w:p w14:paraId="6A532286" w14:textId="49BB4174" w:rsidR="004A6499" w:rsidRDefault="004A6499" w:rsidP="004A6499">
      <w:pPr>
        <w:pStyle w:val="Caption"/>
        <w:keepNext/>
      </w:pPr>
      <w:r>
        <w:lastRenderedPageBreak/>
        <w:t xml:space="preserve">Figure </w:t>
      </w:r>
      <w:fldSimple w:instr=" SEQ Figure \* ARABIC ">
        <w:r w:rsidR="00A56AFF">
          <w:rPr>
            <w:noProof/>
          </w:rPr>
          <w:t>6</w:t>
        </w:r>
      </w:fldSimple>
      <w:r>
        <w:t>: CBAM-induced changes</w:t>
      </w:r>
      <w:r>
        <w:rPr>
          <w:noProof/>
        </w:rPr>
        <w:t xml:space="preserve"> in Egyptian exports</w:t>
      </w:r>
    </w:p>
    <w:p w14:paraId="79401244" w14:textId="1919645B" w:rsidR="004F0BFE" w:rsidRDefault="00835543" w:rsidP="00B322E9">
      <w:r>
        <w:rPr>
          <w:noProof/>
        </w:rPr>
        <w:drawing>
          <wp:inline distT="0" distB="0" distL="0" distR="0" wp14:anchorId="6D1718A8" wp14:editId="7AF3078B">
            <wp:extent cx="5943600" cy="2459736"/>
            <wp:effectExtent l="0" t="0" r="0" b="0"/>
            <wp:docPr id="103894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459736"/>
                    </a:xfrm>
                    <a:prstGeom prst="rect">
                      <a:avLst/>
                    </a:prstGeom>
                    <a:noFill/>
                  </pic:spPr>
                </pic:pic>
              </a:graphicData>
            </a:graphic>
          </wp:inline>
        </w:drawing>
      </w:r>
      <w:r w:rsidR="007269AE">
        <w:br/>
      </w:r>
      <w:r w:rsidR="007269AE" w:rsidRPr="007269AE">
        <w:rPr>
          <w:sz w:val="18"/>
          <w:szCs w:val="18"/>
        </w:rPr>
        <w:t>Source: Alsharkas</w:t>
      </w:r>
      <w:r w:rsidR="007269AE" w:rsidRPr="007269AE">
        <w:rPr>
          <w:rFonts w:cs="Segoe UI"/>
          <w:sz w:val="18"/>
          <w:szCs w:val="18"/>
        </w:rPr>
        <w:t xml:space="preserve"> et al. (2026)</w:t>
      </w:r>
    </w:p>
    <w:p w14:paraId="6549B8B7" w14:textId="4C65CDA7" w:rsidR="0029322E" w:rsidRDefault="00C274BE" w:rsidP="00B322E9">
      <w:r w:rsidRPr="00C065A0">
        <w:rPr>
          <w:b/>
          <w:bCs/>
        </w:rPr>
        <w:t xml:space="preserve">Compared to regional peers, </w:t>
      </w:r>
      <w:r w:rsidR="004E4577" w:rsidRPr="00C065A0">
        <w:rPr>
          <w:b/>
          <w:bCs/>
        </w:rPr>
        <w:t>the CBAM scenario</w:t>
      </w:r>
      <w:r w:rsidR="002C70F9" w:rsidRPr="00C065A0">
        <w:rPr>
          <w:b/>
          <w:bCs/>
        </w:rPr>
        <w:t xml:space="preserve"> </w:t>
      </w:r>
      <w:r w:rsidR="00A54511" w:rsidRPr="00C065A0">
        <w:rPr>
          <w:b/>
          <w:bCs/>
        </w:rPr>
        <w:t>has relatively small effects on Egypt’s terms of trade.</w:t>
      </w:r>
      <w:r w:rsidR="00840FC1">
        <w:t xml:space="preserve"> Morocco stands out </w:t>
      </w:r>
      <w:r w:rsidR="00ED6652">
        <w:t xml:space="preserve">with the largest </w:t>
      </w:r>
      <w:r w:rsidR="00840FC1">
        <w:t>improve</w:t>
      </w:r>
      <w:r w:rsidR="00ED6652">
        <w:t>ment</w:t>
      </w:r>
      <w:r w:rsidR="00840FC1">
        <w:t xml:space="preserve"> terms of trade</w:t>
      </w:r>
      <w:r w:rsidR="00EB1422">
        <w:t>, due to its l</w:t>
      </w:r>
      <w:r w:rsidR="00ED6652">
        <w:t xml:space="preserve">ower carbon intensity </w:t>
      </w:r>
      <w:r w:rsidR="00B31E44">
        <w:t>among its main CBAM exports</w:t>
      </w:r>
      <w:r w:rsidR="00ED6652">
        <w:t xml:space="preserve"> </w:t>
      </w:r>
      <w:r w:rsidR="00D76677">
        <w:t>and</w:t>
      </w:r>
      <w:r w:rsidR="00ED6652">
        <w:t xml:space="preserve"> </w:t>
      </w:r>
      <w:r w:rsidR="009B2F6B">
        <w:t xml:space="preserve">its </w:t>
      </w:r>
      <w:r w:rsidR="00ED6652">
        <w:t>status as a fossil</w:t>
      </w:r>
      <w:r w:rsidR="009B2F6B">
        <w:t>-</w:t>
      </w:r>
      <w:r w:rsidR="00ED6652">
        <w:t>fuel importer, benef</w:t>
      </w:r>
      <w:r w:rsidR="009B2F6B">
        <w:t xml:space="preserve">itting from downward pressure on global fuel prices. </w:t>
      </w:r>
      <w:r w:rsidR="00640F89">
        <w:t xml:space="preserve">All of the major fossil-fuel exporters </w:t>
      </w:r>
      <w:r w:rsidR="009B2F6B">
        <w:t>suffer decrease</w:t>
      </w:r>
      <w:r w:rsidR="00640F89">
        <w:t>s</w:t>
      </w:r>
      <w:r w:rsidR="009B2F6B">
        <w:t xml:space="preserve"> in </w:t>
      </w:r>
      <w:r w:rsidR="00390F33">
        <w:t xml:space="preserve">their </w:t>
      </w:r>
      <w:r w:rsidR="009B2F6B">
        <w:t>terms of trade</w:t>
      </w:r>
      <w:r w:rsidR="00390F33">
        <w:t>, with Algeria experiencing the largest</w:t>
      </w:r>
      <w:r w:rsidR="009B2F6B">
        <w:t>.</w:t>
      </w:r>
      <w:r w:rsidR="00ED6652">
        <w:t xml:space="preserve"> </w:t>
      </w:r>
      <w:commentRangeStart w:id="39"/>
      <w:r w:rsidR="00BC0666">
        <w:t>Egypt</w:t>
      </w:r>
      <w:r w:rsidR="00C66E52">
        <w:t>, by contrast,</w:t>
      </w:r>
      <w:r w:rsidR="00BC0666">
        <w:t xml:space="preserve"> has a </w:t>
      </w:r>
      <w:r w:rsidR="00E8713C">
        <w:t>fairly balanced net export position in oil and gas.</w:t>
      </w:r>
      <w:commentRangeEnd w:id="39"/>
      <w:r w:rsidR="00584F4A">
        <w:rPr>
          <w:rStyle w:val="CommentReference"/>
          <w:sz w:val="22"/>
          <w:szCs w:val="22"/>
        </w:rPr>
        <w:commentReference w:id="39"/>
      </w:r>
    </w:p>
    <w:p w14:paraId="2E2D9EDE" w14:textId="73D75177" w:rsidR="004979F1" w:rsidRDefault="004979F1" w:rsidP="004979F1">
      <w:pPr>
        <w:pStyle w:val="Caption"/>
        <w:keepNext/>
      </w:pPr>
      <w:r>
        <w:t xml:space="preserve">Figure </w:t>
      </w:r>
      <w:fldSimple w:instr=" SEQ Figure \* ARABIC ">
        <w:r w:rsidR="00A56AFF">
          <w:rPr>
            <w:noProof/>
          </w:rPr>
          <w:t>7</w:t>
        </w:r>
      </w:fldSimple>
      <w:r>
        <w:t>: CBAM policy-induced changes in terms of trade across selected MENA countries</w:t>
      </w:r>
    </w:p>
    <w:p w14:paraId="7FB73D8F" w14:textId="3F5224D9" w:rsidR="00A54511" w:rsidRDefault="00A54511" w:rsidP="00B322E9">
      <w:r>
        <w:rPr>
          <w:noProof/>
        </w:rPr>
        <w:drawing>
          <wp:inline distT="0" distB="0" distL="0" distR="0" wp14:anchorId="5D96AD06" wp14:editId="3BCC7ADD">
            <wp:extent cx="5943600" cy="2459736"/>
            <wp:effectExtent l="0" t="0" r="0" b="0"/>
            <wp:docPr id="15122534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459736"/>
                    </a:xfrm>
                    <a:prstGeom prst="rect">
                      <a:avLst/>
                    </a:prstGeom>
                    <a:noFill/>
                  </pic:spPr>
                </pic:pic>
              </a:graphicData>
            </a:graphic>
          </wp:inline>
        </w:drawing>
      </w:r>
      <w:r w:rsidR="007269AE">
        <w:br/>
      </w:r>
      <w:r w:rsidR="007269AE" w:rsidRPr="007269AE">
        <w:rPr>
          <w:sz w:val="18"/>
          <w:szCs w:val="18"/>
        </w:rPr>
        <w:t>Source: Alsharkas</w:t>
      </w:r>
      <w:r w:rsidR="007269AE" w:rsidRPr="007269AE">
        <w:rPr>
          <w:rFonts w:cs="Segoe UI"/>
          <w:sz w:val="18"/>
          <w:szCs w:val="18"/>
        </w:rPr>
        <w:t xml:space="preserve"> et al. (2026)</w:t>
      </w:r>
    </w:p>
    <w:p w14:paraId="52EAB32D" w14:textId="0722F50B" w:rsidR="007F783B" w:rsidRDefault="007F783B" w:rsidP="00B322E9">
      <w:r w:rsidRPr="00AF565D">
        <w:rPr>
          <w:b/>
          <w:bCs/>
        </w:rPr>
        <w:t>In terms of GDP,</w:t>
      </w:r>
      <w:r w:rsidR="00C621A2" w:rsidRPr="00AF565D">
        <w:rPr>
          <w:b/>
          <w:bCs/>
        </w:rPr>
        <w:t xml:space="preserve"> the full implementation of the CBAM policy</w:t>
      </w:r>
      <w:r w:rsidR="005A21E9" w:rsidRPr="00AF565D">
        <w:rPr>
          <w:b/>
          <w:bCs/>
        </w:rPr>
        <w:t>—along with its worldwide impacts—leads to a roughly 0.2% decrease in Egyptian GDP.</w:t>
      </w:r>
      <w:r w:rsidR="005A21E9">
        <w:t xml:space="preserve"> </w:t>
      </w:r>
      <w:r w:rsidR="00460342">
        <w:t>This</w:t>
      </w:r>
      <w:r w:rsidR="00726027">
        <w:t xml:space="preserve"> </w:t>
      </w:r>
      <w:r w:rsidR="007E6335">
        <w:t xml:space="preserve">effect is modest but </w:t>
      </w:r>
      <w:r w:rsidR="007E6335">
        <w:lastRenderedPageBreak/>
        <w:t>relative</w:t>
      </w:r>
      <w:r w:rsidR="00AF565D">
        <w:t>ly</w:t>
      </w:r>
      <w:r w:rsidR="007E6335">
        <w:t xml:space="preserve"> large compared to peers, likely due to Egypt’s close trade relations with the EU</w:t>
      </w:r>
      <w:r w:rsidR="00EB7B8A">
        <w:t xml:space="preserve"> and the loss in demand for imports more generally.</w:t>
      </w:r>
    </w:p>
    <w:p w14:paraId="6C931D02" w14:textId="5D47ACE0" w:rsidR="00A56AFF" w:rsidRDefault="00A56AFF" w:rsidP="00A56AFF">
      <w:pPr>
        <w:pStyle w:val="Caption"/>
        <w:keepNext/>
      </w:pPr>
      <w:r>
        <w:t xml:space="preserve">Figure </w:t>
      </w:r>
      <w:fldSimple w:instr=" SEQ Figure \* ARABIC ">
        <w:r>
          <w:rPr>
            <w:noProof/>
          </w:rPr>
          <w:t>8</w:t>
        </w:r>
      </w:fldSimple>
      <w:r w:rsidR="00D532EC">
        <w:t xml:space="preserve">: GDP impacts </w:t>
      </w:r>
      <w:r w:rsidR="005043C4">
        <w:t xml:space="preserve">across MENA region </w:t>
      </w:r>
      <w:r w:rsidR="00D532EC">
        <w:t xml:space="preserve">of </w:t>
      </w:r>
      <w:r w:rsidR="005043C4">
        <w:t>CBAM implementation</w:t>
      </w:r>
    </w:p>
    <w:p w14:paraId="2001FDA9" w14:textId="702650F4" w:rsidR="007F783B" w:rsidRDefault="007F783B" w:rsidP="00B322E9">
      <w:commentRangeStart w:id="40"/>
      <w:commentRangeStart w:id="41"/>
      <w:r>
        <w:rPr>
          <w:noProof/>
        </w:rPr>
        <w:drawing>
          <wp:inline distT="0" distB="0" distL="0" distR="0" wp14:anchorId="172655A0" wp14:editId="6DE90EE9">
            <wp:extent cx="5943600" cy="2459736"/>
            <wp:effectExtent l="0" t="0" r="0" b="0"/>
            <wp:docPr id="15018963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459736"/>
                    </a:xfrm>
                    <a:prstGeom prst="rect">
                      <a:avLst/>
                    </a:prstGeom>
                    <a:noFill/>
                  </pic:spPr>
                </pic:pic>
              </a:graphicData>
            </a:graphic>
          </wp:inline>
        </w:drawing>
      </w:r>
      <w:commentRangeEnd w:id="40"/>
      <w:r w:rsidR="00D76677">
        <w:rPr>
          <w:rStyle w:val="CommentReference"/>
          <w:sz w:val="22"/>
          <w:szCs w:val="22"/>
        </w:rPr>
        <w:commentReference w:id="40"/>
      </w:r>
      <w:commentRangeEnd w:id="41"/>
      <w:r>
        <w:rPr>
          <w:rStyle w:val="CommentReference"/>
          <w:sz w:val="22"/>
          <w:szCs w:val="22"/>
        </w:rPr>
        <w:commentReference w:id="41"/>
      </w:r>
      <w:r w:rsidR="007269AE">
        <w:br/>
      </w:r>
      <w:r w:rsidR="007269AE" w:rsidRPr="007269AE">
        <w:rPr>
          <w:sz w:val="18"/>
          <w:szCs w:val="18"/>
        </w:rPr>
        <w:t>Source: Alsharkas</w:t>
      </w:r>
      <w:r w:rsidR="007269AE" w:rsidRPr="007269AE">
        <w:rPr>
          <w:rFonts w:cs="Segoe UI"/>
          <w:sz w:val="18"/>
          <w:szCs w:val="18"/>
        </w:rPr>
        <w:t xml:space="preserve"> et al. (2026)</w:t>
      </w:r>
    </w:p>
    <w:p w14:paraId="2FA3ED43" w14:textId="0923B469" w:rsidR="00FA660A" w:rsidRDefault="00FA660A" w:rsidP="00B322E9">
      <w:r w:rsidRPr="00B66F02">
        <w:rPr>
          <w:b/>
          <w:bCs/>
        </w:rPr>
        <w:t>However, in welf</w:t>
      </w:r>
      <w:r w:rsidR="00987665" w:rsidRPr="00B66F02">
        <w:rPr>
          <w:b/>
          <w:bCs/>
        </w:rPr>
        <w:t>are terms</w:t>
      </w:r>
      <w:r w:rsidR="004A0E65" w:rsidRPr="00B66F02">
        <w:rPr>
          <w:b/>
          <w:bCs/>
        </w:rPr>
        <w:t>, Egypt</w:t>
      </w:r>
      <w:r w:rsidR="00EB31EC" w:rsidRPr="00B66F02">
        <w:rPr>
          <w:b/>
          <w:bCs/>
        </w:rPr>
        <w:t xml:space="preserve"> is less affected than its fossil-fuel exporting neighbors</w:t>
      </w:r>
      <w:r w:rsidR="00EB31EC">
        <w:t xml:space="preserve">, who lose </w:t>
      </w:r>
      <w:r w:rsidR="007028BE">
        <w:t xml:space="preserve">buying power for </w:t>
      </w:r>
      <w:r w:rsidR="00EB31EC">
        <w:t>consumption</w:t>
      </w:r>
      <w:r w:rsidR="007028BE">
        <w:t xml:space="preserve"> due to the erosion of terms of trade.</w:t>
      </w:r>
    </w:p>
    <w:p w14:paraId="0A0E82AC" w14:textId="5C0A6426" w:rsidR="00932F0E" w:rsidRDefault="00932F0E" w:rsidP="00932F0E">
      <w:pPr>
        <w:pStyle w:val="Caption"/>
        <w:keepNext/>
      </w:pPr>
      <w:r>
        <w:t xml:space="preserve">Figure </w:t>
      </w:r>
      <w:fldSimple w:instr=" SEQ Figure \* ARABIC ">
        <w:r w:rsidR="00A56AFF">
          <w:rPr>
            <w:noProof/>
          </w:rPr>
          <w:t>9</w:t>
        </w:r>
      </w:fldSimple>
      <w:r>
        <w:t>: Welfare effects of CBAM implementation</w:t>
      </w:r>
    </w:p>
    <w:p w14:paraId="53874FE6" w14:textId="5CFB8413" w:rsidR="007028BE" w:rsidRDefault="007028BE" w:rsidP="00B322E9">
      <w:r>
        <w:rPr>
          <w:noProof/>
        </w:rPr>
        <w:drawing>
          <wp:inline distT="0" distB="0" distL="0" distR="0" wp14:anchorId="455C2A07" wp14:editId="56216BA2">
            <wp:extent cx="5943600" cy="2459736"/>
            <wp:effectExtent l="0" t="0" r="0" b="0"/>
            <wp:docPr id="271868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459736"/>
                    </a:xfrm>
                    <a:prstGeom prst="rect">
                      <a:avLst/>
                    </a:prstGeom>
                    <a:noFill/>
                  </pic:spPr>
                </pic:pic>
              </a:graphicData>
            </a:graphic>
          </wp:inline>
        </w:drawing>
      </w:r>
      <w:r w:rsidR="007269AE">
        <w:br/>
      </w:r>
      <w:r w:rsidR="007269AE" w:rsidRPr="007269AE">
        <w:rPr>
          <w:sz w:val="18"/>
          <w:szCs w:val="18"/>
        </w:rPr>
        <w:t>Source: Alsharkas</w:t>
      </w:r>
      <w:r w:rsidR="007269AE" w:rsidRPr="007269AE">
        <w:rPr>
          <w:rFonts w:cs="Segoe UI"/>
          <w:sz w:val="18"/>
          <w:szCs w:val="18"/>
        </w:rPr>
        <w:t xml:space="preserve"> et al. (2026)</w:t>
      </w:r>
    </w:p>
    <w:p w14:paraId="6396AC8E" w14:textId="61433D50" w:rsidR="00C40750" w:rsidRPr="00D806D8" w:rsidRDefault="006721FD" w:rsidP="00D806D8">
      <w:r w:rsidRPr="00CD51C3">
        <w:rPr>
          <w:b/>
          <w:bCs/>
        </w:rPr>
        <w:t xml:space="preserve">These </w:t>
      </w:r>
      <w:r w:rsidR="00784BE7" w:rsidRPr="00CD51C3">
        <w:rPr>
          <w:b/>
          <w:bCs/>
        </w:rPr>
        <w:t>simulations assume</w:t>
      </w:r>
      <w:r w:rsidR="001870C6">
        <w:t xml:space="preserve"> </w:t>
      </w:r>
      <w:r w:rsidR="001870C6" w:rsidRPr="11357084">
        <w:rPr>
          <w:b/>
          <w:bCs/>
          <w:color w:val="000000" w:themeColor="text1"/>
        </w:rPr>
        <w:t xml:space="preserve">the absence of </w:t>
      </w:r>
      <w:r w:rsidR="00767FB0">
        <w:rPr>
          <w:b/>
          <w:bCs/>
          <w:color w:val="000000" w:themeColor="text1"/>
        </w:rPr>
        <w:t>any</w:t>
      </w:r>
      <w:r w:rsidR="001870C6" w:rsidRPr="11357084">
        <w:rPr>
          <w:b/>
          <w:bCs/>
          <w:color w:val="000000" w:themeColor="text1"/>
        </w:rPr>
        <w:t xml:space="preserve"> direct carbon price instrument in Egypt</w:t>
      </w:r>
      <w:r w:rsidR="00847929">
        <w:rPr>
          <w:b/>
          <w:bCs/>
          <w:color w:val="000000" w:themeColor="text1"/>
        </w:rPr>
        <w:t xml:space="preserve">. </w:t>
      </w:r>
      <w:r w:rsidR="00847929" w:rsidRPr="00847929">
        <w:rPr>
          <w:color w:val="000000" w:themeColor="text1"/>
        </w:rPr>
        <w:t>In this case</w:t>
      </w:r>
      <w:r w:rsidR="001870C6" w:rsidRPr="00847929">
        <w:rPr>
          <w:color w:val="000000" w:themeColor="text1"/>
        </w:rPr>
        <w:t>, the EU CBAM could result in significant carbon revenue transfers to the EU by importers of Egyptian exports.</w:t>
      </w:r>
      <w:r w:rsidR="001870C6" w:rsidRPr="11357084">
        <w:rPr>
          <w:color w:val="000000" w:themeColor="text1"/>
        </w:rPr>
        <w:t xml:space="preserve"> </w:t>
      </w:r>
      <w:r w:rsidR="001870C6">
        <w:t>In the absence of a carbon tax or an ETS, estimates based on historical export data, default emission factors, and an EU ETS price of USD 100 per metric ton of CO</w:t>
      </w:r>
      <w:r w:rsidR="001870C6" w:rsidRPr="11357084">
        <w:rPr>
          <w:vertAlign w:val="subscript"/>
        </w:rPr>
        <w:t>2</w:t>
      </w:r>
      <w:r w:rsidR="001870C6">
        <w:t xml:space="preserve">e suggest </w:t>
      </w:r>
      <w:commentRangeStart w:id="42"/>
      <w:r w:rsidR="001870C6">
        <w:t xml:space="preserve">that EU importers of Egyptian exports could incur USD </w:t>
      </w:r>
      <w:r w:rsidR="00F30064">
        <w:t>400</w:t>
      </w:r>
      <w:r w:rsidR="001870C6">
        <w:t xml:space="preserve"> </w:t>
      </w:r>
      <w:r w:rsidR="00F30064">
        <w:t>m</w:t>
      </w:r>
      <w:r w:rsidR="001870C6">
        <w:t xml:space="preserve">illion annually in carbon payments </w:t>
      </w:r>
      <w:r w:rsidR="001870C6">
        <w:lastRenderedPageBreak/>
        <w:t xml:space="preserve">to the EU once the CBAM is fully phased in (and twice that if the additional 180 products are included). </w:t>
      </w:r>
      <w:commentRangeEnd w:id="42"/>
      <w:r w:rsidR="001F5A7A">
        <w:rPr>
          <w:rStyle w:val="CommentReference"/>
          <w:sz w:val="22"/>
          <w:szCs w:val="22"/>
        </w:rPr>
        <w:commentReference w:id="42"/>
      </w:r>
      <w:r w:rsidR="001870C6">
        <w:t>This amount represents around 0.2</w:t>
      </w:r>
      <w:r w:rsidR="00D96EB0">
        <w:t>8</w:t>
      </w:r>
      <w:r w:rsidR="001870C6">
        <w:t xml:space="preserve">% of GDP or </w:t>
      </w:r>
      <w:r w:rsidR="00664160">
        <w:t xml:space="preserve">roughly </w:t>
      </w:r>
      <w:r w:rsidR="000521EB">
        <w:t>1.5</w:t>
      </w:r>
      <w:r w:rsidR="001870C6">
        <w:t>% of Egypt's total annual tax revenues</w:t>
      </w:r>
      <w:r w:rsidR="00D53B9B">
        <w:t xml:space="preserve">—a </w:t>
      </w:r>
      <w:r w:rsidR="001870C6">
        <w:t xml:space="preserve">significant fiscal opportunity. </w:t>
      </w:r>
    </w:p>
    <w:p w14:paraId="704FB23C" w14:textId="5E2A271A" w:rsidR="006575DE" w:rsidRDefault="00F03E09" w:rsidP="00C4712D">
      <w:pPr>
        <w:pStyle w:val="Heading2"/>
      </w:pPr>
      <w:bookmarkStart w:id="43" w:name="_Toc234844389"/>
      <w:r>
        <w:t>Risks and opportunities from CBAM for Egypt</w:t>
      </w:r>
      <w:bookmarkEnd w:id="43"/>
    </w:p>
    <w:p w14:paraId="010EBEA5" w14:textId="6739AF45" w:rsidR="00A1577D" w:rsidRDefault="005D1845" w:rsidP="00C4712D">
      <w:r w:rsidRPr="00256FAA">
        <w:rPr>
          <w:b/>
          <w:bCs/>
        </w:rPr>
        <w:t xml:space="preserve">The main risks from CBAM </w:t>
      </w:r>
      <w:r w:rsidR="00EE61A4" w:rsidRPr="00256FAA">
        <w:rPr>
          <w:b/>
          <w:bCs/>
        </w:rPr>
        <w:t>relate to the required</w:t>
      </w:r>
      <w:r w:rsidR="00256FAA" w:rsidRPr="00256FAA">
        <w:rPr>
          <w:b/>
          <w:bCs/>
        </w:rPr>
        <w:t xml:space="preserve"> monitoring, reporting, and verification</w:t>
      </w:r>
      <w:r w:rsidR="00EE755C">
        <w:rPr>
          <w:b/>
          <w:bCs/>
        </w:rPr>
        <w:t xml:space="preserve"> (MRV)</w:t>
      </w:r>
      <w:r w:rsidR="00256FAA" w:rsidRPr="00256FAA">
        <w:rPr>
          <w:b/>
          <w:bCs/>
        </w:rPr>
        <w:t xml:space="preserve">. </w:t>
      </w:r>
      <w:r w:rsidR="00256FAA" w:rsidRPr="00256FAA">
        <w:t>Wi</w:t>
      </w:r>
      <w:r w:rsidR="00256FAA">
        <w:t>thout robust</w:t>
      </w:r>
      <w:r w:rsidR="00BC5179">
        <w:t xml:space="preserve"> </w:t>
      </w:r>
      <w:r w:rsidR="00EE755C">
        <w:t xml:space="preserve">MRV </w:t>
      </w:r>
      <w:r w:rsidR="00BC5179">
        <w:t>systems and accredited verifiers</w:t>
      </w:r>
      <w:r w:rsidR="001E69AB">
        <w:t xml:space="preserve"> </w:t>
      </w:r>
      <w:r w:rsidR="00EE755C">
        <w:t xml:space="preserve">available </w:t>
      </w:r>
      <w:r w:rsidR="001E69AB">
        <w:t>for Egyptian producers</w:t>
      </w:r>
      <w:r w:rsidR="00BC5179">
        <w:t>, importers of Egyptian</w:t>
      </w:r>
      <w:r w:rsidR="001E69AB">
        <w:t xml:space="preserve"> </w:t>
      </w:r>
      <w:r w:rsidR="007151A7">
        <w:t>CBAM goods</w:t>
      </w:r>
      <w:r w:rsidR="001E69AB">
        <w:t xml:space="preserve"> will </w:t>
      </w:r>
      <w:r w:rsidR="007151A7">
        <w:t xml:space="preserve">need to </w:t>
      </w:r>
      <w:r w:rsidR="001E69AB">
        <w:t xml:space="preserve">rely on the </w:t>
      </w:r>
      <w:r w:rsidR="00776DAA">
        <w:t>assigned default values</w:t>
      </w:r>
      <w:r w:rsidR="00C95C75">
        <w:t xml:space="preserve"> from third countries</w:t>
      </w:r>
      <w:r w:rsidR="00776DAA">
        <w:t xml:space="preserve">, which </w:t>
      </w:r>
      <w:r w:rsidR="004B753B">
        <w:t xml:space="preserve">are </w:t>
      </w:r>
      <w:r w:rsidR="00C95C75">
        <w:t xml:space="preserve">likely </w:t>
      </w:r>
      <w:r w:rsidR="004B753B">
        <w:t xml:space="preserve">higher than </w:t>
      </w:r>
      <w:r w:rsidR="00C95C75">
        <w:t>the actual emissions intensity of the local industry (</w:t>
      </w:r>
      <w:r w:rsidR="004B753B">
        <w:t>for domestic steel in particular</w:t>
      </w:r>
      <w:r w:rsidR="00C95C75">
        <w:t>)</w:t>
      </w:r>
      <w:r w:rsidR="00BB3FB9">
        <w:t>. Notably</w:t>
      </w:r>
      <w:r w:rsidR="004B753B">
        <w:t xml:space="preserve">, </w:t>
      </w:r>
      <w:r w:rsidR="00BB3FB9">
        <w:t xml:space="preserve">the defaults </w:t>
      </w:r>
      <w:r w:rsidR="004B753B">
        <w:t xml:space="preserve">for all products </w:t>
      </w:r>
      <w:r w:rsidR="00BB3FB9">
        <w:t xml:space="preserve">will </w:t>
      </w:r>
      <w:r w:rsidR="00776DAA">
        <w:t xml:space="preserve">have </w:t>
      </w:r>
      <w:r w:rsidR="004B753B">
        <w:t xml:space="preserve">a 30% markup </w:t>
      </w:r>
      <w:r w:rsidR="00AE7BA2">
        <w:t>within three years</w:t>
      </w:r>
      <w:r w:rsidR="00BB3FB9">
        <w:t xml:space="preserve">, with the exception of </w:t>
      </w:r>
      <w:r w:rsidR="007151A7">
        <w:t>fertilizers</w:t>
      </w:r>
      <w:r w:rsidR="00BB3FB9">
        <w:t>, which will</w:t>
      </w:r>
      <w:r w:rsidR="007151A7">
        <w:t xml:space="preserve"> have a lower, 1%, markup</w:t>
      </w:r>
      <w:r w:rsidR="00AE7BA2">
        <w:t xml:space="preserve">. </w:t>
      </w:r>
      <w:r w:rsidR="00D337DC">
        <w:t xml:space="preserve">To avoid extra charges and remain competitive, </w:t>
      </w:r>
      <w:r w:rsidR="00AE7BA2">
        <w:t>Egyptian exporters will</w:t>
      </w:r>
      <w:r w:rsidR="007E71ED">
        <w:t xml:space="preserve"> need to </w:t>
      </w:r>
      <w:r w:rsidR="0089248C">
        <w:t xml:space="preserve">be able </w:t>
      </w:r>
      <w:r w:rsidR="007E71ED">
        <w:t xml:space="preserve">report their </w:t>
      </w:r>
      <w:r w:rsidR="0089248C">
        <w:t xml:space="preserve">actual </w:t>
      </w:r>
      <w:r w:rsidR="007E71ED">
        <w:t xml:space="preserve">emissions </w:t>
      </w:r>
      <w:r w:rsidR="0089248C">
        <w:t>to the EU importers</w:t>
      </w:r>
      <w:r w:rsidR="007E71ED">
        <w:t xml:space="preserve">. </w:t>
      </w:r>
    </w:p>
    <w:p w14:paraId="3C6C92B8" w14:textId="17848DA0" w:rsidR="00C4712D" w:rsidRDefault="0048606F" w:rsidP="00C4712D">
      <w:r w:rsidRPr="00006044">
        <w:rPr>
          <w:b/>
          <w:bCs/>
        </w:rPr>
        <w:t xml:space="preserve">EU Member States’ National Accreditation Bodies are now in the process </w:t>
      </w:r>
      <w:r w:rsidR="00280CCE" w:rsidRPr="00006044">
        <w:rPr>
          <w:b/>
          <w:bCs/>
        </w:rPr>
        <w:t>of accrediting verifiers for CBAM</w:t>
      </w:r>
      <w:r w:rsidR="00D313C7" w:rsidRPr="00006044">
        <w:rPr>
          <w:b/>
          <w:bCs/>
        </w:rPr>
        <w:t>.</w:t>
      </w:r>
      <w:r w:rsidR="00D313C7">
        <w:t xml:space="preserve"> </w:t>
      </w:r>
      <w:r w:rsidR="00520CEC">
        <w:t xml:space="preserve">National Accreditation Bodies in some EU </w:t>
      </w:r>
      <w:r w:rsidR="008951F3">
        <w:t xml:space="preserve">countries have </w:t>
      </w:r>
      <w:r w:rsidR="007E79C1">
        <w:t xml:space="preserve">already </w:t>
      </w:r>
      <w:r w:rsidR="00D313C7" w:rsidRPr="00CD713F">
        <w:t xml:space="preserve">started </w:t>
      </w:r>
      <w:r w:rsidR="00387810" w:rsidRPr="00CD713F">
        <w:t xml:space="preserve">accepting applications </w:t>
      </w:r>
      <w:r w:rsidR="00053271">
        <w:t xml:space="preserve">not only from verifiers established in the EU but also from those </w:t>
      </w:r>
      <w:r w:rsidR="00387810" w:rsidRPr="00CD713F">
        <w:t xml:space="preserve">established outside the EU. </w:t>
      </w:r>
      <w:r w:rsidR="00053271">
        <w:t xml:space="preserve">At the same time, </w:t>
      </w:r>
      <w:r w:rsidR="00DA3993">
        <w:t>the Egyptian Ministry of Foreign Trade is taking steps</w:t>
      </w:r>
      <w:r w:rsidR="00187C8B">
        <w:t xml:space="preserve"> to </w:t>
      </w:r>
      <w:r w:rsidR="003857B3">
        <w:t>get ready</w:t>
      </w:r>
      <w:r w:rsidR="00187C8B">
        <w:t>, introducing a platform for emissions data management.</w:t>
      </w:r>
      <w:r w:rsidR="00B37DB5">
        <w:t xml:space="preserve"> The ultimate costs of verifying shipments</w:t>
      </w:r>
      <w:r w:rsidR="00D726DD">
        <w:t xml:space="preserve"> </w:t>
      </w:r>
      <w:r w:rsidR="00F25573">
        <w:t xml:space="preserve">are </w:t>
      </w:r>
      <w:r w:rsidR="00D726DD">
        <w:t>still uncertain, but they could fall</w:t>
      </w:r>
      <w:r w:rsidR="00066717">
        <w:t xml:space="preserve"> more heavily on smaller exporters. If small exporters are working with</w:t>
      </w:r>
      <w:r w:rsidR="00A61B3E">
        <w:t xml:space="preserve"> small importers in the EU, they might fall under</w:t>
      </w:r>
      <w:r w:rsidR="00F46CB4">
        <w:t xml:space="preserve"> the</w:t>
      </w:r>
      <w:r w:rsidR="00A61B3E">
        <w:t xml:space="preserve"> </w:t>
      </w:r>
      <w:r w:rsidR="00CD713F">
        <w:t xml:space="preserve">latter’s </w:t>
      </w:r>
      <w:r w:rsidR="007A63B1">
        <w:t>50</w:t>
      </w:r>
      <w:r w:rsidR="00F46CB4">
        <w:t>-</w:t>
      </w:r>
      <w:r w:rsidR="007A63B1">
        <w:t>ton</w:t>
      </w:r>
      <w:r w:rsidR="00F46CB4">
        <w:t xml:space="preserve">ne </w:t>
      </w:r>
      <w:r w:rsidR="007A63B1">
        <w:t xml:space="preserve">threshold </w:t>
      </w:r>
      <w:r w:rsidR="00F46CB4">
        <w:t xml:space="preserve">for </w:t>
      </w:r>
      <w:r w:rsidR="007A63B1">
        <w:t xml:space="preserve">exemption from the CBAM </w:t>
      </w:r>
      <w:commentRangeStart w:id="44"/>
      <w:r w:rsidR="007A63B1">
        <w:t>scope</w:t>
      </w:r>
      <w:commentRangeEnd w:id="44"/>
      <w:r w:rsidR="007A63B1">
        <w:rPr>
          <w:rStyle w:val="CommentReference"/>
          <w:sz w:val="22"/>
          <w:szCs w:val="22"/>
        </w:rPr>
        <w:commentReference w:id="44"/>
      </w:r>
      <w:r w:rsidR="00A61B3E">
        <w:t xml:space="preserve">. </w:t>
      </w:r>
      <w:r w:rsidR="006E418E">
        <w:t>The level and distribution of these costs</w:t>
      </w:r>
      <w:r w:rsidR="00893D2B">
        <w:t xml:space="preserve"> in terms of ad</w:t>
      </w:r>
      <w:r w:rsidR="00E73DFE">
        <w:t>-</w:t>
      </w:r>
      <w:r w:rsidR="00893D2B">
        <w:t>valorem equivalents on CBAM good</w:t>
      </w:r>
      <w:r w:rsidR="005525E9">
        <w:t>s</w:t>
      </w:r>
      <w:r w:rsidR="00893D2B">
        <w:t xml:space="preserve"> exports</w:t>
      </w:r>
      <w:r w:rsidR="00AB66D5">
        <w:t xml:space="preserve"> </w:t>
      </w:r>
      <w:r w:rsidR="00B55E94">
        <w:t>are important unresolved questions for</w:t>
      </w:r>
      <w:r w:rsidR="00E53163">
        <w:t xml:space="preserve"> assessing overall exposure, as well as the absence of firm-level information</w:t>
      </w:r>
      <w:r w:rsidR="0074414D">
        <w:t xml:space="preserve"> regarding Egyptian exporters and their emissions profiles.</w:t>
      </w:r>
    </w:p>
    <w:p w14:paraId="3C4EEA25" w14:textId="6176E9D2" w:rsidR="00026036" w:rsidRDefault="00237C69" w:rsidP="00C4712D">
      <w:commentRangeStart w:id="45"/>
      <w:commentRangeStart w:id="46"/>
      <w:commentRangeStart w:id="47"/>
      <w:r>
        <w:rPr>
          <w:b/>
          <w:bCs/>
        </w:rPr>
        <w:t>At the same time,</w:t>
      </w:r>
      <w:r w:rsidR="00026036" w:rsidRPr="00C579CA">
        <w:rPr>
          <w:b/>
          <w:bCs/>
        </w:rPr>
        <w:t xml:space="preserve"> </w:t>
      </w:r>
      <w:r w:rsidR="00744B3D" w:rsidRPr="00C579CA">
        <w:rPr>
          <w:b/>
          <w:bCs/>
        </w:rPr>
        <w:t>Egypt</w:t>
      </w:r>
      <w:r w:rsidR="00A2024E">
        <w:rPr>
          <w:b/>
          <w:bCs/>
        </w:rPr>
        <w:t xml:space="preserve"> </w:t>
      </w:r>
      <w:r w:rsidR="00A918D9">
        <w:rPr>
          <w:b/>
          <w:bCs/>
        </w:rPr>
        <w:t xml:space="preserve">could be </w:t>
      </w:r>
      <w:r w:rsidR="00351679">
        <w:rPr>
          <w:b/>
          <w:bCs/>
        </w:rPr>
        <w:t xml:space="preserve">well positioned </w:t>
      </w:r>
      <w:r w:rsidR="00A2024E">
        <w:rPr>
          <w:b/>
          <w:bCs/>
        </w:rPr>
        <w:t xml:space="preserve">to </w:t>
      </w:r>
      <w:r w:rsidR="00A03A83">
        <w:rPr>
          <w:b/>
          <w:bCs/>
        </w:rPr>
        <w:t xml:space="preserve">be able to </w:t>
      </w:r>
      <w:r w:rsidR="00A2024E">
        <w:rPr>
          <w:b/>
          <w:bCs/>
        </w:rPr>
        <w:t>benefit from the CBAM</w:t>
      </w:r>
      <w:r w:rsidR="00744B3D" w:rsidRPr="00C579CA">
        <w:rPr>
          <w:b/>
          <w:bCs/>
        </w:rPr>
        <w:t>, given its competitive emissions profile in these industries, its proximity to the EU</w:t>
      </w:r>
      <w:r w:rsidR="00C579CA" w:rsidRPr="00C579CA">
        <w:rPr>
          <w:b/>
          <w:bCs/>
        </w:rPr>
        <w:t xml:space="preserve"> to take advantage, and the demand that EU climate policies will create for </w:t>
      </w:r>
      <w:r w:rsidR="007B03B6">
        <w:rPr>
          <w:b/>
          <w:bCs/>
        </w:rPr>
        <w:t xml:space="preserve">its emerging </w:t>
      </w:r>
      <w:r w:rsidR="00C579CA" w:rsidRPr="00C579CA">
        <w:rPr>
          <w:b/>
          <w:bCs/>
        </w:rPr>
        <w:t xml:space="preserve">low-carbon </w:t>
      </w:r>
      <w:r w:rsidR="007B03B6">
        <w:rPr>
          <w:b/>
          <w:bCs/>
        </w:rPr>
        <w:t>industries</w:t>
      </w:r>
      <w:r w:rsidR="00C579CA" w:rsidRPr="00C579CA">
        <w:rPr>
          <w:b/>
          <w:bCs/>
        </w:rPr>
        <w:t xml:space="preserve">. </w:t>
      </w:r>
      <w:r w:rsidR="004A0BE7" w:rsidRPr="004A0BE7">
        <w:t>The</w:t>
      </w:r>
      <w:r w:rsidR="004A0BE7">
        <w:t xml:space="preserve"> latest data indicate that</w:t>
      </w:r>
      <w:r w:rsidR="00D82319">
        <w:t xml:space="preserve"> Egyptian producers </w:t>
      </w:r>
      <w:r w:rsidR="00AA2FE8">
        <w:t>have similar emission profiles to their EU and global peers and in some cases</w:t>
      </w:r>
      <w:r w:rsidR="0027457C">
        <w:t xml:space="preserve"> </w:t>
      </w:r>
      <w:r w:rsidR="000967CD">
        <w:t xml:space="preserve">outperform them. </w:t>
      </w:r>
      <w:r w:rsidR="000D5FE2">
        <w:t>The better performers within Egypt will then gain a competitive advantage serving EU markets</w:t>
      </w:r>
      <w:r w:rsidR="00970138">
        <w:t xml:space="preserve">—provided they </w:t>
      </w:r>
      <w:r w:rsidR="00AC7C81">
        <w:t xml:space="preserve">are able to </w:t>
      </w:r>
      <w:r w:rsidR="00970138">
        <w:t>document their emissions</w:t>
      </w:r>
      <w:r w:rsidR="00C32F20">
        <w:t xml:space="preserve"> according to the required CBAM methodology</w:t>
      </w:r>
      <w:r w:rsidR="00970138">
        <w:t xml:space="preserve">. </w:t>
      </w:r>
      <w:r w:rsidR="00A72657">
        <w:t>EU consumers will be paying a premium for low-carbon goods that carry fewer embedded emissions costs</w:t>
      </w:r>
      <w:r w:rsidR="008F3E3A">
        <w:t>, and Egypt is an established trade partner</w:t>
      </w:r>
      <w:r w:rsidR="00A72657">
        <w:t xml:space="preserve">. </w:t>
      </w:r>
      <w:r w:rsidR="00F23112">
        <w:t>The EU’s climate policy ambition, reinforced by the CBAM, will expand markets for</w:t>
      </w:r>
      <w:r w:rsidR="00AA67C8">
        <w:t xml:space="preserve"> green hydrogen and renewable electricity, </w:t>
      </w:r>
      <w:r w:rsidR="006970C5">
        <w:t xml:space="preserve">in </w:t>
      </w:r>
      <w:r w:rsidR="00AA67C8">
        <w:t>which Egypt is already</w:t>
      </w:r>
      <w:r w:rsidR="006970C5">
        <w:t xml:space="preserve"> negotiating strategic investments and partnerships</w:t>
      </w:r>
      <w:r w:rsidR="001F21D8">
        <w:t xml:space="preserve"> that will build jobs in a clean-energy economy.</w:t>
      </w:r>
    </w:p>
    <w:p w14:paraId="598E780A" w14:textId="44EBDB31" w:rsidR="00B64BA5" w:rsidRDefault="00081D42" w:rsidP="00C4712D">
      <w:r w:rsidRPr="1D6C09E6">
        <w:rPr>
          <w:b/>
          <w:bCs/>
        </w:rPr>
        <w:t xml:space="preserve">Egypt can also take advantage of the moment to </w:t>
      </w:r>
      <w:r w:rsidR="00CD3786" w:rsidRPr="1D6C09E6">
        <w:rPr>
          <w:b/>
          <w:bCs/>
        </w:rPr>
        <w:t>reinforce its own</w:t>
      </w:r>
      <w:r w:rsidR="00CB054B" w:rsidRPr="1D6C09E6">
        <w:rPr>
          <w:b/>
          <w:bCs/>
        </w:rPr>
        <w:t xml:space="preserve"> clean industrial ambitions </w:t>
      </w:r>
      <w:r w:rsidR="009C04A9" w:rsidRPr="1D6C09E6">
        <w:rPr>
          <w:b/>
          <w:bCs/>
        </w:rPr>
        <w:t>with synergistic</w:t>
      </w:r>
      <w:r w:rsidR="00533537" w:rsidRPr="1D6C09E6">
        <w:rPr>
          <w:b/>
          <w:bCs/>
        </w:rPr>
        <w:t xml:space="preserve"> CBAM response policies</w:t>
      </w:r>
      <w:r w:rsidR="00533537">
        <w:t xml:space="preserve">. </w:t>
      </w:r>
      <w:r w:rsidR="2A038702">
        <w:t xml:space="preserve">Egypt is currently building a national </w:t>
      </w:r>
      <w:r w:rsidR="66065490">
        <w:t xml:space="preserve">MRV </w:t>
      </w:r>
      <w:r w:rsidR="2A038702">
        <w:t xml:space="preserve">system </w:t>
      </w:r>
      <w:r w:rsidR="7CE2D511">
        <w:t xml:space="preserve">that could integrate industrial sector emissions for transparent reporting and to meet CBAM obligations. </w:t>
      </w:r>
      <w:r w:rsidR="00533537">
        <w:t xml:space="preserve">Building MRV capacity </w:t>
      </w:r>
      <w:r w:rsidR="00E02246">
        <w:t>for exporters lays much of the groundwork for</w:t>
      </w:r>
      <w:r w:rsidR="00A75EF6">
        <w:t xml:space="preserve"> the emissions </w:t>
      </w:r>
      <w:r w:rsidR="00A75EF6">
        <w:lastRenderedPageBreak/>
        <w:t xml:space="preserve">monitoring </w:t>
      </w:r>
      <w:r w:rsidR="00E519BB">
        <w:t xml:space="preserve">which may be </w:t>
      </w:r>
      <w:r w:rsidR="00147A34">
        <w:t xml:space="preserve">needed to design and enforce </w:t>
      </w:r>
      <w:r w:rsidR="00E519BB">
        <w:t xml:space="preserve">future </w:t>
      </w:r>
      <w:r w:rsidR="00147A34">
        <w:t>domestic emissions regulations.</w:t>
      </w:r>
      <w:r w:rsidR="0074617B">
        <w:t xml:space="preserve"> </w:t>
      </w:r>
      <w:r w:rsidR="00884875">
        <w:t>Implementing effective emission reduction policies will further improve the low-carbon competitiveness of Egyptian industries</w:t>
      </w:r>
      <w:r w:rsidR="00211E45">
        <w:t>, reduce CBAM obligations, and provide</w:t>
      </w:r>
      <w:r w:rsidR="00CA412B">
        <w:t xml:space="preserve"> local benefits in terms of improved air quality and health</w:t>
      </w:r>
      <w:r w:rsidR="00211E45">
        <w:t>.</w:t>
      </w:r>
      <w:r w:rsidR="00CA412B">
        <w:t xml:space="preserve"> </w:t>
      </w:r>
      <w:commentRangeEnd w:id="45"/>
      <w:r>
        <w:rPr>
          <w:rStyle w:val="CommentReference"/>
          <w:sz w:val="22"/>
          <w:szCs w:val="22"/>
        </w:rPr>
        <w:commentReference w:id="45"/>
      </w:r>
      <w:commentRangeEnd w:id="46"/>
      <w:r>
        <w:rPr>
          <w:rStyle w:val="CommentReference"/>
          <w:sz w:val="22"/>
          <w:szCs w:val="22"/>
        </w:rPr>
        <w:commentReference w:id="46"/>
      </w:r>
      <w:commentRangeEnd w:id="47"/>
      <w:r>
        <w:rPr>
          <w:rStyle w:val="CommentReference"/>
          <w:sz w:val="22"/>
          <w:szCs w:val="22"/>
        </w:rPr>
        <w:commentReference w:id="47"/>
      </w:r>
      <w:r w:rsidR="005955FD">
        <w:t>To the extent that these policies involve carbon pricing</w:t>
      </w:r>
      <w:r w:rsidR="005015F9">
        <w:t xml:space="preserve"> at </w:t>
      </w:r>
      <w:r w:rsidR="00B801B5">
        <w:t xml:space="preserve">the </w:t>
      </w:r>
      <w:r w:rsidR="005015F9">
        <w:t>installation level</w:t>
      </w:r>
      <w:r w:rsidR="00F45109">
        <w:t>, the benefits include both the cost-effectiveness of incentive-based measures</w:t>
      </w:r>
      <w:r w:rsidR="00D2708A">
        <w:t xml:space="preserve"> and also the reduction of CBAM obligations, recognizing the</w:t>
      </w:r>
      <w:r w:rsidR="008337AF">
        <w:t xml:space="preserve"> carbon payments already made. </w:t>
      </w:r>
      <w:r w:rsidR="00CB0486">
        <w:t xml:space="preserve">For Egyptian </w:t>
      </w:r>
      <w:r w:rsidR="007230EC">
        <w:t>exporters</w:t>
      </w:r>
      <w:r w:rsidR="00CB0486">
        <w:t xml:space="preserve">, </w:t>
      </w:r>
      <w:r w:rsidR="00FB707B">
        <w:t xml:space="preserve">the </w:t>
      </w:r>
      <w:r w:rsidR="008F13F1">
        <w:t xml:space="preserve">carbon </w:t>
      </w:r>
      <w:r w:rsidR="00FB707B">
        <w:t>costs</w:t>
      </w:r>
      <w:r w:rsidR="0052243C">
        <w:t xml:space="preserve"> </w:t>
      </w:r>
      <w:r w:rsidR="008F13F1">
        <w:t>are</w:t>
      </w:r>
      <w:r w:rsidR="007230EC">
        <w:t xml:space="preserve"> the same whether the EU or Egypt collects them</w:t>
      </w:r>
      <w:r w:rsidR="00B74FA1">
        <w:t xml:space="preserve">. Using carbon pricing </w:t>
      </w:r>
      <w:r w:rsidR="008337AF">
        <w:t>keeps the carbon revenues at home in Egypt to fund domestic priorities</w:t>
      </w:r>
      <w:r w:rsidR="00CB0486">
        <w:t xml:space="preserve">. </w:t>
      </w:r>
      <w:r w:rsidR="00B74FA1">
        <w:t>In th</w:t>
      </w:r>
      <w:r w:rsidR="00D622A4">
        <w:t>ese ways</w:t>
      </w:r>
      <w:r w:rsidR="00B74FA1">
        <w:t>, the CBAM lowers the costs</w:t>
      </w:r>
      <w:r w:rsidR="00D622A4">
        <w:t xml:space="preserve"> of implementing the domestic policy agenda.</w:t>
      </w:r>
    </w:p>
    <w:p w14:paraId="4B5835B6" w14:textId="5CEB05AB" w:rsidR="003F2D9A" w:rsidRDefault="001E3733" w:rsidP="00461043">
      <w:pPr>
        <w:pStyle w:val="Heading1"/>
      </w:pPr>
      <w:bookmarkStart w:id="49" w:name="_Toc234844390"/>
      <w:r>
        <w:t>P</w:t>
      </w:r>
      <w:r w:rsidR="00681206" w:rsidRPr="00D96ECB">
        <w:t xml:space="preserve">olicy </w:t>
      </w:r>
      <w:r>
        <w:t>options</w:t>
      </w:r>
      <w:r w:rsidR="00EA592E">
        <w:t xml:space="preserve"> in view of </w:t>
      </w:r>
      <w:r w:rsidR="00CC2CBB" w:rsidRPr="00D96ECB">
        <w:t>CBAM</w:t>
      </w:r>
      <w:r w:rsidR="00EA592E">
        <w:t xml:space="preserve"> and national objectives</w:t>
      </w:r>
      <w:bookmarkEnd w:id="49"/>
    </w:p>
    <w:p w14:paraId="62A01F9A" w14:textId="6095A73F" w:rsidR="005D427B" w:rsidRDefault="00AD0474" w:rsidP="008D046E">
      <w:pPr>
        <w:rPr>
          <w:rFonts w:eastAsiaTheme="majorEastAsia" w:cstheme="majorBidi"/>
          <w:color w:val="2F5496" w:themeColor="accent1" w:themeShade="BF"/>
          <w:sz w:val="28"/>
          <w:szCs w:val="32"/>
        </w:rPr>
      </w:pPr>
      <w:r w:rsidRPr="00AD0474">
        <w:t xml:space="preserve">This section </w:t>
      </w:r>
      <w:r w:rsidR="00970E8D">
        <w:t>provides</w:t>
      </w:r>
      <w:r w:rsidR="00E0725E">
        <w:t xml:space="preserve"> foundational information toward </w:t>
      </w:r>
      <w:r w:rsidRPr="00AD0474">
        <w:t>structur</w:t>
      </w:r>
      <w:r w:rsidR="00E0725E">
        <w:t xml:space="preserve">ing </w:t>
      </w:r>
      <w:r w:rsidRPr="00AD0474">
        <w:t>strategies to enhance Egypt’s competitiveness in CBAM-related trade</w:t>
      </w:r>
      <w:r w:rsidR="492F5547">
        <w:t xml:space="preserve"> by </w:t>
      </w:r>
      <w:r w:rsidR="00812423">
        <w:t xml:space="preserve">considering </w:t>
      </w:r>
      <w:r w:rsidR="004916E4">
        <w:t xml:space="preserve">policy </w:t>
      </w:r>
      <w:r w:rsidR="00812423">
        <w:t xml:space="preserve">options for </w:t>
      </w:r>
      <w:r w:rsidR="004916E4">
        <w:t>reducing embedded emissions</w:t>
      </w:r>
      <w:r w:rsidR="004916E4" w:rsidRPr="00AD0474">
        <w:t xml:space="preserve">, </w:t>
      </w:r>
      <w:r w:rsidR="004916E4">
        <w:t xml:space="preserve">with </w:t>
      </w:r>
      <w:r w:rsidR="00131916">
        <w:t xml:space="preserve">an </w:t>
      </w:r>
      <w:r w:rsidR="004916E4">
        <w:t xml:space="preserve">emphasis on </w:t>
      </w:r>
      <w:r w:rsidRPr="00AD0474">
        <w:t xml:space="preserve">direct carbon pricing mechanism </w:t>
      </w:r>
      <w:r w:rsidR="004916E4">
        <w:t xml:space="preserve">that could </w:t>
      </w:r>
      <w:r w:rsidRPr="00AD0474">
        <w:t xml:space="preserve">help Egypt retain carbon revenues that would otherwise </w:t>
      </w:r>
      <w:r>
        <w:t>be transferred</w:t>
      </w:r>
      <w:r w:rsidRPr="00AD0474">
        <w:t xml:space="preserve"> to the EU</w:t>
      </w:r>
      <w:r w:rsidR="005F2A0A">
        <w:rPr>
          <w:lang w:val="en-GB"/>
        </w:rPr>
        <w:t>.</w:t>
      </w:r>
      <w:r w:rsidR="000A02BE">
        <w:rPr>
          <w:lang w:val="en-GB"/>
        </w:rPr>
        <w:t xml:space="preserve"> </w:t>
      </w:r>
      <w:r w:rsidR="00131916">
        <w:rPr>
          <w:lang w:val="en-GB"/>
        </w:rPr>
        <w:t xml:space="preserve">After highlighting key provisions in the draft </w:t>
      </w:r>
      <w:r w:rsidR="00D35AD5">
        <w:rPr>
          <w:lang w:val="en-GB"/>
        </w:rPr>
        <w:t xml:space="preserve">CBAM </w:t>
      </w:r>
      <w:r w:rsidR="00131916">
        <w:rPr>
          <w:lang w:val="en-GB"/>
        </w:rPr>
        <w:t>rules</w:t>
      </w:r>
      <w:r w:rsidR="00D35AD5">
        <w:rPr>
          <w:lang w:val="en-GB"/>
        </w:rPr>
        <w:t xml:space="preserve"> for the likely treatment </w:t>
      </w:r>
      <w:r w:rsidR="00D347EC">
        <w:rPr>
          <w:lang w:val="en-GB"/>
        </w:rPr>
        <w:t xml:space="preserve">of </w:t>
      </w:r>
      <w:r w:rsidR="00D35AD5">
        <w:rPr>
          <w:lang w:val="en-GB"/>
        </w:rPr>
        <w:t>carbon pricing polic</w:t>
      </w:r>
      <w:r w:rsidR="00D347EC">
        <w:rPr>
          <w:lang w:val="en-GB"/>
        </w:rPr>
        <w:t xml:space="preserve">y features, different approaches to pricing carbon are </w:t>
      </w:r>
      <w:r w:rsidR="00B15CCC">
        <w:rPr>
          <w:lang w:val="en-GB"/>
        </w:rPr>
        <w:t>illustrated through ex</w:t>
      </w:r>
      <w:r w:rsidR="00D347EC">
        <w:rPr>
          <w:lang w:val="en-GB"/>
        </w:rPr>
        <w:t xml:space="preserve">amples </w:t>
      </w:r>
      <w:r w:rsidR="00B15CCC">
        <w:rPr>
          <w:lang w:val="en-GB"/>
        </w:rPr>
        <w:t>from global experience. Then</w:t>
      </w:r>
      <w:r w:rsidR="007E7AE6">
        <w:rPr>
          <w:lang w:val="en-GB"/>
        </w:rPr>
        <w:t xml:space="preserve"> </w:t>
      </w:r>
      <w:r w:rsidR="00FA5139">
        <w:rPr>
          <w:lang w:val="en-GB"/>
        </w:rPr>
        <w:t>modelling tools are applied to compare the implications for Egypt of different</w:t>
      </w:r>
      <w:r w:rsidR="00A12348">
        <w:rPr>
          <w:lang w:val="en-GB"/>
        </w:rPr>
        <w:t xml:space="preserve"> policy strategies.</w:t>
      </w:r>
    </w:p>
    <w:p w14:paraId="336725E2" w14:textId="26AA530C" w:rsidR="006F4BB0" w:rsidRDefault="006F4BB0" w:rsidP="005D427B">
      <w:pPr>
        <w:pStyle w:val="Heading2"/>
      </w:pPr>
      <w:bookmarkStart w:id="50" w:name="_Toc234844391"/>
      <w:bookmarkStart w:id="51" w:name="_Ref234856906"/>
      <w:commentRangeStart w:id="52"/>
      <w:r>
        <w:t xml:space="preserve">CBAM </w:t>
      </w:r>
      <w:r w:rsidR="009539EB">
        <w:t xml:space="preserve">provisions </w:t>
      </w:r>
      <w:r w:rsidR="00690FE9">
        <w:t xml:space="preserve">regarding </w:t>
      </w:r>
      <w:r>
        <w:t>carbon pricing</w:t>
      </w:r>
      <w:r w:rsidR="006B21CC">
        <w:t xml:space="preserve"> in third countries</w:t>
      </w:r>
      <w:bookmarkEnd w:id="50"/>
      <w:bookmarkEnd w:id="51"/>
      <w:commentRangeEnd w:id="52"/>
      <w:r w:rsidR="00202EBF">
        <w:rPr>
          <w:rStyle w:val="CommentReference"/>
          <w:sz w:val="28"/>
          <w:szCs w:val="32"/>
        </w:rPr>
        <w:commentReference w:id="52"/>
      </w:r>
    </w:p>
    <w:p w14:paraId="06459F13" w14:textId="3E492A6B" w:rsidR="00EC29F8" w:rsidRDefault="00BA3934" w:rsidP="00EC29F8">
      <w:r w:rsidRPr="00E41BEB">
        <w:rPr>
          <w:b/>
          <w:bCs/>
        </w:rPr>
        <w:t xml:space="preserve">Recognizing carbon pricing </w:t>
      </w:r>
      <w:r w:rsidR="00EC29F8" w:rsidRPr="00E41BEB">
        <w:rPr>
          <w:b/>
          <w:bCs/>
        </w:rPr>
        <w:t>effectively paid in third countries</w:t>
      </w:r>
      <w:r w:rsidR="00C51EFA" w:rsidRPr="00E41BEB">
        <w:rPr>
          <w:b/>
          <w:bCs/>
        </w:rPr>
        <w:t xml:space="preserve"> </w:t>
      </w:r>
      <w:r w:rsidR="00EC29F8" w:rsidRPr="00E41BEB">
        <w:rPr>
          <w:b/>
          <w:bCs/>
        </w:rPr>
        <w:t>is a component of good practice for several reasons</w:t>
      </w:r>
      <w:r w:rsidR="00EC29F8">
        <w:t xml:space="preserve">: </w:t>
      </w:r>
      <w:r w:rsidR="00E41BEB">
        <w:t>I</w:t>
      </w:r>
      <w:r w:rsidR="00EC29F8" w:rsidRPr="001A4407">
        <w:t xml:space="preserve">t </w:t>
      </w:r>
      <w:r w:rsidR="00947394">
        <w:t xml:space="preserve">avoids </w:t>
      </w:r>
      <w:r w:rsidR="00EC29F8" w:rsidRPr="001A4407">
        <w:t xml:space="preserve">double </w:t>
      </w:r>
      <w:r w:rsidR="00CC4429">
        <w:t>taxation</w:t>
      </w:r>
      <w:r w:rsidR="00947394">
        <w:t xml:space="preserve">, </w:t>
      </w:r>
      <w:r w:rsidR="00EC29F8" w:rsidRPr="001A4407">
        <w:t>ensures compliance with international trade law by avoiding discrimination, and encourages wider adoption of carbon pricing</w:t>
      </w:r>
      <w:r w:rsidR="007441DF">
        <w:t>.</w:t>
      </w:r>
      <w:r w:rsidR="00EC29F8">
        <w:t xml:space="preserve"> </w:t>
      </w:r>
    </w:p>
    <w:p w14:paraId="37F453A6" w14:textId="0A296E9A" w:rsidR="00EC29F8" w:rsidRDefault="002144C3" w:rsidP="00EC29F8">
      <w:r>
        <w:t xml:space="preserve">The CBAM </w:t>
      </w:r>
      <w:r w:rsidR="00A665FF">
        <w:t xml:space="preserve">framework </w:t>
      </w:r>
      <w:r>
        <w:t>allows i</w:t>
      </w:r>
      <w:r w:rsidR="00EC29F8">
        <w:t xml:space="preserve">mporters </w:t>
      </w:r>
      <w:r>
        <w:t xml:space="preserve">to </w:t>
      </w:r>
      <w:r w:rsidR="00EC29F8">
        <w:t>claim a reduction in their CBAM liability if and to the extent that they can demonstrate embedded emissions were subject to a qualifying carbon price in the country of origin.</w:t>
      </w:r>
      <w:r w:rsidR="00EC29F8">
        <w:rPr>
          <w:rStyle w:val="FootnoteReference"/>
        </w:rPr>
        <w:footnoteReference w:id="21"/>
      </w:r>
      <w:r w:rsidR="00EC29F8">
        <w:t xml:space="preserve"> The importer would have to demonstrate that the carbon price was levied, paid, and that there was no </w:t>
      </w:r>
      <w:r w:rsidR="00B75AC9">
        <w:t xml:space="preserve">offsetting exemption, </w:t>
      </w:r>
      <w:r w:rsidR="00EC29F8">
        <w:t xml:space="preserve">rebate or other compensation (including free allocation). </w:t>
      </w:r>
    </w:p>
    <w:p w14:paraId="3339E68A" w14:textId="642B75C0" w:rsidR="00EC29F8" w:rsidRDefault="00884119" w:rsidP="006E491D">
      <w:r>
        <w:t>As mentioned above in section 2, th</w:t>
      </w:r>
      <w:r w:rsidR="006E491D">
        <w:t xml:space="preserve">e </w:t>
      </w:r>
      <w:r w:rsidR="00EC29F8">
        <w:t xml:space="preserve">EU Commission recently released </w:t>
      </w:r>
      <w:r w:rsidR="00516693">
        <w:t xml:space="preserve">a </w:t>
      </w:r>
      <w:r w:rsidR="00EC29F8">
        <w:t xml:space="preserve">draft implementing regulation to set rules regarding the more detailed calculation of an effectively paid carbon price, allowing for a reduction in the number of CBAM certificates to surrender. </w:t>
      </w:r>
      <w:r w:rsidR="005B2816">
        <w:t xml:space="preserve">The draft act is still under discussion </w:t>
      </w:r>
      <w:r w:rsidR="00842479">
        <w:t>within the EU</w:t>
      </w:r>
      <w:r w:rsidR="006D3539">
        <w:t>; however, a few important provisions from the draft can be highlighted</w:t>
      </w:r>
      <w:r w:rsidR="000C4953">
        <w:t xml:space="preserve"> as relevant when considering the different policy options</w:t>
      </w:r>
      <w:r w:rsidR="003D3F83">
        <w:t xml:space="preserve"> that follow</w:t>
      </w:r>
      <w:r w:rsidR="00E575FE">
        <w:t xml:space="preserve">. </w:t>
      </w:r>
    </w:p>
    <w:p w14:paraId="5B7C745D" w14:textId="3206617F" w:rsidR="00524C73" w:rsidRDefault="000659E4" w:rsidP="008612AC">
      <w:r w:rsidRPr="002741AE">
        <w:rPr>
          <w:b/>
          <w:bCs/>
        </w:rPr>
        <w:t xml:space="preserve">First, </w:t>
      </w:r>
      <w:r w:rsidR="00524C73" w:rsidRPr="002741AE">
        <w:rPr>
          <w:b/>
          <w:bCs/>
        </w:rPr>
        <w:t>for the purpose of this liability reduction, the CBAM Regulation sets out that a carbon price only refers to the monetary amount paid under an ETS or a “carbon tax, levy or fee”</w:t>
      </w:r>
      <w:r w:rsidR="00524C73">
        <w:t>.</w:t>
      </w:r>
      <w:r w:rsidR="00524C73">
        <w:rPr>
          <w:rStyle w:val="FootnoteReference"/>
        </w:rPr>
        <w:footnoteReference w:id="22"/>
      </w:r>
      <w:r w:rsidR="00524C73">
        <w:t xml:space="preserve"> </w:t>
      </w:r>
      <w:r w:rsidR="00524C73">
        <w:lastRenderedPageBreak/>
        <w:t xml:space="preserve">It is not intended to include </w:t>
      </w:r>
      <w:r w:rsidR="00BB2159">
        <w:t xml:space="preserve">implicit carbon costs that may be associated with other regulations that do not </w:t>
      </w:r>
      <w:r w:rsidR="00E47677">
        <w:t>price residual emissions</w:t>
      </w:r>
      <w:r w:rsidR="00524C73">
        <w:t xml:space="preserve">. </w:t>
      </w:r>
      <w:r w:rsidR="00C54D79">
        <w:t>However, it does specifically provide for carbon</w:t>
      </w:r>
      <w:r w:rsidR="004850D9">
        <w:t xml:space="preserve"> prices levied in the form of fuel consumption taxes, when the tax basis is the carbon content. </w:t>
      </w:r>
    </w:p>
    <w:p w14:paraId="00E76C0E" w14:textId="35643E16" w:rsidR="00EC29F8" w:rsidRDefault="00D626D4" w:rsidP="008612AC">
      <w:r w:rsidRPr="002741AE">
        <w:rPr>
          <w:b/>
          <w:bCs/>
        </w:rPr>
        <w:t xml:space="preserve">Second, </w:t>
      </w:r>
      <w:r w:rsidR="000659E4" w:rsidRPr="002741AE">
        <w:rPr>
          <w:b/>
          <w:bCs/>
        </w:rPr>
        <w:t xml:space="preserve">the draft underscores that only </w:t>
      </w:r>
      <w:r w:rsidR="00EC29F8" w:rsidRPr="002741AE">
        <w:rPr>
          <w:b/>
          <w:bCs/>
        </w:rPr>
        <w:t>carbon pric</w:t>
      </w:r>
      <w:r w:rsidR="000659E4" w:rsidRPr="002741AE">
        <w:rPr>
          <w:b/>
          <w:bCs/>
        </w:rPr>
        <w:t>ing</w:t>
      </w:r>
      <w:r w:rsidR="00EC29F8" w:rsidRPr="002741AE">
        <w:rPr>
          <w:b/>
          <w:bCs/>
        </w:rPr>
        <w:t xml:space="preserve"> mechanism</w:t>
      </w:r>
      <w:r w:rsidR="000659E4" w:rsidRPr="002741AE">
        <w:rPr>
          <w:b/>
          <w:bCs/>
        </w:rPr>
        <w:t>s</w:t>
      </w:r>
      <w:r w:rsidR="00583965" w:rsidRPr="002741AE">
        <w:rPr>
          <w:b/>
          <w:bCs/>
        </w:rPr>
        <w:t xml:space="preserve"> </w:t>
      </w:r>
      <w:r w:rsidR="00EC29F8" w:rsidRPr="002741AE">
        <w:rPr>
          <w:b/>
          <w:bCs/>
        </w:rPr>
        <w:t xml:space="preserve">that </w:t>
      </w:r>
      <w:r w:rsidR="00583965" w:rsidRPr="002741AE">
        <w:rPr>
          <w:b/>
          <w:bCs/>
        </w:rPr>
        <w:t xml:space="preserve">are </w:t>
      </w:r>
      <w:r w:rsidR="00EC29F8" w:rsidRPr="002741AE">
        <w:rPr>
          <w:b/>
          <w:bCs/>
        </w:rPr>
        <w:t xml:space="preserve">binding in nature and </w:t>
      </w:r>
      <w:r w:rsidR="00583965" w:rsidRPr="002741AE">
        <w:rPr>
          <w:b/>
          <w:bCs/>
        </w:rPr>
        <w:t xml:space="preserve">imposed </w:t>
      </w:r>
      <w:r w:rsidR="00EC29F8" w:rsidRPr="002741AE">
        <w:rPr>
          <w:b/>
          <w:bCs/>
        </w:rPr>
        <w:t xml:space="preserve">on all operators active in the relevant sectors </w:t>
      </w:r>
      <w:r w:rsidR="004508E5" w:rsidRPr="002741AE">
        <w:rPr>
          <w:b/>
          <w:bCs/>
        </w:rPr>
        <w:t>will be recognized</w:t>
      </w:r>
      <w:r w:rsidR="004508E5">
        <w:t xml:space="preserve">. </w:t>
      </w:r>
      <w:r w:rsidR="00EC29F8">
        <w:t xml:space="preserve">I.e., carbon prices must be grounded in a domestic compliance mechanism for the industry as a whole, and policies narrowly targeting exports will not be </w:t>
      </w:r>
      <w:commentRangeStart w:id="53"/>
      <w:r w:rsidR="00EC29F8">
        <w:t>recognized</w:t>
      </w:r>
      <w:commentRangeEnd w:id="53"/>
      <w:r w:rsidR="00A37CB8">
        <w:rPr>
          <w:rStyle w:val="CommentReference"/>
          <w:sz w:val="22"/>
          <w:szCs w:val="22"/>
        </w:rPr>
        <w:commentReference w:id="53"/>
      </w:r>
      <w:r w:rsidR="00EC29F8">
        <w:t>.</w:t>
      </w:r>
    </w:p>
    <w:p w14:paraId="489D58A5" w14:textId="61AE9B0C" w:rsidR="00A86D19" w:rsidRDefault="00656C57" w:rsidP="00D115EE">
      <w:r w:rsidRPr="002741AE">
        <w:rPr>
          <w:b/>
          <w:bCs/>
        </w:rPr>
        <w:t>Third</w:t>
      </w:r>
      <w:r w:rsidR="004508E5" w:rsidRPr="002741AE">
        <w:rPr>
          <w:b/>
          <w:bCs/>
        </w:rPr>
        <w:t>,</w:t>
      </w:r>
      <w:r w:rsidR="00D07E88" w:rsidRPr="002741AE">
        <w:rPr>
          <w:b/>
          <w:bCs/>
        </w:rPr>
        <w:t xml:space="preserve"> most</w:t>
      </w:r>
      <w:r w:rsidR="004508E5" w:rsidRPr="002741AE">
        <w:rPr>
          <w:b/>
          <w:bCs/>
        </w:rPr>
        <w:t xml:space="preserve"> r</w:t>
      </w:r>
      <w:r w:rsidR="00EC29F8" w:rsidRPr="002741AE">
        <w:rPr>
          <w:b/>
          <w:bCs/>
        </w:rPr>
        <w:t xml:space="preserve">ebates, exemptions, free allocation, or other forms of compensation </w:t>
      </w:r>
      <w:r w:rsidR="00D07E88" w:rsidRPr="002741AE">
        <w:rPr>
          <w:b/>
          <w:bCs/>
        </w:rPr>
        <w:t xml:space="preserve">to covered entities </w:t>
      </w:r>
      <w:r w:rsidR="00EC29F8" w:rsidRPr="002741AE">
        <w:rPr>
          <w:b/>
          <w:bCs/>
        </w:rPr>
        <w:t xml:space="preserve">will </w:t>
      </w:r>
      <w:r w:rsidR="00D07E88" w:rsidRPr="002741AE">
        <w:rPr>
          <w:b/>
          <w:bCs/>
        </w:rPr>
        <w:t xml:space="preserve">be deemed to </w:t>
      </w:r>
      <w:r w:rsidR="00EC29F8" w:rsidRPr="002741AE">
        <w:rPr>
          <w:b/>
          <w:bCs/>
        </w:rPr>
        <w:t>reduce the effective carbon price.</w:t>
      </w:r>
      <w:r w:rsidR="00EC29F8">
        <w:t xml:space="preserve"> </w:t>
      </w:r>
      <w:r w:rsidR="002A220C">
        <w:t xml:space="preserve">These include many </w:t>
      </w:r>
      <w:r w:rsidR="005029F6">
        <w:t>commonly used</w:t>
      </w:r>
      <w:r w:rsidR="002A220C">
        <w:t xml:space="preserve"> forms of free allocation in emissions trading systems, including baseline and credit systems, intensity standards</w:t>
      </w:r>
      <w:r w:rsidR="005029F6">
        <w:t xml:space="preserve">, benchmark allocations, etc. </w:t>
      </w:r>
    </w:p>
    <w:p w14:paraId="492917EC" w14:textId="3774EEF1" w:rsidR="00EC29F8" w:rsidRDefault="00656C57" w:rsidP="008612AC">
      <w:r w:rsidRPr="006A5757">
        <w:rPr>
          <w:b/>
          <w:bCs/>
        </w:rPr>
        <w:t>Fourth</w:t>
      </w:r>
      <w:r w:rsidR="00A86D19" w:rsidRPr="006A5757">
        <w:rPr>
          <w:b/>
          <w:bCs/>
        </w:rPr>
        <w:t xml:space="preserve">, </w:t>
      </w:r>
      <w:r w:rsidR="00E61590" w:rsidRPr="006A5757">
        <w:rPr>
          <w:b/>
          <w:bCs/>
        </w:rPr>
        <w:t xml:space="preserve">the draft </w:t>
      </w:r>
      <w:r w:rsidR="00980432" w:rsidRPr="006A5757">
        <w:rPr>
          <w:b/>
          <w:bCs/>
        </w:rPr>
        <w:t xml:space="preserve">explicitly </w:t>
      </w:r>
      <w:r w:rsidR="00BE4E1E" w:rsidRPr="006A5757">
        <w:rPr>
          <w:b/>
          <w:bCs/>
        </w:rPr>
        <w:t>carves</w:t>
      </w:r>
      <w:r w:rsidR="00980432" w:rsidRPr="006A5757">
        <w:rPr>
          <w:b/>
          <w:bCs/>
        </w:rPr>
        <w:t xml:space="preserve"> </w:t>
      </w:r>
      <w:r w:rsidR="007F5077" w:rsidRPr="006A5757">
        <w:rPr>
          <w:b/>
          <w:bCs/>
        </w:rPr>
        <w:t xml:space="preserve">a particular </w:t>
      </w:r>
      <w:r w:rsidR="00EC29F8" w:rsidRPr="006A5757">
        <w:rPr>
          <w:b/>
          <w:bCs/>
        </w:rPr>
        <w:t xml:space="preserve">exception for subsidies with the objective of reducing the emissions of the beneficiary installation, </w:t>
      </w:r>
      <w:r w:rsidR="00B747A5" w:rsidRPr="006A5757">
        <w:rPr>
          <w:b/>
          <w:bCs/>
        </w:rPr>
        <w:t>as opposed to compensating it for</w:t>
      </w:r>
      <w:r w:rsidR="0084368A" w:rsidRPr="006A5757">
        <w:rPr>
          <w:b/>
          <w:bCs/>
        </w:rPr>
        <w:t xml:space="preserve"> residual emissions.</w:t>
      </w:r>
      <w:r w:rsidR="00B747A5">
        <w:t xml:space="preserve"> </w:t>
      </w:r>
      <w:r w:rsidR="00310A9F">
        <w:t xml:space="preserve">To qualify, </w:t>
      </w:r>
      <w:r w:rsidR="00EC29F8">
        <w:t xml:space="preserve">the opportunity </w:t>
      </w:r>
      <w:r w:rsidR="00310A9F">
        <w:t xml:space="preserve">should be </w:t>
      </w:r>
      <w:r w:rsidR="00EC29F8">
        <w:t>open to all, not based on the installation’s carbon payments, and transparently granted through an application process.</w:t>
      </w:r>
      <w:r w:rsidR="00E575FE">
        <w:t xml:space="preserve"> Further clarity is needed as</w:t>
      </w:r>
      <w:r w:rsidR="00E575FE" w:rsidRPr="00E575FE">
        <w:t xml:space="preserve"> to how domestically applicable subsid</w:t>
      </w:r>
      <w:r w:rsidR="008A0B0D">
        <w:t xml:space="preserve">y schemes not </w:t>
      </w:r>
      <w:r w:rsidR="00632B0C">
        <w:t xml:space="preserve">directly linked to the carbon price paid </w:t>
      </w:r>
      <w:r w:rsidR="00E575FE" w:rsidRPr="00E575FE">
        <w:t>will be accounted for.</w:t>
      </w:r>
    </w:p>
    <w:p w14:paraId="20179277" w14:textId="782146DF" w:rsidR="00AD7372" w:rsidRDefault="00656C57" w:rsidP="006C6B76">
      <w:r w:rsidRPr="006A5757">
        <w:rPr>
          <w:b/>
          <w:bCs/>
        </w:rPr>
        <w:t>Fifth</w:t>
      </w:r>
      <w:r w:rsidR="00B70004" w:rsidRPr="006A5757">
        <w:rPr>
          <w:b/>
          <w:bCs/>
        </w:rPr>
        <w:t xml:space="preserve">, </w:t>
      </w:r>
      <w:commentRangeStart w:id="54"/>
      <w:r w:rsidR="00B70004" w:rsidRPr="006A5757">
        <w:rPr>
          <w:b/>
          <w:bCs/>
        </w:rPr>
        <w:t>t</w:t>
      </w:r>
      <w:r w:rsidR="00EC29F8" w:rsidRPr="006A5757">
        <w:rPr>
          <w:b/>
          <w:bCs/>
        </w:rPr>
        <w:t xml:space="preserve">he </w:t>
      </w:r>
      <w:r w:rsidR="00B70004" w:rsidRPr="006A5757">
        <w:rPr>
          <w:b/>
          <w:bCs/>
        </w:rPr>
        <w:t xml:space="preserve">draft </w:t>
      </w:r>
      <w:r w:rsidR="00EC29F8" w:rsidRPr="006A5757">
        <w:rPr>
          <w:b/>
          <w:bCs/>
        </w:rPr>
        <w:t xml:space="preserve">rules </w:t>
      </w:r>
      <w:r w:rsidR="00466A0B" w:rsidRPr="006A5757">
        <w:rPr>
          <w:b/>
          <w:bCs/>
        </w:rPr>
        <w:t xml:space="preserve">have </w:t>
      </w:r>
      <w:r w:rsidR="002A46B1" w:rsidRPr="006A5757">
        <w:rPr>
          <w:b/>
          <w:bCs/>
        </w:rPr>
        <w:t xml:space="preserve">provisions relevant for the use of </w:t>
      </w:r>
      <w:r w:rsidR="00E0126C" w:rsidRPr="006A5757">
        <w:rPr>
          <w:b/>
          <w:bCs/>
        </w:rPr>
        <w:t>carbon credits to reduce CBAM obligations.</w:t>
      </w:r>
      <w:r w:rsidR="00E0126C">
        <w:t xml:space="preserve"> </w:t>
      </w:r>
      <w:r w:rsidR="00134B83">
        <w:t xml:space="preserve">Purchases of </w:t>
      </w:r>
      <w:r w:rsidR="00EC29F8">
        <w:t xml:space="preserve">carbon credits </w:t>
      </w:r>
      <w:r w:rsidR="000A3F5E">
        <w:t xml:space="preserve">used </w:t>
      </w:r>
      <w:r w:rsidR="00EC29F8">
        <w:t xml:space="preserve">as part of </w:t>
      </w:r>
      <w:r w:rsidR="00134B83">
        <w:t xml:space="preserve">a </w:t>
      </w:r>
      <w:r w:rsidR="00EC29F8">
        <w:t>domestic compliance system</w:t>
      </w:r>
      <w:r w:rsidR="001D3C52">
        <w:t xml:space="preserve"> would be recognized based on </w:t>
      </w:r>
      <w:r w:rsidR="00EC29F8">
        <w:t>their actual costs</w:t>
      </w:r>
      <w:r w:rsidR="00896D81">
        <w:t xml:space="preserve"> </w:t>
      </w:r>
      <w:r w:rsidR="00EC29F8" w:rsidRPr="00934485">
        <w:t xml:space="preserve">Where </w:t>
      </w:r>
      <w:r w:rsidR="00896D81">
        <w:t xml:space="preserve">the domestic compliance </w:t>
      </w:r>
      <w:r w:rsidR="00EC29F8" w:rsidRPr="00934485">
        <w:t xml:space="preserve">mechanism allows for the use of </w:t>
      </w:r>
      <w:r w:rsidR="00C91EEA">
        <w:t xml:space="preserve">international </w:t>
      </w:r>
      <w:r w:rsidR="00EC29F8" w:rsidRPr="00934485">
        <w:t>offset credits</w:t>
      </w:r>
      <w:r w:rsidR="00C91EEA">
        <w:t xml:space="preserve">, they </w:t>
      </w:r>
      <w:r w:rsidR="00EC29F8" w:rsidRPr="00934485">
        <w:t>should meet the standards set under the Paris agreement</w:t>
      </w:r>
      <w:r w:rsidR="00C91EEA">
        <w:t xml:space="preserve"> and would </w:t>
      </w:r>
      <w:r w:rsidR="00EC29F8" w:rsidRPr="0011481A">
        <w:t xml:space="preserve">be limited </w:t>
      </w:r>
      <w:r w:rsidR="00EC29F8">
        <w:t>to 10% of the reported emissions.</w:t>
      </w:r>
      <w:commentRangeEnd w:id="54"/>
      <w:r w:rsidR="00443A1E" w:rsidDel="000C7FB4">
        <w:rPr>
          <w:rStyle w:val="CommentReference"/>
          <w:sz w:val="22"/>
          <w:szCs w:val="22"/>
        </w:rPr>
        <w:commentReference w:id="54"/>
      </w:r>
      <w:r w:rsidR="00C91EEA">
        <w:t xml:space="preserve"> </w:t>
      </w:r>
      <w:r w:rsidR="00436145">
        <w:t>The draft rules do not provide for carbon credit purchases outside</w:t>
      </w:r>
      <w:r w:rsidR="00A521FB">
        <w:t xml:space="preserve"> of a domestic compliance mechanism—such as voluntary purchases—to reduce CBAM obligations.</w:t>
      </w:r>
      <w:r w:rsidR="00436145">
        <w:t xml:space="preserve"> </w:t>
      </w:r>
    </w:p>
    <w:p w14:paraId="158AB729" w14:textId="50CD4C1A" w:rsidR="003162E3" w:rsidRDefault="002A168C" w:rsidP="003162E3">
      <w:r w:rsidRPr="00697688">
        <w:rPr>
          <w:b/>
          <w:bCs/>
        </w:rPr>
        <w:t>Although d</w:t>
      </w:r>
      <w:r w:rsidR="003162E3" w:rsidRPr="00697688">
        <w:rPr>
          <w:b/>
          <w:bCs/>
        </w:rPr>
        <w:t>ifferent stakeholders have floated the idea of allowing exporters from developing countries (or their importing partners) to make some form of carbon payments on exports in lieu of purchasing CBAM certificates</w:t>
      </w:r>
      <w:r w:rsidR="00697688" w:rsidRPr="00697688">
        <w:rPr>
          <w:b/>
          <w:bCs/>
        </w:rPr>
        <w:t>,</w:t>
      </w:r>
      <w:r w:rsidR="003162E3" w:rsidRPr="00697688">
        <w:rPr>
          <w:b/>
          <w:bCs/>
        </w:rPr>
        <w:t xml:space="preserve"> </w:t>
      </w:r>
      <w:r w:rsidR="00697688" w:rsidRPr="00697688">
        <w:rPr>
          <w:b/>
          <w:bCs/>
        </w:rPr>
        <w:t>n</w:t>
      </w:r>
      <w:r w:rsidR="003162E3" w:rsidRPr="00697688">
        <w:rPr>
          <w:b/>
          <w:bCs/>
        </w:rPr>
        <w:t>one of these are currently sanctioned by the EU</w:t>
      </w:r>
      <w:r w:rsidR="00697688" w:rsidRPr="00697688">
        <w:rPr>
          <w:b/>
          <w:bCs/>
        </w:rPr>
        <w:t>.</w:t>
      </w:r>
      <w:r w:rsidR="00697688">
        <w:t xml:space="preserve"> Still</w:t>
      </w:r>
      <w:r w:rsidR="003162E3">
        <w:t>, they are worth discussing.</w:t>
      </w:r>
    </w:p>
    <w:p w14:paraId="7BDB8561" w14:textId="77777777" w:rsidR="00C52A85" w:rsidRDefault="00AB3325" w:rsidP="003162E3">
      <w:r>
        <w:t>For example, t</w:t>
      </w:r>
      <w:r w:rsidR="003162E3">
        <w:t>he Egyptian government has proposed an option of voluntary contributions to a decarbonization fund as a way to keep CBAM payments at home but in a capacity dedicated to furthering emission reductions among the industries. If credibly and transparently implemented, Egyptian exports to the EU would still bear the same carbon costs, and the revenues would stay at home. Another proposal advanced in certain circles (e.g., Sandler 2025), with a similar rationale, would be to allow payments made for Article 6 credits to be recognized in lieu of CBAM certificate costs. The CBAM revenues would then implicitly be earmarked to fund emission reductions in developing countries.</w:t>
      </w:r>
      <w:r w:rsidR="00C52A85">
        <w:t xml:space="preserve"> </w:t>
      </w:r>
      <w:r w:rsidR="003162E3">
        <w:t xml:space="preserve">Both of these options face acceptability problems. </w:t>
      </w:r>
    </w:p>
    <w:p w14:paraId="0E6051B0" w14:textId="1893DEEA" w:rsidR="003162E3" w:rsidRDefault="003162E3" w:rsidP="003162E3">
      <w:r w:rsidRPr="00376843">
        <w:rPr>
          <w:b/>
          <w:bCs/>
        </w:rPr>
        <w:lastRenderedPageBreak/>
        <w:t>The EU has made clear that carbon pricing effectively paid must derive from a compliance system applied to all producers within a sector; otherwise, the overall carbon costs borne by producers are asymmetric.</w:t>
      </w:r>
      <w:r>
        <w:t xml:space="preserve"> Indeed, export-only options do not count as eligible for deduction under CBAM.  Nor do EU producers have the opportunity to meet their obligations with payments for carbon credits. Furthermore, it can be difficult to assess the integrity of a voluntary contribution system and the credibility of the reductions made. WTO rules also look skeptically at special treatment of exports, although in these cases a cost rather than a subsidy are involved.</w:t>
      </w:r>
    </w:p>
    <w:p w14:paraId="3BA584F7" w14:textId="2DDBF3A9" w:rsidR="006A5757" w:rsidRPr="00945BFB" w:rsidRDefault="003162E3" w:rsidP="003162E3">
      <w:r>
        <w:t>A final option that has been proposed would be to recognize the value of carbon credit purchases for exports, but only if tied to a domestic compliance carbon pricing instrument (Fischer and Mehling 2026). For example, if an industrial carbon pricing system relies on output-based rebating, the rebate would normally reduce the effective carbon price, but allowing carbon credit purchases to “top up” the carbon costs on exports to the EU—at least up to the domestic carbon price—could be a way to recognizing carbon pricing progress while respecting other countries’ desires to manage their own competitiveness issues vis-à-vis non-EU trade partners.</w:t>
      </w:r>
      <w:r w:rsidR="00D7468A">
        <w:t xml:space="preserve"> It remains to be seen</w:t>
      </w:r>
      <w:r w:rsidR="003D3487">
        <w:t xml:space="preserve"> whether the Commission will provide for such options in the final rules.</w:t>
      </w:r>
    </w:p>
    <w:p w14:paraId="738A66B3" w14:textId="6D163A1D" w:rsidR="00CC2CBB" w:rsidRPr="00451384" w:rsidRDefault="00DF332B" w:rsidP="00655E2D">
      <w:pPr>
        <w:pStyle w:val="Heading2"/>
      </w:pPr>
      <w:bookmarkStart w:id="55" w:name="_Toc234844392"/>
      <w:commentRangeStart w:id="56"/>
      <w:r>
        <w:t>A range of p</w:t>
      </w:r>
      <w:commentRangeStart w:id="57"/>
      <w:commentRangeStart w:id="58"/>
      <w:commentRangeStart w:id="59"/>
      <w:commentRangeStart w:id="60"/>
      <w:r w:rsidR="006D7EFC">
        <w:t xml:space="preserve">olicy </w:t>
      </w:r>
      <w:r w:rsidR="00DE268A">
        <w:t>options</w:t>
      </w:r>
      <w:bookmarkEnd w:id="55"/>
      <w:commentRangeEnd w:id="57"/>
      <w:r w:rsidRPr="00451384">
        <w:rPr>
          <w:rStyle w:val="CommentReference"/>
          <w:sz w:val="28"/>
          <w:szCs w:val="32"/>
        </w:rPr>
        <w:commentReference w:id="57"/>
      </w:r>
      <w:commentRangeEnd w:id="58"/>
      <w:r w:rsidRPr="00451384">
        <w:rPr>
          <w:rStyle w:val="CommentReference"/>
          <w:sz w:val="28"/>
          <w:szCs w:val="32"/>
        </w:rPr>
        <w:commentReference w:id="58"/>
      </w:r>
      <w:commentRangeEnd w:id="59"/>
      <w:r w:rsidRPr="00451384">
        <w:rPr>
          <w:rStyle w:val="CommentReference"/>
          <w:sz w:val="28"/>
          <w:szCs w:val="32"/>
        </w:rPr>
        <w:commentReference w:id="59"/>
      </w:r>
      <w:commentRangeEnd w:id="60"/>
      <w:r w:rsidRPr="00451384">
        <w:rPr>
          <w:rStyle w:val="CommentReference"/>
          <w:sz w:val="28"/>
          <w:szCs w:val="32"/>
        </w:rPr>
        <w:commentReference w:id="60"/>
      </w:r>
      <w:commentRangeEnd w:id="56"/>
      <w:r w:rsidRPr="00451384">
        <w:rPr>
          <w:rStyle w:val="CommentReference"/>
          <w:sz w:val="28"/>
          <w:szCs w:val="32"/>
        </w:rPr>
        <w:commentReference w:id="56"/>
      </w:r>
    </w:p>
    <w:p w14:paraId="4999444B" w14:textId="3651535F" w:rsidR="00531E4E" w:rsidRDefault="000E7372" w:rsidP="00A735A4">
      <w:commentRangeStart w:id="61"/>
      <w:r w:rsidRPr="006F5BDE">
        <w:rPr>
          <w:b/>
          <w:bCs/>
        </w:rPr>
        <w:t xml:space="preserve">Different policy </w:t>
      </w:r>
      <w:r w:rsidR="00921196" w:rsidRPr="006F5BDE">
        <w:rPr>
          <w:b/>
          <w:bCs/>
        </w:rPr>
        <w:t xml:space="preserve">actions </w:t>
      </w:r>
      <w:r w:rsidR="00745D0E" w:rsidRPr="006F5BDE">
        <w:rPr>
          <w:b/>
          <w:bCs/>
        </w:rPr>
        <w:t xml:space="preserve">could be </w:t>
      </w:r>
      <w:r w:rsidR="00E007E5">
        <w:rPr>
          <w:b/>
          <w:bCs/>
        </w:rPr>
        <w:t>brought to bear to encourage industrial emission reductions</w:t>
      </w:r>
      <w:r w:rsidR="000658A1">
        <w:rPr>
          <w:b/>
          <w:bCs/>
        </w:rPr>
        <w:t xml:space="preserve">, </w:t>
      </w:r>
      <w:r w:rsidR="001C59BB">
        <w:rPr>
          <w:b/>
          <w:bCs/>
        </w:rPr>
        <w:t xml:space="preserve">reduce CBAM obligations associated with exports, and also </w:t>
      </w:r>
      <w:r w:rsidR="00904FCF">
        <w:rPr>
          <w:b/>
          <w:bCs/>
        </w:rPr>
        <w:t>achieve broader reductions and economic benefits</w:t>
      </w:r>
      <w:r w:rsidR="003A2B50" w:rsidRPr="006F5BDE">
        <w:rPr>
          <w:b/>
          <w:bCs/>
        </w:rPr>
        <w:t>.</w:t>
      </w:r>
      <w:r w:rsidR="00D84F83">
        <w:t xml:space="preserve"> </w:t>
      </w:r>
      <w:commentRangeEnd w:id="61"/>
      <w:r w:rsidR="00C152C1">
        <w:rPr>
          <w:rStyle w:val="CommentReference"/>
          <w:sz w:val="22"/>
          <w:szCs w:val="22"/>
        </w:rPr>
        <w:commentReference w:id="61"/>
      </w:r>
      <w:r w:rsidR="004C27C1">
        <w:t xml:space="preserve">These range from </w:t>
      </w:r>
      <w:r w:rsidR="002522CF">
        <w:t xml:space="preserve">narrow </w:t>
      </w:r>
      <w:r w:rsidR="00A735A4">
        <w:t>regulatory options and</w:t>
      </w:r>
      <w:r w:rsidR="001D7B96">
        <w:t xml:space="preserve"> targeted</w:t>
      </w:r>
      <w:r w:rsidR="00A735A4">
        <w:t xml:space="preserve"> investment strategies </w:t>
      </w:r>
      <w:r w:rsidR="00F00F87">
        <w:t xml:space="preserve">to </w:t>
      </w:r>
      <w:r w:rsidR="00A735A4">
        <w:t>reduce industrial emissions</w:t>
      </w:r>
      <w:r w:rsidR="005956D8">
        <w:t xml:space="preserve"> </w:t>
      </w:r>
      <w:r w:rsidR="0048120C">
        <w:t xml:space="preserve">to broad-based interventions </w:t>
      </w:r>
      <w:r w:rsidR="001D7B96">
        <w:t>that</w:t>
      </w:r>
      <w:r w:rsidR="009F03B1">
        <w:t xml:space="preserve"> encourage an array of emitters </w:t>
      </w:r>
      <w:r w:rsidR="00A45C1F">
        <w:t xml:space="preserve">to </w:t>
      </w:r>
      <w:r w:rsidR="00762D71">
        <w:t>economize</w:t>
      </w:r>
      <w:r w:rsidR="00BF52FB">
        <w:t xml:space="preserve"> on their use of polluting fossil fuels and innovate alternative</w:t>
      </w:r>
      <w:r w:rsidR="003F04EF">
        <w:t>s</w:t>
      </w:r>
      <w:r w:rsidR="00A735A4">
        <w:t xml:space="preserve">. </w:t>
      </w:r>
      <w:r w:rsidR="00AD0909">
        <w:t>The associated benefits of such policies can</w:t>
      </w:r>
      <w:r w:rsidR="00CC67D9">
        <w:t xml:space="preserve"> go far beyond the savings in terms of CBAM obligations</w:t>
      </w:r>
      <w:r w:rsidR="00D77518">
        <w:t xml:space="preserve"> to include </w:t>
      </w:r>
      <w:r w:rsidR="00632A58">
        <w:t xml:space="preserve">alignment with NDCs, </w:t>
      </w:r>
      <w:r w:rsidR="00743C15">
        <w:t xml:space="preserve">improved </w:t>
      </w:r>
      <w:r w:rsidR="00E325E5">
        <w:t xml:space="preserve">productivity, </w:t>
      </w:r>
      <w:r w:rsidR="00BA7033">
        <w:t xml:space="preserve">better </w:t>
      </w:r>
      <w:r w:rsidR="00743C15">
        <w:t>air quality, reduced mortality</w:t>
      </w:r>
      <w:r w:rsidR="00BA7033">
        <w:t>, and higher fiscal revenues</w:t>
      </w:r>
      <w:r w:rsidR="008F6C96">
        <w:t xml:space="preserve"> to fund national priorities</w:t>
      </w:r>
      <w:r w:rsidR="00BA7033">
        <w:t>.</w:t>
      </w:r>
    </w:p>
    <w:p w14:paraId="59AE11A3" w14:textId="3B3DAAF9" w:rsidR="00330BCE" w:rsidRDefault="00330BCE" w:rsidP="000E1424">
      <w:r w:rsidRPr="00AD7FC8">
        <w:rPr>
          <w:b/>
          <w:bCs/>
        </w:rPr>
        <w:t xml:space="preserve">Carbon pricing carries </w:t>
      </w:r>
      <w:r w:rsidR="0079029D">
        <w:rPr>
          <w:b/>
          <w:bCs/>
        </w:rPr>
        <w:t xml:space="preserve">particular </w:t>
      </w:r>
      <w:r w:rsidRPr="00AD7FC8">
        <w:rPr>
          <w:b/>
          <w:bCs/>
        </w:rPr>
        <w:t xml:space="preserve">advantages over other mitigation interventions in reducing exposure to CBAM as it reduces both the base and rate of payments. </w:t>
      </w:r>
      <w:r>
        <w:t xml:space="preserve">Numerous interventions can </w:t>
      </w:r>
      <w:r w:rsidR="008E4A66">
        <w:t xml:space="preserve">reduce </w:t>
      </w:r>
      <w:commentRangeStart w:id="62"/>
      <w:r>
        <w:t>CBAM</w:t>
      </w:r>
      <w:commentRangeEnd w:id="62"/>
      <w:r w:rsidR="005E42B9">
        <w:rPr>
          <w:rStyle w:val="CommentReference"/>
          <w:sz w:val="22"/>
          <w:szCs w:val="22"/>
        </w:rPr>
        <w:commentReference w:id="62"/>
      </w:r>
      <w:r>
        <w:t xml:space="preserve"> obligations by reducing the emissions intensity of goods. Sectoral regulations, public investments, green bonds and others can all play important roles in reducing emissions from CBAM goods and thereby the “tax base” on which CBAM payments are based. What they cannot reduce, however, is the CBAM price applied to the remaining emissions. Carbon pricing is the only mitigation instrument that both reduces the tax base, by reducing the embedded emissions of a CBAM good, and reduces the tax rate, by deducting from the EU ETS price that is applied to the remaining embedded emissions. </w:t>
      </w:r>
    </w:p>
    <w:p w14:paraId="6DCC55DA" w14:textId="551B8499" w:rsidR="000E1424" w:rsidRDefault="000E1424" w:rsidP="000E1424">
      <w:r w:rsidRPr="11357084">
        <w:rPr>
          <w:b/>
          <w:bCs/>
        </w:rPr>
        <w:t xml:space="preserve">Egypt can retain CBAM related revenues domestically by establishing a </w:t>
      </w:r>
      <w:r w:rsidR="0016320C">
        <w:rPr>
          <w:b/>
          <w:bCs/>
        </w:rPr>
        <w:t xml:space="preserve">qualifying </w:t>
      </w:r>
      <w:r w:rsidRPr="11357084">
        <w:rPr>
          <w:b/>
          <w:bCs/>
        </w:rPr>
        <w:t xml:space="preserve">carbon pricing mechanism, ensuring that payments remain within the national economy rather than being transferred to the EU. </w:t>
      </w:r>
      <w:r>
        <w:t xml:space="preserve">The financial payments from EU importers of Egyptian exports </w:t>
      </w:r>
      <w:r w:rsidR="00136014">
        <w:t>w</w:t>
      </w:r>
      <w:r>
        <w:t xml:space="preserve">ould be reduced by deducting domestic carbon price payments to the Egyptian government </w:t>
      </w:r>
      <w:r w:rsidR="00DC7255">
        <w:t>through a carbon tax, levy, or</w:t>
      </w:r>
      <w:r w:rsidR="000A68FF">
        <w:t xml:space="preserve"> ETS applied </w:t>
      </w:r>
      <w:r>
        <w:t xml:space="preserve">in proportion to the GHG emissions generated </w:t>
      </w:r>
      <w:r w:rsidR="000E21EA">
        <w:t xml:space="preserve">in the </w:t>
      </w:r>
      <w:r w:rsidR="000E21EA">
        <w:lastRenderedPageBreak/>
        <w:t>production of</w:t>
      </w:r>
      <w:r w:rsidR="00246394">
        <w:t xml:space="preserve"> the good</w:t>
      </w:r>
      <w:r>
        <w:t>.</w:t>
      </w:r>
      <w:r w:rsidR="00246394">
        <w:t xml:space="preserve"> </w:t>
      </w:r>
      <w:r w:rsidR="002C3872">
        <w:t xml:space="preserve">In this way, </w:t>
      </w:r>
      <w:r w:rsidR="00246394">
        <w:t xml:space="preserve">Egyptian </w:t>
      </w:r>
      <w:r w:rsidR="002C3872">
        <w:t>exporters</w:t>
      </w:r>
      <w:r w:rsidR="00632A58">
        <w:t xml:space="preserve"> </w:t>
      </w:r>
      <w:r w:rsidR="005F329B">
        <w:t>would</w:t>
      </w:r>
      <w:r w:rsidR="00926D6E">
        <w:t xml:space="preserve"> not bear additional costs from the imposition of a domestic carbon price, and </w:t>
      </w:r>
      <w:r w:rsidR="006C0226">
        <w:t>carbon payments by other domestic producers</w:t>
      </w:r>
      <w:r w:rsidR="0047594C">
        <w:t xml:space="preserve"> would expand</w:t>
      </w:r>
      <w:r w:rsidR="00A94C0A">
        <w:t xml:space="preserve"> the domestic environmental benefits and revenues</w:t>
      </w:r>
      <w:r w:rsidR="00287933">
        <w:t>. These benefits</w:t>
      </w:r>
      <w:r w:rsidR="00F2496A">
        <w:t xml:space="preserve"> can be weigh</w:t>
      </w:r>
      <w:r w:rsidR="00287933">
        <w:t xml:space="preserve">ed against </w:t>
      </w:r>
      <w:r w:rsidR="00941DCE">
        <w:t>the costs to design</w:t>
      </w:r>
      <w:r w:rsidR="00691D4D">
        <w:t xml:space="preserve"> an appropriate level</w:t>
      </w:r>
      <w:r w:rsidR="00B76EA3">
        <w:t xml:space="preserve"> of stringency and transition period for the Egyptian context</w:t>
      </w:r>
      <w:r w:rsidR="00A94C0A">
        <w:t>.</w:t>
      </w:r>
    </w:p>
    <w:p w14:paraId="452B1D7A" w14:textId="28C5E5C8" w:rsidR="11357084" w:rsidRDefault="004A6CF4" w:rsidP="11357084">
      <w:r w:rsidRPr="00080EF2">
        <w:rPr>
          <w:b/>
          <w:bCs/>
        </w:rPr>
        <w:t xml:space="preserve">Global experience provides many examples of </w:t>
      </w:r>
      <w:r w:rsidR="003A0F7A" w:rsidRPr="00080EF2">
        <w:rPr>
          <w:b/>
          <w:bCs/>
        </w:rPr>
        <w:t xml:space="preserve">carbon pricing </w:t>
      </w:r>
      <w:r w:rsidRPr="00080EF2">
        <w:rPr>
          <w:b/>
          <w:bCs/>
        </w:rPr>
        <w:t>approaches</w:t>
      </w:r>
      <w:r w:rsidR="00536588">
        <w:rPr>
          <w:b/>
          <w:bCs/>
        </w:rPr>
        <w:t xml:space="preserve"> </w:t>
      </w:r>
      <w:r w:rsidR="00EF0B9B">
        <w:rPr>
          <w:b/>
          <w:bCs/>
        </w:rPr>
        <w:t xml:space="preserve">designed </w:t>
      </w:r>
      <w:r w:rsidR="00536588">
        <w:rPr>
          <w:b/>
          <w:bCs/>
        </w:rPr>
        <w:t>to meet domestic objectives</w:t>
      </w:r>
      <w:r w:rsidR="00080EF2" w:rsidRPr="00080EF2">
        <w:rPr>
          <w:b/>
          <w:bCs/>
        </w:rPr>
        <w:t>.</w:t>
      </w:r>
      <w:r w:rsidR="00080EF2">
        <w:t xml:space="preserve"> They vary not only </w:t>
      </w:r>
      <w:r w:rsidR="00EC4D07">
        <w:t xml:space="preserve">by instrument choice </w:t>
      </w:r>
      <w:r w:rsidR="00080EF2">
        <w:t xml:space="preserve">but </w:t>
      </w:r>
      <w:r w:rsidR="00EC4D07">
        <w:t xml:space="preserve">also by the points of intervention, degree of emissions coverage, </w:t>
      </w:r>
      <w:r w:rsidR="00252D20">
        <w:t xml:space="preserve">price developments, and free allocation strategies for industries. </w:t>
      </w:r>
      <w:r w:rsidR="005736F4">
        <w:t>We distinguish approaches</w:t>
      </w:r>
      <w:r w:rsidR="00CB5A01">
        <w:t xml:space="preserve"> by whether </w:t>
      </w:r>
      <w:r w:rsidR="001C70DA">
        <w:t>they target “downstream” emissions</w:t>
      </w:r>
      <w:r w:rsidR="000018DC">
        <w:t xml:space="preserve"> at the point-source level of industrial facilities, </w:t>
      </w:r>
      <w:r w:rsidR="00D6590C">
        <w:t>intervene “upstream” to charge for the carbon content of fossil fuels</w:t>
      </w:r>
      <w:r w:rsidR="0072189B">
        <w:t xml:space="preserve"> consumed by point- and non-point-sources</w:t>
      </w:r>
      <w:r w:rsidR="00403CB8">
        <w:t xml:space="preserve"> alike, or aim to cover greenhouse gas emissions </w:t>
      </w:r>
      <w:r w:rsidR="00A65298">
        <w:t xml:space="preserve">more </w:t>
      </w:r>
      <w:r w:rsidR="00403CB8">
        <w:t>comprehensively in the economy</w:t>
      </w:r>
      <w:r w:rsidR="00A65298">
        <w:t>.</w:t>
      </w:r>
    </w:p>
    <w:p w14:paraId="0025C47C" w14:textId="77777777" w:rsidR="002D69DB" w:rsidRDefault="002D69DB" w:rsidP="002D69DB">
      <w:pPr>
        <w:pStyle w:val="Heading3"/>
      </w:pPr>
      <w:r w:rsidRPr="001E528A">
        <w:t>Downstream carbon price on heavy industry</w:t>
      </w:r>
    </w:p>
    <w:p w14:paraId="43EF879D" w14:textId="063648AF" w:rsidR="002D69DB" w:rsidRDefault="002D69DB" w:rsidP="002D69DB">
      <w:r w:rsidRPr="00765770">
        <w:rPr>
          <w:b/>
          <w:bCs/>
        </w:rPr>
        <w:t>Many carbon pricing systems have been focused on the direct emissions of point sources,</w:t>
      </w:r>
      <w:r>
        <w:t xml:space="preserve"> covering both combustion and process emissions from major facilities in such emissions-intensive sectors as power generation and heavy manufacturing like steel and cement. These facilities typically already operate under a range of environmental regulations, with performance requirements for operating permits and maximum allowable emissions for air and water pollutants. The innovation with market-based regulations is to determine a sector-wide emissions price or trading system, incentivizing facilities to abate emissions as long as the cost of doing so is less than the prevailing emissions tax or allowance price.</w:t>
      </w:r>
      <w:r w:rsidR="00C81249">
        <w:t xml:space="preserve"> </w:t>
      </w:r>
      <w:r w:rsidR="00081763">
        <w:t xml:space="preserve">As a result, facilities with lower costs of abatement can overcomply with the standard and sell allowances </w:t>
      </w:r>
      <w:r w:rsidR="00BF65C4">
        <w:t xml:space="preserve">or avoid tax payments, while facilities with </w:t>
      </w:r>
      <w:r w:rsidR="00977643">
        <w:t xml:space="preserve">costlier abatement opportunities can </w:t>
      </w:r>
      <w:r w:rsidR="007C1BFF">
        <w:t xml:space="preserve">purchase allowances or pay emissions taxes </w:t>
      </w:r>
      <w:r w:rsidR="007378A5">
        <w:t>to meet the remainder of the compliance goal</w:t>
      </w:r>
      <w:r w:rsidR="003A2772">
        <w:t>, resulting</w:t>
      </w:r>
      <w:r w:rsidR="00E46AA3">
        <w:t xml:space="preserve"> in lower overall costs of meeting the target</w:t>
      </w:r>
      <w:r w:rsidR="007C1BFF">
        <w:t>.</w:t>
      </w:r>
    </w:p>
    <w:p w14:paraId="2E7F3F9B" w14:textId="66B0D8FE" w:rsidR="00E247F0" w:rsidRDefault="002D69DB" w:rsidP="002D69DB">
      <w:r w:rsidRPr="00EF7E8C">
        <w:rPr>
          <w:b/>
          <w:bCs/>
        </w:rPr>
        <w:t>Downstream carbon pricing systems can be distinguished in practice according to how the revenues are allocated between the government and the participants</w:t>
      </w:r>
      <w:r>
        <w:t>.</w:t>
      </w:r>
      <w:r w:rsidR="008B034F">
        <w:t xml:space="preserve"> </w:t>
      </w:r>
      <w:r w:rsidR="00E247F0">
        <w:t xml:space="preserve">These decisions about </w:t>
      </w:r>
      <w:r w:rsidR="00D02375">
        <w:t>the allocation of emissions values have important implications both</w:t>
      </w:r>
      <w:r w:rsidR="00A5116C">
        <w:t xml:space="preserve"> for the economic implications and for the potential reduction in CBAM allocations.</w:t>
      </w:r>
    </w:p>
    <w:p w14:paraId="6F69FA2F" w14:textId="208A7E02" w:rsidR="001620E3" w:rsidRDefault="00965324" w:rsidP="002D69DB">
      <w:r w:rsidRPr="00775A3A">
        <w:rPr>
          <w:b/>
          <w:bCs/>
        </w:rPr>
        <w:t xml:space="preserve">An </w:t>
      </w:r>
      <w:r w:rsidR="00983ABD" w:rsidRPr="00775A3A">
        <w:rPr>
          <w:b/>
          <w:bCs/>
        </w:rPr>
        <w:t>example</w:t>
      </w:r>
      <w:r w:rsidRPr="00775A3A">
        <w:rPr>
          <w:b/>
          <w:bCs/>
        </w:rPr>
        <w:t xml:space="preserve"> of a downstream</w:t>
      </w:r>
      <w:r w:rsidR="00DF59FF" w:rsidRPr="00775A3A">
        <w:rPr>
          <w:b/>
          <w:bCs/>
        </w:rPr>
        <w:t xml:space="preserve"> system </w:t>
      </w:r>
      <w:r w:rsidR="001910D4">
        <w:rPr>
          <w:b/>
          <w:bCs/>
        </w:rPr>
        <w:t>with emission rents</w:t>
      </w:r>
      <w:r w:rsidR="000C4EE4">
        <w:rPr>
          <w:b/>
          <w:bCs/>
        </w:rPr>
        <w:t xml:space="preserve"> accruing to the government</w:t>
      </w:r>
      <w:r w:rsidR="001910D4">
        <w:rPr>
          <w:b/>
          <w:bCs/>
        </w:rPr>
        <w:t xml:space="preserve"> </w:t>
      </w:r>
      <w:r w:rsidR="00DF59FF" w:rsidRPr="00775A3A">
        <w:rPr>
          <w:b/>
          <w:bCs/>
        </w:rPr>
        <w:t>is</w:t>
      </w:r>
      <w:r w:rsidR="00983ABD" w:rsidRPr="00775A3A">
        <w:rPr>
          <w:b/>
          <w:bCs/>
        </w:rPr>
        <w:t xml:space="preserve"> </w:t>
      </w:r>
      <w:r w:rsidR="002D69DB" w:rsidRPr="00775A3A">
        <w:rPr>
          <w:b/>
          <w:bCs/>
        </w:rPr>
        <w:t>Chile's carbon tax</w:t>
      </w:r>
      <w:r w:rsidR="00983ABD">
        <w:t xml:space="preserve"> </w:t>
      </w:r>
      <w:r w:rsidR="002D69DB">
        <w:t>(</w:t>
      </w:r>
      <w:r w:rsidR="00983ABD">
        <w:t>or “</w:t>
      </w:r>
      <w:r w:rsidR="002D69DB">
        <w:t>impuesto verde</w:t>
      </w:r>
      <w:r w:rsidR="00983ABD">
        <w:t>”</w:t>
      </w:r>
      <w:r w:rsidR="002D69DB">
        <w:t>)</w:t>
      </w:r>
      <w:r w:rsidR="00DF59FF">
        <w:t>,</w:t>
      </w:r>
      <w:r w:rsidR="002D69DB">
        <w:t xml:space="preserve"> </w:t>
      </w:r>
      <w:r w:rsidR="00DF59FF">
        <w:t xml:space="preserve">which was designed with multiple </w:t>
      </w:r>
      <w:r w:rsidR="002D69DB">
        <w:t>goals</w:t>
      </w:r>
      <w:r w:rsidR="00DF59FF">
        <w:t xml:space="preserve"> in mind</w:t>
      </w:r>
      <w:r w:rsidR="002D69DB">
        <w:t xml:space="preserve">: raising revenues to fund education and health reforms, addressing severe urban air quality problems, and reducing GHG emissions in line with Chile's climate </w:t>
      </w:r>
      <w:r w:rsidR="005E49C7">
        <w:t>NDCs</w:t>
      </w:r>
      <w:r w:rsidR="002D69DB">
        <w:t xml:space="preserve">. </w:t>
      </w:r>
      <w:r w:rsidR="005337E6">
        <w:t xml:space="preserve">The </w:t>
      </w:r>
      <w:r w:rsidR="002D69DB">
        <w:t xml:space="preserve">tax </w:t>
      </w:r>
      <w:r w:rsidR="00F431C2">
        <w:t xml:space="preserve">applies </w:t>
      </w:r>
      <w:r w:rsidR="002D69DB">
        <w:rPr>
          <w:rFonts w:hint="eastAsia"/>
        </w:rPr>
        <w:t>to stationary sources</w:t>
      </w:r>
      <w:r w:rsidR="00F431C2">
        <w:t xml:space="preserve"> </w:t>
      </w:r>
      <w:r w:rsidR="00EB5BD0">
        <w:t xml:space="preserve">with </w:t>
      </w:r>
      <w:r w:rsidR="00EF0B74">
        <w:t xml:space="preserve">annual </w:t>
      </w:r>
      <w:r w:rsidR="00EB5BD0">
        <w:t xml:space="preserve">emissions of </w:t>
      </w:r>
      <w:r w:rsidR="002D69DB">
        <w:rPr>
          <w:rFonts w:hint="eastAsia"/>
        </w:rPr>
        <w:t>25,000 tCO</w:t>
      </w:r>
      <w:r w:rsidR="002D69DB">
        <w:rPr>
          <w:rFonts w:hint="eastAsia"/>
        </w:rPr>
        <w:t>₂</w:t>
      </w:r>
      <w:r w:rsidR="002D69DB">
        <w:rPr>
          <w:rFonts w:hint="eastAsia"/>
        </w:rPr>
        <w:t xml:space="preserve"> or more</w:t>
      </w:r>
      <w:r w:rsidR="00EF0B74" w:rsidRPr="00EF0B74">
        <w:t>.</w:t>
      </w:r>
      <w:r w:rsidR="002D69DB">
        <w:t xml:space="preserve">, </w:t>
      </w:r>
      <w:r w:rsidR="00EB5BD0">
        <w:t xml:space="preserve">covering about </w:t>
      </w:r>
      <w:r w:rsidR="002D69DB">
        <w:t xml:space="preserve">33% of Chile's total GHG emissions, </w:t>
      </w:r>
      <w:r w:rsidR="00BA5C84">
        <w:t xml:space="preserve">primarily in the power and industrial sectors. </w:t>
      </w:r>
      <w:r w:rsidR="00135D71">
        <w:t xml:space="preserve">Since the </w:t>
      </w:r>
      <w:r w:rsidR="000220B9">
        <w:t>revenues</w:t>
      </w:r>
      <w:r w:rsidR="00135D71">
        <w:t xml:space="preserve"> are retained by the government, the full carbon payments by</w:t>
      </w:r>
      <w:r w:rsidR="007E1E1F">
        <w:t xml:space="preserve"> producers of CBAM products should be applied toward CBAM obligations, although with a tax </w:t>
      </w:r>
      <w:r w:rsidR="007E1E1F">
        <w:rPr>
          <w:rFonts w:hint="eastAsia"/>
        </w:rPr>
        <w:t xml:space="preserve">rate </w:t>
      </w:r>
      <w:r w:rsidR="007E1E1F">
        <w:t xml:space="preserve">of </w:t>
      </w:r>
      <w:r w:rsidR="007E1E1F">
        <w:rPr>
          <w:rFonts w:hint="eastAsia"/>
        </w:rPr>
        <w:t>US$5 per tCO</w:t>
      </w:r>
      <w:r w:rsidR="007E1E1F">
        <w:rPr>
          <w:rFonts w:hint="eastAsia"/>
        </w:rPr>
        <w:t>₂</w:t>
      </w:r>
      <w:r w:rsidR="007E1E1F">
        <w:rPr>
          <w:rFonts w:hint="eastAsia"/>
        </w:rPr>
        <w:t>e</w:t>
      </w:r>
      <w:r w:rsidR="007E1E1F">
        <w:t xml:space="preserve">, </w:t>
      </w:r>
      <w:r w:rsidR="001017A6">
        <w:t xml:space="preserve">the creditable amount remains small </w:t>
      </w:r>
      <w:r w:rsidR="001017A6">
        <w:lastRenderedPageBreak/>
        <w:t>relative to the price of obligations.</w:t>
      </w:r>
      <w:r w:rsidR="00B8159D">
        <w:t xml:space="preserve"> Still, Chile has raised </w:t>
      </w:r>
      <w:r w:rsidR="002D69DB">
        <w:t xml:space="preserve">US$165–168 million per year in the first years of implementation, </w:t>
      </w:r>
      <w:r w:rsidR="00433C3E">
        <w:t xml:space="preserve">and it aims </w:t>
      </w:r>
      <w:r w:rsidR="002D69DB">
        <w:rPr>
          <w:rFonts w:hint="eastAsia"/>
        </w:rPr>
        <w:t xml:space="preserve">to raise the carbon price </w:t>
      </w:r>
      <w:r w:rsidR="00433C3E">
        <w:t>in the next decade</w:t>
      </w:r>
      <w:r w:rsidR="002D69DB">
        <w:t>.</w:t>
      </w:r>
    </w:p>
    <w:p w14:paraId="35FC5DE4" w14:textId="77777777" w:rsidR="002D69DB" w:rsidRDefault="002D69DB" w:rsidP="002D69DB">
      <w:r w:rsidRPr="001620E3">
        <w:rPr>
          <w:b/>
          <w:bCs/>
        </w:rPr>
        <w:t>Most downstream pricing systems covering heavy industries have adopted emissions trading systems, typically with generous free allocation to covered facilities to start.</w:t>
      </w:r>
      <w:r>
        <w:t xml:space="preserve"> These industries tend to have large firms that are economically and politically important stakeholders and products that are relatively highly exposed to trade, leading to the use of mechanisms to limit the impact of the carbon pricing system on industrial competitiveness.</w:t>
      </w:r>
    </w:p>
    <w:p w14:paraId="5B810AF1" w14:textId="76539F43" w:rsidR="002D69DB" w:rsidRDefault="002D69DB" w:rsidP="00DF4CF8">
      <w:r w:rsidRPr="00AA3245">
        <w:rPr>
          <w:b/>
          <w:bCs/>
        </w:rPr>
        <w:t xml:space="preserve">The </w:t>
      </w:r>
      <w:r w:rsidR="00AA3245" w:rsidRPr="00AA3245">
        <w:rPr>
          <w:b/>
          <w:bCs/>
        </w:rPr>
        <w:t xml:space="preserve">most prominent </w:t>
      </w:r>
      <w:r w:rsidRPr="00AA3245">
        <w:rPr>
          <w:b/>
          <w:bCs/>
        </w:rPr>
        <w:t>example among emerging economies is China's national ETS</w:t>
      </w:r>
      <w:r w:rsidRPr="00F12141">
        <w:rPr>
          <w:b/>
          <w:bCs/>
        </w:rPr>
        <w:t xml:space="preserve">, which </w:t>
      </w:r>
      <w:r w:rsidR="002E7FB7" w:rsidRPr="00F12141">
        <w:rPr>
          <w:b/>
          <w:bCs/>
        </w:rPr>
        <w:t xml:space="preserve">began with </w:t>
      </w:r>
      <w:r w:rsidR="00DF049A" w:rsidRPr="00F12141">
        <w:rPr>
          <w:b/>
          <w:bCs/>
        </w:rPr>
        <w:t xml:space="preserve">large </w:t>
      </w:r>
      <w:r w:rsidR="002E7FB7" w:rsidRPr="00F12141">
        <w:rPr>
          <w:b/>
          <w:bCs/>
        </w:rPr>
        <w:t xml:space="preserve">facilities </w:t>
      </w:r>
      <w:r w:rsidRPr="00F12141">
        <w:rPr>
          <w:b/>
          <w:bCs/>
        </w:rPr>
        <w:t xml:space="preserve">in the power sector </w:t>
      </w:r>
      <w:r w:rsidR="00DF049A" w:rsidRPr="00F12141">
        <w:rPr>
          <w:b/>
          <w:bCs/>
        </w:rPr>
        <w:t xml:space="preserve">and </w:t>
      </w:r>
      <w:r w:rsidR="00D27810" w:rsidRPr="00F12141">
        <w:rPr>
          <w:b/>
          <w:bCs/>
        </w:rPr>
        <w:t>expand</w:t>
      </w:r>
      <w:r w:rsidR="00A8180B" w:rsidRPr="00F12141">
        <w:rPr>
          <w:b/>
          <w:bCs/>
        </w:rPr>
        <w:t>ed</w:t>
      </w:r>
      <w:r w:rsidR="00D27810" w:rsidRPr="00F12141">
        <w:rPr>
          <w:b/>
          <w:bCs/>
        </w:rPr>
        <w:t xml:space="preserve"> in </w:t>
      </w:r>
      <w:r w:rsidRPr="00F12141">
        <w:rPr>
          <w:b/>
          <w:bCs/>
        </w:rPr>
        <w:t>2025</w:t>
      </w:r>
      <w:r w:rsidR="00D27810" w:rsidRPr="00F12141">
        <w:rPr>
          <w:b/>
          <w:bCs/>
        </w:rPr>
        <w:t xml:space="preserve"> </w:t>
      </w:r>
      <w:r w:rsidRPr="00F12141">
        <w:rPr>
          <w:b/>
          <w:bCs/>
        </w:rPr>
        <w:t xml:space="preserve">to </w:t>
      </w:r>
      <w:r w:rsidR="00D27810" w:rsidRPr="00F12141">
        <w:rPr>
          <w:b/>
          <w:bCs/>
        </w:rPr>
        <w:t xml:space="preserve">include </w:t>
      </w:r>
      <w:r w:rsidRPr="00F12141">
        <w:rPr>
          <w:b/>
          <w:bCs/>
        </w:rPr>
        <w:t>the cement, steel, and aluminum sectors</w:t>
      </w:r>
      <w:r w:rsidR="00F12141">
        <w:t>.</w:t>
      </w:r>
      <w:r w:rsidR="002F7737">
        <w:t xml:space="preserve"> </w:t>
      </w:r>
      <w:r w:rsidR="00671A92">
        <w:t>F</w:t>
      </w:r>
      <w:r w:rsidR="00671A92" w:rsidRPr="00671A92">
        <w:t xml:space="preserve">acilities with annual emissions of more than 26,000 tCO2e </w:t>
      </w:r>
      <w:r w:rsidR="00671A92">
        <w:t xml:space="preserve">are covered, </w:t>
      </w:r>
      <w:r w:rsidR="002F7737">
        <w:t xml:space="preserve">currently </w:t>
      </w:r>
      <w:r w:rsidR="00671A92">
        <w:t xml:space="preserve">representing </w:t>
      </w:r>
      <w:r w:rsidR="002F7737">
        <w:t xml:space="preserve">roughly </w:t>
      </w:r>
      <w:r w:rsidR="00A365D7">
        <w:t xml:space="preserve">half </w:t>
      </w:r>
      <w:r w:rsidR="002F7737">
        <w:t>of China's national emissions</w:t>
      </w:r>
      <w:r>
        <w:t xml:space="preserve">. The system embeds free, output-based allocation by using a collection of carbon-intensity benchmarks tied to actual production levels, meaning the cap adjusts with output. The policy in that way partly mirrors the intensity-based targets in China’s NDC. However, no revenues are collected, since allowances are allocated for free. </w:t>
      </w:r>
      <w:r w:rsidR="006D6D67">
        <w:t>The free allocation limits the costs that regulated firms</w:t>
      </w:r>
      <w:r w:rsidR="00EA7B84">
        <w:t xml:space="preserve"> </w:t>
      </w:r>
      <w:r w:rsidR="000D57DA">
        <w:t>bear</w:t>
      </w:r>
      <w:r w:rsidR="00EA7B84">
        <w:t xml:space="preserve">, avoiding </w:t>
      </w:r>
      <w:r w:rsidR="0063006C">
        <w:t xml:space="preserve">possible </w:t>
      </w:r>
      <w:r w:rsidR="00EA7B84">
        <w:t>dislocations but also limiting the effectiveness of the policy</w:t>
      </w:r>
      <w:r w:rsidR="0063006C">
        <w:t xml:space="preserve"> at reducing emissions, since lower-carbon sources have lower rates of free allocation and thus do </w:t>
      </w:r>
      <w:r w:rsidR="00F40AE4">
        <w:t>not become more competitive relative to higher-emitting sources with more generous intensity standards.</w:t>
      </w:r>
    </w:p>
    <w:p w14:paraId="008DB69E" w14:textId="77777777" w:rsidR="002D69DB" w:rsidRDefault="002D69DB" w:rsidP="002D69DB">
      <w:r w:rsidRPr="00726CE7">
        <w:rPr>
          <w:b/>
          <w:bCs/>
        </w:rPr>
        <w:t>The benchmarking allocation system falls under the types of rebates that the draft CBAM rules deem would offset carbon pricing effectively paid</w:t>
      </w:r>
      <w:r>
        <w:t xml:space="preserve">, </w:t>
      </w:r>
      <w:r w:rsidRPr="00736EF4">
        <w:rPr>
          <w:b/>
          <w:bCs/>
        </w:rPr>
        <w:t>meaning little or no net carbon price would be recognized for reducing CBAM obligations</w:t>
      </w:r>
      <w:r>
        <w:t>. In part for these reasons and to allow for increasing ambition in emissions reductions, a roadmap toward an absolute emissions cap (replacing the current intensity-based approach) is expected by 2027 or shortly thereafter, further facilitating more auctioning and net effective carbon pricing on embodied emissions.</w:t>
      </w:r>
    </w:p>
    <w:p w14:paraId="43AFC09D" w14:textId="6CBB0944" w:rsidR="00E653CE" w:rsidRDefault="00506D55" w:rsidP="00244E8E">
      <w:r w:rsidRPr="00C73345">
        <w:rPr>
          <w:b/>
          <w:bCs/>
        </w:rPr>
        <w:t xml:space="preserve">Some jurisdictions have experimented with using </w:t>
      </w:r>
      <w:r w:rsidR="002D69DB" w:rsidRPr="00C73345">
        <w:rPr>
          <w:b/>
          <w:bCs/>
        </w:rPr>
        <w:t xml:space="preserve">revenues </w:t>
      </w:r>
      <w:r w:rsidRPr="00C73345">
        <w:rPr>
          <w:b/>
          <w:bCs/>
        </w:rPr>
        <w:t xml:space="preserve">from a downstream pricing system to support </w:t>
      </w:r>
      <w:r w:rsidR="002D69DB" w:rsidRPr="00C73345">
        <w:rPr>
          <w:b/>
          <w:bCs/>
        </w:rPr>
        <w:t>industrial abatement</w:t>
      </w:r>
      <w:r w:rsidR="00C73345" w:rsidRPr="00C73345">
        <w:rPr>
          <w:b/>
          <w:bCs/>
        </w:rPr>
        <w:t>.</w:t>
      </w:r>
      <w:r w:rsidR="00C73345">
        <w:t xml:space="preserve"> For example, </w:t>
      </w:r>
      <w:r w:rsidR="00AC7C64">
        <w:t xml:space="preserve">the Canadian province of </w:t>
      </w:r>
      <w:r w:rsidR="002D69DB">
        <w:t>Alberta</w:t>
      </w:r>
      <w:r w:rsidR="004A1C77">
        <w:t xml:space="preserve"> </w:t>
      </w:r>
      <w:r w:rsidR="006E2C6C">
        <w:t xml:space="preserve">has </w:t>
      </w:r>
      <w:r w:rsidR="0087721C">
        <w:t xml:space="preserve">a Technology </w:t>
      </w:r>
      <w:r w:rsidR="00EF08F1">
        <w:t>I</w:t>
      </w:r>
      <w:r w:rsidR="0087721C">
        <w:t xml:space="preserve">nnovation </w:t>
      </w:r>
      <w:r w:rsidR="00EF08F1">
        <w:t xml:space="preserve">and Emissions Reduction (TIER) system, which takes </w:t>
      </w:r>
      <w:r w:rsidR="004A1C77">
        <w:t xml:space="preserve">an intensity-based emissions trading approach </w:t>
      </w:r>
      <w:r w:rsidR="003C22E4">
        <w:t xml:space="preserve">for industrial emitters </w:t>
      </w:r>
      <w:r w:rsidR="00EF08F1">
        <w:t xml:space="preserve">and offers </w:t>
      </w:r>
      <w:r w:rsidR="004A1C77">
        <w:t xml:space="preserve">an alternative compliance option of paying </w:t>
      </w:r>
      <w:r w:rsidR="002D69DB">
        <w:rPr>
          <w:rFonts w:hint="eastAsia"/>
        </w:rPr>
        <w:t xml:space="preserve">into the </w:t>
      </w:r>
      <w:r w:rsidR="00244E8E">
        <w:t xml:space="preserve">TIER </w:t>
      </w:r>
      <w:r w:rsidR="002D69DB">
        <w:rPr>
          <w:rFonts w:hint="eastAsia"/>
        </w:rPr>
        <w:t xml:space="preserve"> </w:t>
      </w:r>
      <w:r w:rsidR="00244E8E">
        <w:t xml:space="preserve">fund </w:t>
      </w:r>
      <w:r w:rsidR="002D69DB">
        <w:rPr>
          <w:rFonts w:hint="eastAsia"/>
        </w:rPr>
        <w:t>at a fixed price</w:t>
      </w:r>
      <w:r w:rsidR="00B1360A">
        <w:t xml:space="preserve"> (currently </w:t>
      </w:r>
      <w:r w:rsidR="00B1360A" w:rsidRPr="00B1360A">
        <w:t>CAD 95</w:t>
      </w:r>
      <w:r w:rsidR="00B1360A">
        <w:t>)</w:t>
      </w:r>
      <w:r w:rsidR="00244E8E">
        <w:t>. The TIER fund</w:t>
      </w:r>
      <w:r w:rsidR="00BC17F0">
        <w:t>,</w:t>
      </w:r>
      <w:r w:rsidR="00244E8E">
        <w:t xml:space="preserve"> </w:t>
      </w:r>
      <w:r w:rsidR="00BC17F0">
        <w:t xml:space="preserve">administered </w:t>
      </w:r>
      <w:r w:rsidR="008E66DC">
        <w:t xml:space="preserve">by Emissions Reduction Alberta, uses funding competitions and grants to </w:t>
      </w:r>
      <w:r w:rsidR="00244E8E">
        <w:t>support a variety of initiatives to reduce emissions, clean</w:t>
      </w:r>
      <w:r w:rsidR="008E66DC">
        <w:t xml:space="preserve"> </w:t>
      </w:r>
      <w:r w:rsidR="00244E8E">
        <w:t>technology development</w:t>
      </w:r>
      <w:r w:rsidR="00D77DA0">
        <w:t>,</w:t>
      </w:r>
      <w:r w:rsidR="00244E8E">
        <w:t xml:space="preserve"> climate change adaptation</w:t>
      </w:r>
      <w:r w:rsidR="00D77DA0">
        <w:t>, and a carbon capture incentive program</w:t>
      </w:r>
      <w:r w:rsidR="00244E8E">
        <w:t>.</w:t>
      </w:r>
      <w:r w:rsidR="00F20F21">
        <w:t xml:space="preserve"> </w:t>
      </w:r>
      <w:r w:rsidR="002D69DB">
        <w:t xml:space="preserve">From a CBAM perspective, under the Alberta-style example, although the free allocation through the </w:t>
      </w:r>
      <w:r w:rsidR="007F71DD">
        <w:t xml:space="preserve">baseline-and-credit </w:t>
      </w:r>
      <w:r w:rsidR="00B1360A">
        <w:t xml:space="preserve">system </w:t>
      </w:r>
      <w:r w:rsidR="002D69DB">
        <w:t>would reduce the carbon price effectively paid, carbon payments made into the Fund would be deductible, and investment support to the low-carbon technology projects would not reduce that effective carbon price.</w:t>
      </w:r>
      <w:r w:rsidR="00E653CE">
        <w:t xml:space="preserve"> </w:t>
      </w:r>
    </w:p>
    <w:p w14:paraId="3A17DB6D" w14:textId="12AE64FB" w:rsidR="001B7B25" w:rsidRDefault="002C7406" w:rsidP="11357084">
      <w:pPr>
        <w:pStyle w:val="Heading3"/>
        <w:spacing w:before="240"/>
      </w:pPr>
      <w:commentRangeStart w:id="63"/>
      <w:commentRangeStart w:id="64"/>
      <w:commentRangeStart w:id="65"/>
      <w:commentRangeStart w:id="66"/>
      <w:r>
        <w:lastRenderedPageBreak/>
        <w:t xml:space="preserve">An upstream carbon </w:t>
      </w:r>
      <w:r w:rsidR="00F84B2E">
        <w:t>levy</w:t>
      </w:r>
      <w:r w:rsidR="001B7B25">
        <w:t xml:space="preserve"> </w:t>
      </w:r>
      <w:commentRangeEnd w:id="63"/>
      <w:r w:rsidR="00064A3B">
        <w:rPr>
          <w:rStyle w:val="CommentReference"/>
          <w:sz w:val="24"/>
          <w:szCs w:val="28"/>
        </w:rPr>
        <w:commentReference w:id="63"/>
      </w:r>
      <w:commentRangeEnd w:id="64"/>
      <w:r>
        <w:rPr>
          <w:rStyle w:val="CommentReference"/>
          <w:sz w:val="24"/>
          <w:szCs w:val="28"/>
        </w:rPr>
        <w:commentReference w:id="64"/>
      </w:r>
      <w:commentRangeEnd w:id="65"/>
      <w:r>
        <w:rPr>
          <w:rStyle w:val="CommentReference"/>
          <w:sz w:val="24"/>
          <w:szCs w:val="28"/>
        </w:rPr>
        <w:commentReference w:id="65"/>
      </w:r>
      <w:commentRangeEnd w:id="66"/>
      <w:r>
        <w:rPr>
          <w:rStyle w:val="CommentReference"/>
          <w:sz w:val="24"/>
          <w:szCs w:val="28"/>
        </w:rPr>
        <w:commentReference w:id="66"/>
      </w:r>
      <w:r w:rsidR="004C2C8D">
        <w:t>on the carbon content in fuels</w:t>
      </w:r>
    </w:p>
    <w:p w14:paraId="2CF78AFA" w14:textId="64A1518B" w:rsidR="00BD6C6D" w:rsidRDefault="00D70BDD" w:rsidP="00BD6C6D">
      <w:r w:rsidRPr="00BD6C6D">
        <w:rPr>
          <w:b/>
          <w:bCs/>
        </w:rPr>
        <w:t>An approach</w:t>
      </w:r>
      <w:r w:rsidR="003C0836" w:rsidRPr="00BD6C6D">
        <w:rPr>
          <w:b/>
          <w:bCs/>
        </w:rPr>
        <w:t xml:space="preserve"> that </w:t>
      </w:r>
      <w:r w:rsidR="005C15F7" w:rsidRPr="00BD6C6D">
        <w:rPr>
          <w:b/>
          <w:bCs/>
        </w:rPr>
        <w:t xml:space="preserve">covers a large share of GHG emissions without </w:t>
      </w:r>
      <w:r w:rsidR="007F6A78" w:rsidRPr="00BD6C6D">
        <w:rPr>
          <w:b/>
          <w:bCs/>
        </w:rPr>
        <w:t xml:space="preserve">requiring </w:t>
      </w:r>
      <w:r w:rsidR="003C0836" w:rsidRPr="00BD6C6D">
        <w:rPr>
          <w:b/>
          <w:bCs/>
        </w:rPr>
        <w:t xml:space="preserve">point-source regulatory </w:t>
      </w:r>
      <w:r w:rsidR="007F6A78" w:rsidRPr="00BD6C6D">
        <w:rPr>
          <w:b/>
          <w:bCs/>
        </w:rPr>
        <w:t xml:space="preserve">interventions </w:t>
      </w:r>
      <w:r w:rsidR="00632B91" w:rsidRPr="00BD6C6D">
        <w:rPr>
          <w:b/>
          <w:bCs/>
        </w:rPr>
        <w:t xml:space="preserve">is to focus “upstream” on the carbon content of fossil fuels, leveraging </w:t>
      </w:r>
      <w:r w:rsidR="000471B5" w:rsidRPr="00BD6C6D">
        <w:rPr>
          <w:b/>
          <w:bCs/>
        </w:rPr>
        <w:t>the fuel excise tax systems that many countries have in place</w:t>
      </w:r>
      <w:r w:rsidR="000471B5">
        <w:t xml:space="preserve">. </w:t>
      </w:r>
      <w:r w:rsidR="00BD6C6D">
        <w:t>Upstream carbon fuel excise taxes are common in several jurisdictions</w:t>
      </w:r>
      <w:r w:rsidR="00F51206">
        <w:t xml:space="preserve">, including many </w:t>
      </w:r>
      <w:r w:rsidR="00B35804">
        <w:t xml:space="preserve">across </w:t>
      </w:r>
      <w:r w:rsidR="00BD6C6D">
        <w:t>the Americas</w:t>
      </w:r>
      <w:r w:rsidR="00EF167A">
        <w:t>.</w:t>
      </w:r>
      <w:r w:rsidR="00BD6C6D">
        <w:t xml:space="preserve"> </w:t>
      </w:r>
      <w:r w:rsidR="00EF167A">
        <w:t>C</w:t>
      </w:r>
      <w:r w:rsidR="00B35804">
        <w:t xml:space="preserve">ountries like Colombia, </w:t>
      </w:r>
      <w:r w:rsidR="00BD6C6D">
        <w:t xml:space="preserve">Argentina, Mexico and Uruguay </w:t>
      </w:r>
      <w:r w:rsidR="0007643F">
        <w:t xml:space="preserve">began with </w:t>
      </w:r>
      <w:r w:rsidR="006045D7">
        <w:t xml:space="preserve">carbon levies on certain fuel types </w:t>
      </w:r>
      <w:r w:rsidR="00863741">
        <w:t xml:space="preserve">or </w:t>
      </w:r>
      <w:r w:rsidR="006045D7">
        <w:t xml:space="preserve">sectors and </w:t>
      </w:r>
      <w:r w:rsidR="00487723">
        <w:t xml:space="preserve">have gradually expanded the </w:t>
      </w:r>
      <w:r w:rsidR="00BD6C6D">
        <w:t xml:space="preserve">scope of </w:t>
      </w:r>
      <w:r w:rsidR="006045D7">
        <w:t xml:space="preserve">their </w:t>
      </w:r>
      <w:r w:rsidR="00863741">
        <w:t xml:space="preserve">upstream </w:t>
      </w:r>
      <w:r w:rsidR="00487723">
        <w:t xml:space="preserve">carbon pricing </w:t>
      </w:r>
      <w:r w:rsidR="00863741">
        <w:t>systems</w:t>
      </w:r>
      <w:r w:rsidR="00BD6C6D">
        <w:t xml:space="preserve">. </w:t>
      </w:r>
    </w:p>
    <w:p w14:paraId="2CACE8B0" w14:textId="044F99F0" w:rsidR="0022285C" w:rsidRDefault="0022285C" w:rsidP="00BD6C6D">
      <w:r>
        <w:t>The most comprehensive upstream carbon pricing system was British Columbia’s carbon tax</w:t>
      </w:r>
      <w:r w:rsidR="00F51206">
        <w:t>, which</w:t>
      </w:r>
      <w:r>
        <w:t xml:space="preserve"> was applied uniformly to virtually all fossil fuels purchased or used in the province—gasoline, diesel, natural gas, propane, coal, fuel oil, and peat and tires combusted for energy—covering approximately 70% of the province's total GHG emissions. It was collected upstream at the fuel distributor level, leveraging the same administrative infrastructure as existing motor fuel taxes, which allowed it to be implemented rapidly and at low administrative cos</w:t>
      </w:r>
      <w:r>
        <w:rPr>
          <w:rFonts w:hint="eastAsia"/>
        </w:rPr>
        <w:t xml:space="preserve">t. </w:t>
      </w:r>
      <w:r>
        <w:t>The revenues were dedicated to reducing other taxes paid by British Columbians, without sector-specific exemptions.</w:t>
      </w:r>
    </w:p>
    <w:p w14:paraId="18779F8C" w14:textId="3A47D6E3" w:rsidR="000D4233" w:rsidRDefault="009D3AC1" w:rsidP="000D4233">
      <w:pPr>
        <w:rPr>
          <w:bCs/>
        </w:rPr>
      </w:pPr>
      <w:r w:rsidRPr="00B577C3">
        <w:rPr>
          <w:b/>
        </w:rPr>
        <w:t xml:space="preserve">As the EU recognizes </w:t>
      </w:r>
      <w:r w:rsidR="001960FF" w:rsidRPr="00B577C3">
        <w:rPr>
          <w:b/>
        </w:rPr>
        <w:t xml:space="preserve">carbon fuel </w:t>
      </w:r>
      <w:r w:rsidR="008B6101" w:rsidRPr="00B577C3">
        <w:rPr>
          <w:b/>
        </w:rPr>
        <w:t xml:space="preserve">excise </w:t>
      </w:r>
      <w:r w:rsidR="001960FF" w:rsidRPr="00B577C3">
        <w:rPr>
          <w:b/>
        </w:rPr>
        <w:t>taxes as a carbon price possible to deduct from the CBA</w:t>
      </w:r>
      <w:r w:rsidR="00D05E8A" w:rsidRPr="00B577C3">
        <w:rPr>
          <w:b/>
        </w:rPr>
        <w:t>M</w:t>
      </w:r>
      <w:r w:rsidR="00D20C8D" w:rsidRPr="00B577C3">
        <w:rPr>
          <w:b/>
        </w:rPr>
        <w:t xml:space="preserve"> financial obligation</w:t>
      </w:r>
      <w:r w:rsidR="00876E11" w:rsidRPr="00B577C3">
        <w:rPr>
          <w:b/>
        </w:rPr>
        <w:t xml:space="preserve">, jurisdictions are looking into </w:t>
      </w:r>
      <w:r w:rsidR="00F80664" w:rsidRPr="00B577C3">
        <w:rPr>
          <w:b/>
        </w:rPr>
        <w:t xml:space="preserve">recalculating </w:t>
      </w:r>
      <w:r w:rsidR="00750317" w:rsidRPr="00B577C3">
        <w:rPr>
          <w:b/>
        </w:rPr>
        <w:t xml:space="preserve">existing </w:t>
      </w:r>
      <w:r w:rsidR="008B6101" w:rsidRPr="00B577C3">
        <w:rPr>
          <w:b/>
        </w:rPr>
        <w:t xml:space="preserve">indirect </w:t>
      </w:r>
      <w:r w:rsidR="00750317" w:rsidRPr="00B577C3">
        <w:rPr>
          <w:b/>
        </w:rPr>
        <w:t xml:space="preserve">fuel excise taxes into </w:t>
      </w:r>
      <w:r w:rsidR="008B6101" w:rsidRPr="00B577C3">
        <w:rPr>
          <w:b/>
        </w:rPr>
        <w:t xml:space="preserve">direct </w:t>
      </w:r>
      <w:r w:rsidR="00750317" w:rsidRPr="00B577C3">
        <w:rPr>
          <w:b/>
        </w:rPr>
        <w:t>carbon fuel taxes</w:t>
      </w:r>
      <w:r w:rsidR="00750317" w:rsidRPr="000D4233">
        <w:rPr>
          <w:bCs/>
        </w:rPr>
        <w:t xml:space="preserve">, ensuring that fuels used in the production of CBAM goods are within the scope of the carbon fuel </w:t>
      </w:r>
      <w:r w:rsidR="00D322E1" w:rsidRPr="000D4233">
        <w:rPr>
          <w:bCs/>
        </w:rPr>
        <w:t xml:space="preserve">excise </w:t>
      </w:r>
      <w:r w:rsidR="00750317" w:rsidRPr="000D4233">
        <w:rPr>
          <w:bCs/>
        </w:rPr>
        <w:t>tax</w:t>
      </w:r>
      <w:r w:rsidR="00FB4B70" w:rsidRPr="000D4233">
        <w:rPr>
          <w:bCs/>
        </w:rPr>
        <w:t xml:space="preserve">. Examples in the vicinity of Egypt include Albania, which </w:t>
      </w:r>
      <w:r w:rsidR="001E1832" w:rsidRPr="000D4233">
        <w:rPr>
          <w:bCs/>
        </w:rPr>
        <w:t>f</w:t>
      </w:r>
      <w:r w:rsidR="00D20C8D" w:rsidRPr="000D4233">
        <w:rPr>
          <w:bCs/>
        </w:rPr>
        <w:t>rom 1 July 2026</w:t>
      </w:r>
      <w:r w:rsidR="001E1832" w:rsidRPr="000D4233">
        <w:rPr>
          <w:bCs/>
        </w:rPr>
        <w:t xml:space="preserve"> applies such a tax on coal</w:t>
      </w:r>
      <w:r w:rsidR="00D20C8D" w:rsidRPr="000D4233">
        <w:rPr>
          <w:bCs/>
        </w:rPr>
        <w:t xml:space="preserve">, </w:t>
      </w:r>
      <w:r w:rsidR="00DD6951" w:rsidRPr="000D4233">
        <w:rPr>
          <w:bCs/>
        </w:rPr>
        <w:t>calculated on the basis of standard carbon content of the fuel</w:t>
      </w:r>
      <w:r w:rsidR="008B09BC" w:rsidRPr="000D4233">
        <w:rPr>
          <w:bCs/>
        </w:rPr>
        <w:t xml:space="preserve">, at a rate trajectory </w:t>
      </w:r>
      <w:r w:rsidR="000D2A86" w:rsidRPr="000D4233">
        <w:rPr>
          <w:bCs/>
        </w:rPr>
        <w:t xml:space="preserve">gradually narrowing </w:t>
      </w:r>
      <w:r w:rsidR="00D20C8D" w:rsidRPr="000D4233">
        <w:rPr>
          <w:bCs/>
        </w:rPr>
        <w:t>the gap between Albania’s effective carbon price on coal and the projected 2030 EU ETS price</w:t>
      </w:r>
      <w:r w:rsidR="00F20BED" w:rsidRPr="000D4233">
        <w:rPr>
          <w:bCs/>
        </w:rPr>
        <w:t xml:space="preserve"> at 64 EUR per tonne of CO</w:t>
      </w:r>
      <w:r w:rsidR="00F20BED" w:rsidRPr="006A2F4A">
        <w:rPr>
          <w:rFonts w:eastAsiaTheme="majorEastAsia" w:cstheme="majorBidi"/>
          <w:bCs/>
          <w:color w:val="2F5496" w:themeColor="accent1" w:themeShade="BF"/>
          <w:vertAlign w:val="subscript"/>
        </w:rPr>
        <w:t>2</w:t>
      </w:r>
      <w:r w:rsidR="00F20BED" w:rsidRPr="000D4233">
        <w:rPr>
          <w:bCs/>
        </w:rPr>
        <w:t xml:space="preserve">. </w:t>
      </w:r>
      <w:r w:rsidR="00337407" w:rsidRPr="000D4233">
        <w:rPr>
          <w:bCs/>
        </w:rPr>
        <w:t xml:space="preserve">Another example is Israel, which </w:t>
      </w:r>
      <w:r w:rsidR="001A48B0" w:rsidRPr="000D4233">
        <w:rPr>
          <w:bCs/>
        </w:rPr>
        <w:t xml:space="preserve">during 2025-2030 gradually </w:t>
      </w:r>
      <w:r w:rsidR="003855CB" w:rsidRPr="000D4233">
        <w:rPr>
          <w:bCs/>
        </w:rPr>
        <w:t xml:space="preserve">introduces a carbon fuel excise tax </w:t>
      </w:r>
      <w:r w:rsidR="001A48B0" w:rsidRPr="000D4233">
        <w:rPr>
          <w:bCs/>
        </w:rPr>
        <w:t xml:space="preserve">on natural gas, LPG, fuel oil and coal </w:t>
      </w:r>
      <w:r w:rsidR="009C057F" w:rsidRPr="000D4233">
        <w:rPr>
          <w:bCs/>
        </w:rPr>
        <w:t>complemented by a pro</w:t>
      </w:r>
      <w:r w:rsidR="001A48B0" w:rsidRPr="000D4233">
        <w:rPr>
          <w:bCs/>
        </w:rPr>
        <w:t>gram to fund projects to help industry become more energy efficient and more compet</w:t>
      </w:r>
      <w:r w:rsidR="009C057F" w:rsidRPr="000D4233">
        <w:rPr>
          <w:bCs/>
        </w:rPr>
        <w:t>i</w:t>
      </w:r>
      <w:r w:rsidR="001A48B0" w:rsidRPr="000D4233">
        <w:rPr>
          <w:bCs/>
        </w:rPr>
        <w:t>tive and reduce GHG emissions</w:t>
      </w:r>
      <w:r w:rsidR="009C057F" w:rsidRPr="000D4233">
        <w:rPr>
          <w:bCs/>
        </w:rPr>
        <w:t xml:space="preserve">. </w:t>
      </w:r>
      <w:r w:rsidR="00932BAD" w:rsidRPr="000D4233">
        <w:rPr>
          <w:bCs/>
        </w:rPr>
        <w:t xml:space="preserve">For gasoline and diesel, Israel is introducing the carbon tax as a component </w:t>
      </w:r>
      <w:r w:rsidR="00A72DCD" w:rsidRPr="000D4233">
        <w:rPr>
          <w:bCs/>
        </w:rPr>
        <w:t xml:space="preserve">of </w:t>
      </w:r>
      <w:r w:rsidR="00932BAD" w:rsidRPr="000D4233">
        <w:rPr>
          <w:bCs/>
        </w:rPr>
        <w:t>existing excise taxes</w:t>
      </w:r>
      <w:r w:rsidR="000E3316" w:rsidRPr="000D4233">
        <w:rPr>
          <w:bCs/>
        </w:rPr>
        <w:t xml:space="preserve">. Armenia and Uzbekistan are considering similar reforms. </w:t>
      </w:r>
    </w:p>
    <w:p w14:paraId="4F800CF0" w14:textId="56B3BF63" w:rsidR="008B034F" w:rsidRPr="002115C0" w:rsidRDefault="00AC5174" w:rsidP="008B034F">
      <w:r>
        <w:rPr>
          <w:b/>
          <w:bCs/>
        </w:rPr>
        <w:t xml:space="preserve">A </w:t>
      </w:r>
      <w:r w:rsidR="006A0848">
        <w:rPr>
          <w:b/>
          <w:bCs/>
        </w:rPr>
        <w:t>limitation of upstream carbon pricing is that e</w:t>
      </w:r>
      <w:r w:rsidRPr="00B93EAA">
        <w:rPr>
          <w:b/>
          <w:bCs/>
        </w:rPr>
        <w:t>missions from non-combustion use in industrial processes</w:t>
      </w:r>
      <w:r w:rsidR="006A0848">
        <w:rPr>
          <w:b/>
          <w:bCs/>
        </w:rPr>
        <w:t>—which</w:t>
      </w:r>
      <w:r w:rsidRPr="00B93EAA">
        <w:rPr>
          <w:b/>
          <w:bCs/>
        </w:rPr>
        <w:t xml:space="preserve"> can be large in CBAM sectors</w:t>
      </w:r>
      <w:r w:rsidR="006A0848">
        <w:rPr>
          <w:b/>
          <w:bCs/>
        </w:rPr>
        <w:t>—</w:t>
      </w:r>
      <w:r w:rsidR="00FA2E9C">
        <w:rPr>
          <w:b/>
          <w:bCs/>
        </w:rPr>
        <w:t>can remain uncovered</w:t>
      </w:r>
      <w:r>
        <w:t>. In cement production in particular, process emissions from calcination of limestone represent the bulk of emissions and cannot be captured from upstream pricing of fuel inputs. For other CBAM sectors, like fertilizers or metals, a significant share of the industrial process emissions stem from the use of fossil fuels for chemical transformation or reduction. The EU Commission’s draft implementing regulation on carbon price paid recognizes the full price paid on fuels consumed by in the relevant CBAM industrial process, independently of if the standard emission factors at combustion has been used to calculate a fuel-based carbon tax</w:t>
      </w:r>
      <w:r>
        <w:rPr>
          <w:rStyle w:val="FootnoteReference"/>
        </w:rPr>
        <w:footnoteReference w:id="23"/>
      </w:r>
      <w:r>
        <w:t>.</w:t>
      </w:r>
      <w:r w:rsidR="002115C0">
        <w:t xml:space="preserve"> A technical hands-on description of how to </w:t>
      </w:r>
      <w:r w:rsidR="002115C0">
        <w:lastRenderedPageBreak/>
        <w:t xml:space="preserve">calculate an upstream carbon fuel excise levy is found in an annex to this paper as supplementary information. A specific focus is given to design simplicity in using already existing administrative tax collection systems to recalculate pre-existing indirect fuel excises. </w:t>
      </w:r>
    </w:p>
    <w:p w14:paraId="7E7D2AB3" w14:textId="3CCE58AC" w:rsidR="008B034F" w:rsidRDefault="008B034F" w:rsidP="008B034F">
      <w:pPr>
        <w:pStyle w:val="Heading3"/>
        <w:spacing w:before="240"/>
      </w:pPr>
      <w:commentRangeStart w:id="67"/>
      <w:r>
        <w:t xml:space="preserve">Comprehensive carbon </w:t>
      </w:r>
      <w:commentRangeEnd w:id="67"/>
      <w:r>
        <w:rPr>
          <w:rStyle w:val="CommentReference"/>
          <w:sz w:val="24"/>
          <w:szCs w:val="28"/>
        </w:rPr>
        <w:commentReference w:id="67"/>
      </w:r>
      <w:r w:rsidR="00BA4788">
        <w:t>pric</w:t>
      </w:r>
      <w:r w:rsidR="00A20BD0">
        <w:t>ing system</w:t>
      </w:r>
    </w:p>
    <w:p w14:paraId="22DC1B3A" w14:textId="2795C8B9" w:rsidR="008B034F" w:rsidRDefault="008B034F" w:rsidP="008B034F">
      <w:r w:rsidRPr="00517CB8">
        <w:rPr>
          <w:b/>
          <w:bCs/>
        </w:rPr>
        <w:t xml:space="preserve">A comprehensive carbon </w:t>
      </w:r>
      <w:r w:rsidR="00A20BD0">
        <w:rPr>
          <w:b/>
          <w:bCs/>
        </w:rPr>
        <w:t xml:space="preserve">pricing system </w:t>
      </w:r>
      <w:r w:rsidRPr="00517CB8">
        <w:rPr>
          <w:b/>
          <w:bCs/>
        </w:rPr>
        <w:t>aims to cover as many of the direct (scope 1) GHG emissions in an economy as are practical</w:t>
      </w:r>
      <w:r>
        <w:t xml:space="preserve">—that is, from both fossil fuel combustion and </w:t>
      </w:r>
      <w:commentRangeStart w:id="68"/>
      <w:r>
        <w:t>industrial</w:t>
      </w:r>
      <w:commentRangeEnd w:id="68"/>
      <w:r>
        <w:rPr>
          <w:rStyle w:val="CommentReference"/>
          <w:sz w:val="22"/>
          <w:szCs w:val="22"/>
        </w:rPr>
        <w:commentReference w:id="68"/>
      </w:r>
      <w:r>
        <w:t xml:space="preserve"> processes</w:t>
      </w:r>
      <w:r w:rsidR="00D37EEE">
        <w:t xml:space="preserve">. </w:t>
      </w:r>
      <w:r>
        <w:t xml:space="preserve">Harder-to-measure emissions from LULUCF, agriculture, and other sources </w:t>
      </w:r>
      <w:r w:rsidR="00C66703">
        <w:t xml:space="preserve">like fugitive emissions such as those from mining </w:t>
      </w:r>
      <w:r>
        <w:t xml:space="preserve">may require complementary interventions. </w:t>
      </w:r>
      <w:r w:rsidR="00660989">
        <w:t>As a result,</w:t>
      </w:r>
      <w:r w:rsidR="002714FB">
        <w:t xml:space="preserve"> for the same carbon price,</w:t>
      </w:r>
      <w:r w:rsidR="00660989">
        <w:t xml:space="preserve"> comprehensive systems have </w:t>
      </w:r>
      <w:r w:rsidR="002714FB">
        <w:t xml:space="preserve">a greater </w:t>
      </w:r>
      <w:r w:rsidR="00660989">
        <w:t xml:space="preserve">potential to </w:t>
      </w:r>
      <w:r w:rsidR="002714FB">
        <w:t xml:space="preserve">reduce national emissions and raise </w:t>
      </w:r>
      <w:r w:rsidR="00181C2E">
        <w:t xml:space="preserve">fiscal </w:t>
      </w:r>
      <w:r w:rsidR="002714FB">
        <w:t>revenues.</w:t>
      </w:r>
    </w:p>
    <w:p w14:paraId="24C15197" w14:textId="1E2A46AD" w:rsidR="006E0167" w:rsidRPr="00C33E68" w:rsidRDefault="006E0167" w:rsidP="008B034F">
      <w:pPr>
        <w:rPr>
          <w:b/>
          <w:bCs/>
        </w:rPr>
      </w:pPr>
      <w:r w:rsidRPr="00C33E68">
        <w:rPr>
          <w:b/>
          <w:bCs/>
        </w:rPr>
        <w:t>Many jurisdictions</w:t>
      </w:r>
      <w:r w:rsidR="00920661" w:rsidRPr="00C33E68">
        <w:rPr>
          <w:b/>
          <w:bCs/>
        </w:rPr>
        <w:t xml:space="preserve"> blend downstream and upstream carbon pricing to arrive at comprehensive coverage.</w:t>
      </w:r>
      <w:r w:rsidR="00C33E68">
        <w:rPr>
          <w:b/>
          <w:bCs/>
        </w:rPr>
        <w:t xml:space="preserve"> </w:t>
      </w:r>
      <w:r w:rsidR="00C33E68">
        <w:t xml:space="preserve">For example, </w:t>
      </w:r>
      <w:r w:rsidR="00EE43E6">
        <w:t xml:space="preserve">many EU member states use upstream carbon taxes to price carbon for sectors outside the </w:t>
      </w:r>
      <w:r w:rsidR="00A20BD0">
        <w:t xml:space="preserve">downstream </w:t>
      </w:r>
      <w:r w:rsidR="00EE43E6">
        <w:t>EU ETS</w:t>
      </w:r>
      <w:r w:rsidR="0051480F">
        <w:t>.</w:t>
      </w:r>
      <w:r w:rsidR="00293921">
        <w:t xml:space="preserve"> </w:t>
      </w:r>
      <w:r w:rsidR="0011360A">
        <w:t xml:space="preserve">California has been able to </w:t>
      </w:r>
      <w:r w:rsidR="0011360A" w:rsidRPr="0011360A">
        <w:t xml:space="preserve">cover approximately 85% of the state's GHG emissions </w:t>
      </w:r>
      <w:r w:rsidR="000C18DA">
        <w:t xml:space="preserve">by applying its cap-and-trade system to </w:t>
      </w:r>
      <w:r w:rsidR="0011360A" w:rsidRPr="0011360A">
        <w:t xml:space="preserve">around 450 businesses, including </w:t>
      </w:r>
      <w:r w:rsidR="00A1727B">
        <w:t xml:space="preserve">point-source emissions from </w:t>
      </w:r>
      <w:r w:rsidR="0011360A" w:rsidRPr="0011360A">
        <w:t>power plants</w:t>
      </w:r>
      <w:r w:rsidR="00A1727B">
        <w:t xml:space="preserve"> and</w:t>
      </w:r>
      <w:r w:rsidR="0011360A" w:rsidRPr="0011360A">
        <w:t xml:space="preserve"> industrial facilities and </w:t>
      </w:r>
      <w:r w:rsidR="00A1727B">
        <w:t>covering fuel-related emissions</w:t>
      </w:r>
      <w:r w:rsidR="004B42E8">
        <w:t xml:space="preserve"> upstream with </w:t>
      </w:r>
      <w:r w:rsidR="0011360A" w:rsidRPr="0011360A">
        <w:t>fuel distributors</w:t>
      </w:r>
      <w:r w:rsidR="004B42E8">
        <w:t>.</w:t>
      </w:r>
    </w:p>
    <w:p w14:paraId="302DB578" w14:textId="4251A83D" w:rsidR="00181C2E" w:rsidRDefault="007F7F40" w:rsidP="008B034F">
      <w:r w:rsidRPr="006E0167">
        <w:rPr>
          <w:b/>
          <w:bCs/>
        </w:rPr>
        <w:t>Some systems</w:t>
      </w:r>
      <w:r w:rsidR="00657FEE" w:rsidRPr="006E0167">
        <w:rPr>
          <w:b/>
          <w:bCs/>
        </w:rPr>
        <w:t xml:space="preserve"> aim to capture as many emissions as possible from broad point-source regulation.</w:t>
      </w:r>
      <w:r w:rsidR="006E0167">
        <w:t xml:space="preserve"> South Africa’s carbon tax is an example of this approach.</w:t>
      </w:r>
      <w:r w:rsidR="00D833F7">
        <w:t xml:space="preserve"> </w:t>
      </w:r>
      <w:r w:rsidR="008B034F">
        <w:t xml:space="preserve">It applies to stationary and some non-stationary sources with a thermal design capacity of 10 MW or more, spanning industry, buildings, and transport (excluding public transport). It covers approximately 80–90% of the country's total GHG emissions. </w:t>
      </w:r>
      <w:r w:rsidR="00D21D3D">
        <w:t xml:space="preserve">The tax </w:t>
      </w:r>
      <w:r w:rsidR="008B034F">
        <w:t xml:space="preserve">was chosen over an emissions trading system partly because the concentrated, oligopolistic structure of South Africa's energy sector (dominated by Eskom) would have produced insufficient market liquidity for a functioning ETS. </w:t>
      </w:r>
    </w:p>
    <w:p w14:paraId="14C0819E" w14:textId="0B695E4F" w:rsidR="7FD5D2EE" w:rsidRDefault="00181C2E" w:rsidP="43667012">
      <w:r w:rsidRPr="003B540E">
        <w:rPr>
          <w:b/>
          <w:bCs/>
        </w:rPr>
        <w:t xml:space="preserve">For CBAM sectors, the deductibility of a </w:t>
      </w:r>
      <w:r w:rsidR="0046391F" w:rsidRPr="003B540E">
        <w:rPr>
          <w:b/>
          <w:bCs/>
        </w:rPr>
        <w:t xml:space="preserve">comprehensive carbon price depends on the coverage and treatment of </w:t>
      </w:r>
      <w:r w:rsidR="00263C19" w:rsidRPr="003B540E">
        <w:rPr>
          <w:b/>
          <w:bCs/>
        </w:rPr>
        <w:t>the relevant facilities</w:t>
      </w:r>
      <w:r w:rsidR="00263C19">
        <w:t xml:space="preserve">. For example, the </w:t>
      </w:r>
      <w:r w:rsidR="008B034F">
        <w:t>generous allowance structure</w:t>
      </w:r>
      <w:r w:rsidR="00263C19">
        <w:t xml:space="preserve"> of the South African carbon tax</w:t>
      </w:r>
      <w:r w:rsidR="00251AAC">
        <w:t>—</w:t>
      </w:r>
      <w:r w:rsidR="008B034F">
        <w:t>includ</w:t>
      </w:r>
      <w:r w:rsidR="00251AAC">
        <w:t>ing</w:t>
      </w:r>
      <w:r w:rsidR="008B034F">
        <w:t xml:space="preserve"> a basic 60% tax-free allowance for all activities</w:t>
      </w:r>
      <w:r w:rsidR="004E4A18">
        <w:t xml:space="preserve"> and</w:t>
      </w:r>
      <w:r w:rsidR="008B034F">
        <w:t xml:space="preserve"> </w:t>
      </w:r>
      <w:r w:rsidR="00F85EBF">
        <w:t xml:space="preserve">up to an </w:t>
      </w:r>
      <w:r w:rsidR="008B034F">
        <w:t xml:space="preserve">additional </w:t>
      </w:r>
      <w:r w:rsidR="00F85EBF">
        <w:t xml:space="preserve">35% in </w:t>
      </w:r>
      <w:r w:rsidR="00C11746">
        <w:t xml:space="preserve">rebates </w:t>
      </w:r>
      <w:r w:rsidR="00BD1437">
        <w:t>for certain companies</w:t>
      </w:r>
      <w:r w:rsidR="00741652">
        <w:t xml:space="preserve">—substantially </w:t>
      </w:r>
      <w:r w:rsidR="008B034F">
        <w:t>reduce</w:t>
      </w:r>
      <w:r w:rsidR="00741652">
        <w:t>s</w:t>
      </w:r>
      <w:r w:rsidR="008B034F">
        <w:rPr>
          <w:rFonts w:hint="eastAsia"/>
        </w:rPr>
        <w:t xml:space="preserve"> a company's effective tax liability</w:t>
      </w:r>
      <w:r w:rsidR="00647D68">
        <w:t>, which the draft CBAM rules would take into account.</w:t>
      </w:r>
      <w:r w:rsidR="008B034F">
        <w:t xml:space="preserve"> Future plans are for the generous basic allowances to be gradually phased out, which would enhance the effective carbon price.</w:t>
      </w:r>
      <w:r w:rsidR="00E77867" w:rsidRPr="00E77867">
        <w:t xml:space="preserve"> California's </w:t>
      </w:r>
      <w:r w:rsidR="00E77867">
        <w:t>c</w:t>
      </w:r>
      <w:r w:rsidR="00E77867" w:rsidRPr="00E77867">
        <w:t>ap-and-</w:t>
      </w:r>
      <w:r w:rsidR="00E77867">
        <w:t>t</w:t>
      </w:r>
      <w:r w:rsidR="00E77867" w:rsidRPr="00E77867">
        <w:t>rade program provides free allowance allocations to industrial emitters primarily to address the risk of carbon leakage</w:t>
      </w:r>
      <w:r w:rsidR="00041E2D">
        <w:t xml:space="preserve">; the resulting adjusted product-based benchmarks </w:t>
      </w:r>
      <w:r w:rsidR="00AB144A">
        <w:t>would also be taken into account under CBAM rules.</w:t>
      </w:r>
    </w:p>
    <w:p w14:paraId="22442B15" w14:textId="43BEC1DB" w:rsidR="00621AB5" w:rsidRDefault="007B7057" w:rsidP="00621AB5">
      <w:pPr>
        <w:pStyle w:val="Heading2"/>
      </w:pPr>
      <w:bookmarkStart w:id="69" w:name="_Toc234844393"/>
      <w:r>
        <w:lastRenderedPageBreak/>
        <w:t xml:space="preserve">Simulated </w:t>
      </w:r>
      <w:r w:rsidR="00621AB5">
        <w:t>policy outcomes for Egypt</w:t>
      </w:r>
      <w:bookmarkEnd w:id="69"/>
    </w:p>
    <w:p w14:paraId="28656745" w14:textId="5C535AE4" w:rsidR="00A97917" w:rsidRDefault="00A97917" w:rsidP="00A97917">
      <w:pPr>
        <w:rPr>
          <w:rFonts w:eastAsia="Segoe UI" w:cs="Segoe UI"/>
        </w:rPr>
      </w:pPr>
      <w:r w:rsidRPr="285A2F06">
        <w:rPr>
          <w:rFonts w:eastAsia="Segoe UI" w:cs="Segoe UI"/>
          <w:b/>
          <w:bCs/>
        </w:rPr>
        <w:t>Th</w:t>
      </w:r>
      <w:r>
        <w:rPr>
          <w:rFonts w:eastAsia="Segoe UI" w:cs="Segoe UI"/>
          <w:b/>
          <w:bCs/>
        </w:rPr>
        <w:t>is section presents the results from</w:t>
      </w:r>
      <w:r w:rsidRPr="285A2F06">
        <w:rPr>
          <w:rFonts w:eastAsia="Segoe UI" w:cs="Segoe UI"/>
          <w:b/>
          <w:bCs/>
        </w:rPr>
        <w:t xml:space="preserve"> </w:t>
      </w:r>
      <w:r w:rsidR="007B7057">
        <w:rPr>
          <w:rFonts w:eastAsia="Segoe UI" w:cs="Segoe UI"/>
          <w:b/>
          <w:bCs/>
        </w:rPr>
        <w:t xml:space="preserve">simulating </w:t>
      </w:r>
      <w:r w:rsidRPr="285A2F06">
        <w:rPr>
          <w:rFonts w:eastAsia="Segoe UI" w:cs="Segoe UI"/>
          <w:b/>
          <w:bCs/>
        </w:rPr>
        <w:t xml:space="preserve">six </w:t>
      </w:r>
      <w:r w:rsidR="0088713F">
        <w:rPr>
          <w:rFonts w:eastAsia="Segoe UI" w:cs="Segoe UI"/>
          <w:b/>
          <w:bCs/>
        </w:rPr>
        <w:t>stylized</w:t>
      </w:r>
      <w:r w:rsidR="001C50A7">
        <w:rPr>
          <w:rFonts w:eastAsia="Segoe UI" w:cs="Segoe UI"/>
          <w:b/>
          <w:bCs/>
        </w:rPr>
        <w:t xml:space="preserve"> policy options for Egypt using the Climate Policy Assessment Tool (CPAT). </w:t>
      </w:r>
      <w:r w:rsidR="001C50A7" w:rsidRPr="001C50A7">
        <w:rPr>
          <w:rFonts w:eastAsia="Segoe UI" w:cs="Segoe UI"/>
        </w:rPr>
        <w:t xml:space="preserve">The </w:t>
      </w:r>
      <w:r w:rsidRPr="001C50A7">
        <w:rPr>
          <w:rFonts w:eastAsia="Segoe UI" w:cs="Segoe UI"/>
        </w:rPr>
        <w:t xml:space="preserve">modeled scenarios </w:t>
      </w:r>
      <w:r w:rsidR="001C50A7">
        <w:rPr>
          <w:rFonts w:eastAsia="Segoe UI" w:cs="Segoe UI"/>
        </w:rPr>
        <w:t xml:space="preserve">are </w:t>
      </w:r>
      <w:r w:rsidRPr="001C50A7">
        <w:rPr>
          <w:rFonts w:eastAsia="Segoe UI" w:cs="Segoe UI"/>
        </w:rPr>
        <w:t>designed to be directly comparable.</w:t>
      </w:r>
      <w:r w:rsidRPr="285A2F06">
        <w:rPr>
          <w:rFonts w:eastAsia="Segoe UI" w:cs="Segoe UI"/>
          <w:b/>
          <w:bCs/>
        </w:rPr>
        <w:t xml:space="preserve"> </w:t>
      </w:r>
      <w:r w:rsidRPr="000B0270">
        <w:rPr>
          <w:rFonts w:eastAsia="Segoe UI" w:cs="Segoe UI"/>
        </w:rPr>
        <w:t xml:space="preserve">Scenarios </w:t>
      </w:r>
      <w:r>
        <w:rPr>
          <w:rFonts w:eastAsia="Segoe UI" w:cs="Segoe UI"/>
        </w:rPr>
        <w:t>have in common</w:t>
      </w:r>
      <w:r w:rsidRPr="000B0270">
        <w:rPr>
          <w:rFonts w:eastAsia="Segoe UI" w:cs="Segoe UI"/>
        </w:rPr>
        <w:t xml:space="preserve"> the 2030 carbon price fixed at $20 per ton of CO₂ so that differences in outcomes reflect policy design rather than price level.</w:t>
      </w:r>
      <w:r w:rsidRPr="285A2F06">
        <w:rPr>
          <w:rFonts w:eastAsia="Segoe UI" w:cs="Segoe UI"/>
          <w:b/>
          <w:bCs/>
        </w:rPr>
        <w:t xml:space="preserve"> </w:t>
      </w:r>
      <w:r w:rsidRPr="285A2F06">
        <w:rPr>
          <w:rFonts w:eastAsia="Segoe UI" w:cs="Segoe UI"/>
        </w:rPr>
        <w:t>What varies across the bundles is the point at which the price is applied, the share of national emissions it reaches, and the manner in which resulting revenues are recycled. The scenarios fall into three families, spanning a coverage range from 72 percent to 20 percent of national greenhouse gas emissions.</w:t>
      </w:r>
    </w:p>
    <w:p w14:paraId="19624C0B" w14:textId="77777777" w:rsidR="006509FC" w:rsidRDefault="006509FC" w:rsidP="00A97917">
      <w:pPr>
        <w:rPr>
          <w:rFonts w:eastAsia="Segoe UI" w:cs="Segoe UI"/>
        </w:rPr>
      </w:pPr>
    </w:p>
    <w:p w14:paraId="1EC10512" w14:textId="38B1D5C2" w:rsidR="00F060BF" w:rsidRDefault="00F060BF" w:rsidP="00A97917">
      <w:pPr>
        <w:rPr>
          <w:rFonts w:eastAsia="Segoe UI" w:cs="Segoe UI"/>
        </w:rPr>
      </w:pPr>
      <w:r>
        <w:rPr>
          <w:rFonts w:eastAsia="Segoe UI" w:cs="Segoe UI"/>
          <w:b/>
          <w:bCs/>
          <w:noProof/>
        </w:rPr>
        <mc:AlternateContent>
          <mc:Choice Requires="wps">
            <w:drawing>
              <wp:anchor distT="0" distB="0" distL="114300" distR="114300" simplePos="0" relativeHeight="251658242" behindDoc="0" locked="0" layoutInCell="1" allowOverlap="1" wp14:anchorId="37408FD2" wp14:editId="42DA2FB3">
                <wp:simplePos x="0" y="0"/>
                <wp:positionH relativeFrom="margin">
                  <wp:posOffset>0</wp:posOffset>
                </wp:positionH>
                <wp:positionV relativeFrom="paragraph">
                  <wp:posOffset>302895</wp:posOffset>
                </wp:positionV>
                <wp:extent cx="5937250" cy="5195455"/>
                <wp:effectExtent l="0" t="0" r="25400" b="24765"/>
                <wp:wrapTopAndBottom/>
                <wp:docPr id="335547309" name="Text Box 6"/>
                <wp:cNvGraphicFramePr/>
                <a:graphic xmlns:a="http://schemas.openxmlformats.org/drawingml/2006/main">
                  <a:graphicData uri="http://schemas.microsoft.com/office/word/2010/wordprocessingShape">
                    <wps:wsp>
                      <wps:cNvSpPr txBox="1"/>
                      <wps:spPr>
                        <a:xfrm>
                          <a:off x="0" y="0"/>
                          <a:ext cx="5937250" cy="5195455"/>
                        </a:xfrm>
                        <a:prstGeom prst="rect">
                          <a:avLst/>
                        </a:prstGeom>
                        <a:solidFill>
                          <a:schemeClr val="lt1"/>
                        </a:solidFill>
                        <a:ln w="6350">
                          <a:solidFill>
                            <a:prstClr val="black"/>
                          </a:solidFill>
                        </a:ln>
                      </wps:spPr>
                      <wps:txbx>
                        <w:txbxContent>
                          <w:p w14:paraId="2CCC61B0" w14:textId="77777777" w:rsidR="00F060BF" w:rsidRPr="00810AB7" w:rsidRDefault="00F060BF" w:rsidP="00F060BF">
                            <w:pPr>
                              <w:pStyle w:val="Heading3"/>
                              <w:numPr>
                                <w:ilvl w:val="0"/>
                                <w:numId w:val="0"/>
                              </w:numPr>
                              <w:ind w:left="720" w:hanging="720"/>
                            </w:pPr>
                            <w:r>
                              <w:t>An overview of the Climate Policy Assessment Tool</w:t>
                            </w:r>
                          </w:p>
                          <w:p w14:paraId="37CC664B" w14:textId="77777777" w:rsidR="00F060BF" w:rsidRDefault="00F060BF" w:rsidP="00F060BF">
                            <w:r w:rsidRPr="285A2F06">
                              <w:rPr>
                                <w:rFonts w:eastAsia="Segoe UI" w:cs="Segoe UI"/>
                                <w:b/>
                                <w:bCs/>
                              </w:rPr>
                              <w:t>The Climate Policy Assessment Tool (CPAT) is a spreadsheet-based model developed jointly by the IMF and World Bank for government use, covering around 190 countries.</w:t>
                            </w:r>
                            <w:r w:rsidRPr="285A2F06">
                              <w:rPr>
                                <w:rFonts w:eastAsia="Segoe UI" w:cs="Segoe UI"/>
                              </w:rPr>
                              <w:t xml:space="preserve"> It provides a rapid assessment of climate policy reforms—carbon taxes, fossil fuel subsidy reform, feebates, and revenue-use options—across energy and emissions, macro and fiscal outcomes, distributional effects, and co-benefits such as air pollution, health, and transport. It is a diagnostic and scenario-analysis tool: a quick first look that complements rather than replaces more detailed macroeconomic or techno-economic models.</w:t>
                            </w:r>
                          </w:p>
                          <w:p w14:paraId="377D1E6B" w14:textId="77777777" w:rsidR="00F060BF" w:rsidRDefault="00F060BF" w:rsidP="00F060BF">
                            <w:r w:rsidRPr="285A2F06">
                              <w:rPr>
                                <w:rFonts w:eastAsia="Segoe UI" w:cs="Segoe UI"/>
                                <w:b/>
                                <w:bCs/>
                              </w:rPr>
                              <w:t xml:space="preserve">CPAT lets analysts design, compare, and stress-test multiple policies quickly, across a wider set of countries and impact metrics than bespoke modeling usually allows. </w:t>
                            </w:r>
                            <w:r w:rsidRPr="285A2F06">
                              <w:rPr>
                                <w:rFonts w:eastAsia="Segoe UI" w:cs="Segoe UI"/>
                              </w:rPr>
                              <w:t xml:space="preserve">Its outputs feed directly into operational products—Country Climate Development Reports, Public Finance Reviews, technical assistance, and ad hoc client requests—with completed studies in 72-plus countries and distributional data in 74-plus. Beyond emissions, it surfaces the fiscal case for carbon pricing: a more efficient way to raise needed revenues through a less distortive tax system, alongside resources that can be recycled to protect poorer households from regressive effects. </w:t>
                            </w:r>
                            <w:hyperlink r:id="rId22">
                              <w:r w:rsidRPr="285A2F06">
                                <w:rPr>
                                  <w:rStyle w:val="Hyperlink"/>
                                </w:rPr>
                                <w:t>github</w:t>
                              </w:r>
                            </w:hyperlink>
                          </w:p>
                          <w:p w14:paraId="5604BA2C" w14:textId="77777777" w:rsidR="00F060BF" w:rsidRDefault="00F060BF" w:rsidP="00F060BF">
                            <w:r w:rsidRPr="285A2F06">
                              <w:rPr>
                                <w:rFonts w:eastAsia="Segoe UI" w:cs="Segoe UI"/>
                                <w:b/>
                                <w:bCs/>
                              </w:rPr>
                              <w:t>CPAT is built from interacting modules running off a central dashboard where the user sets policies and assumptions</w:t>
                            </w:r>
                            <w:r w:rsidRPr="285A2F06">
                              <w:rPr>
                                <w:rFonts w:eastAsia="Segoe UI" w:cs="Segoe UI"/>
                              </w:rPr>
                              <w:t>. A core mitigation module estimates prices, energy use, emissions, revenue, and GDP, with dedicated air pollution, transport, and distribution modules layered on top. Methodologically, it rests on price and GDP elasticities, a power-sector model, and GDP multipliers. Because the data and formulas are accessible within the tool and documented at length, every assumption behind a result stays visible—the discipline that lets users interpret the numbers responsibly</w:t>
                            </w:r>
                          </w:p>
                          <w:p w14:paraId="0E6718E2" w14:textId="77777777" w:rsidR="00F060BF" w:rsidRDefault="00F060BF" w:rsidP="00F060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408FD2" id="Text Box 6" o:spid="_x0000_s1028" type="#_x0000_t202" style="position:absolute;left:0;text-align:left;margin-left:0;margin-top:23.85pt;width:467.5pt;height:409.1pt;z-index:25165824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" fillcolor="white [3201]" strokeweight=".5pt">
                <v:textbox>
                  <w:txbxContent>
                    <w:p w14:paraId="2CCC61B0" w14:textId="77777777" w:rsidR="00F060BF" w:rsidRPr="00810AB7" w:rsidRDefault="00F060BF" w:rsidP="00F060BF">
                      <w:pPr>
                        <w:pStyle w:val="Heading3"/>
                        <w:numPr>
                          <w:ilvl w:val="0"/>
                          <w:numId w:val="0"/>
                        </w:numPr>
                        <w:ind w:left="720" w:hanging="720"/>
                      </w:pPr>
                      <w:r>
                        <w:t>An overview of the Climate Policy Assessment Tool</w:t>
                      </w:r>
                    </w:p>
                    <w:p w14:paraId="37CC664B" w14:textId="77777777" w:rsidR="00F060BF" w:rsidRDefault="00F060BF" w:rsidP="00F060BF">
                      <w:r w:rsidRPr="285A2F06">
                        <w:rPr>
                          <w:rFonts w:eastAsia="Segoe UI" w:cs="Segoe UI"/>
                          <w:b/>
                          <w:bCs/>
                        </w:rPr>
                        <w:t>The Climate Policy Assessment Tool (CPAT) is a spreadsheet-based model developed jointly by the IMF and World Bank for government use, covering around 190 countries.</w:t>
                      </w:r>
                      <w:r w:rsidRPr="285A2F06">
                        <w:rPr>
                          <w:rFonts w:eastAsia="Segoe UI" w:cs="Segoe UI"/>
                        </w:rPr>
                        <w:t xml:space="preserve"> It provides a rapid assessment of climate policy reforms—carbon taxes, fossil fuel subsidy reform, feebates, and revenue-use options—across energy and emissions, macro and fiscal outcomes, distributional effects, and co-benefits such as air pollution, health, and transport. It is a diagnostic and scenario-analysis tool: a quick first look that complements rather than replaces more detailed macroeconomic or techno-economic models.</w:t>
                      </w:r>
                    </w:p>
                    <w:p w14:paraId="377D1E6B" w14:textId="77777777" w:rsidR="00F060BF" w:rsidRDefault="00F060BF" w:rsidP="00F060BF">
                      <w:r w:rsidRPr="285A2F06">
                        <w:rPr>
                          <w:rFonts w:eastAsia="Segoe UI" w:cs="Segoe UI"/>
                          <w:b/>
                          <w:bCs/>
                        </w:rPr>
                        <w:t xml:space="preserve">CPAT lets analysts design, compare, and stress-test multiple policies quickly, across a wider set of countries and impact metrics than bespoke modeling usually allows. </w:t>
                      </w:r>
                      <w:r w:rsidRPr="285A2F06">
                        <w:rPr>
                          <w:rFonts w:eastAsia="Segoe UI" w:cs="Segoe UI"/>
                        </w:rPr>
                        <w:t xml:space="preserve">Its outputs feed directly into operational products—Country Climate Development Reports, Public Finance Reviews, technical assistance, and ad hoc client requests—with completed studies in 72-plus countries and distributional data in 74-plus. Beyond emissions, it surfaces the fiscal case for carbon pricing: a more efficient way to raise needed revenues through a less distortive tax system, alongside resources that can be recycled to protect poorer households from regressive effects. </w:t>
                      </w:r>
                      <w:hyperlink r:id="rId23">
                        <w:r w:rsidRPr="285A2F06">
                          <w:rPr>
                            <w:rStyle w:val="Hyperlink"/>
                          </w:rPr>
                          <w:t>github</w:t>
                        </w:r>
                      </w:hyperlink>
                    </w:p>
                    <w:p w14:paraId="5604BA2C" w14:textId="77777777" w:rsidR="00F060BF" w:rsidRDefault="00F060BF" w:rsidP="00F060BF">
                      <w:r w:rsidRPr="285A2F06">
                        <w:rPr>
                          <w:rFonts w:eastAsia="Segoe UI" w:cs="Segoe UI"/>
                          <w:b/>
                          <w:bCs/>
                        </w:rPr>
                        <w:t>CPAT is built from interacting modules running off a central dashboard where the user sets policies and assumptions</w:t>
                      </w:r>
                      <w:r w:rsidRPr="285A2F06">
                        <w:rPr>
                          <w:rFonts w:eastAsia="Segoe UI" w:cs="Segoe UI"/>
                        </w:rPr>
                        <w:t>. A core mitigation module estimates prices, energy use, emissions, revenue, and GDP, with dedicated air pollution, transport, and distribution modules layered on top. Methodologically, it rests on price and GDP elasticities, a power-sector model, and GDP multipliers. Because the data and formulas are accessible within the tool and documented at length, every assumption behind a result stays visible—the discipline that lets users interpret the numbers responsibly</w:t>
                      </w:r>
                    </w:p>
                    <w:p w14:paraId="0E6718E2" w14:textId="77777777" w:rsidR="00F060BF" w:rsidRDefault="00F060BF" w:rsidP="00F060BF"/>
                  </w:txbxContent>
                </v:textbox>
                <w10:wrap type="topAndBottom" anchorx="margin"/>
              </v:shape>
            </w:pict>
          </mc:Fallback>
        </mc:AlternateContent>
      </w:r>
    </w:p>
    <w:p w14:paraId="6D695DA8" w14:textId="77777777" w:rsidR="006509FC" w:rsidRDefault="006509FC" w:rsidP="00DC4DF6"/>
    <w:p w14:paraId="7A144801" w14:textId="4B979D54" w:rsidR="00576979" w:rsidRDefault="00C84069" w:rsidP="285A2F06">
      <w:pPr>
        <w:pStyle w:val="Heading3"/>
      </w:pPr>
      <w:r>
        <w:lastRenderedPageBreak/>
        <w:t>Modeled p</w:t>
      </w:r>
      <w:r w:rsidR="7A16CDDB" w:rsidRPr="00B773DA">
        <w:t xml:space="preserve">olicy </w:t>
      </w:r>
      <w:r>
        <w:t>s</w:t>
      </w:r>
      <w:r w:rsidR="00A97917">
        <w:t>cenarios</w:t>
      </w:r>
    </w:p>
    <w:p w14:paraId="3505C57C" w14:textId="39E8CD76" w:rsidR="142A14AA" w:rsidRDefault="142A14AA" w:rsidP="285A2F06">
      <w:r w:rsidRPr="285A2F06">
        <w:rPr>
          <w:rFonts w:eastAsia="Segoe UI" w:cs="Segoe UI"/>
          <w:b/>
          <w:bCs/>
        </w:rPr>
        <w:t xml:space="preserve">The first scenario (1A) represents the most comprehensive option, combining an upstream carbon levy on all fossil fuel consumption with a downstream charge on process emissions in CBAM sectors. </w:t>
      </w:r>
      <w:r w:rsidRPr="285A2F06">
        <w:rPr>
          <w:rFonts w:eastAsia="Segoe UI" w:cs="Segoe UI"/>
        </w:rPr>
        <w:t>Modeled in CPAT as energy-related CO₂ across all sectors plus CBAM process emissions, it achieves the broadest coverage in the matrix at 72 percent of national greenhouse gases. The price is applied at</w:t>
      </w:r>
      <w:r w:rsidR="00BE1B92">
        <w:rPr>
          <w:rFonts w:eastAsia="Segoe UI" w:cs="Segoe UI"/>
        </w:rPr>
        <w:t xml:space="preserve"> a </w:t>
      </w:r>
      <w:r w:rsidR="00BE1B92" w:rsidRPr="285A2F06">
        <w:rPr>
          <w:rFonts w:eastAsia="Segoe UI" w:cs="Segoe UI"/>
        </w:rPr>
        <w:t>flat</w:t>
      </w:r>
      <w:r w:rsidRPr="285A2F06">
        <w:rPr>
          <w:rFonts w:eastAsia="Segoe UI" w:cs="Segoe UI"/>
        </w:rPr>
        <w:t xml:space="preserve"> </w:t>
      </w:r>
      <w:commentRangeStart w:id="70"/>
      <w:r w:rsidRPr="285A2F06">
        <w:rPr>
          <w:rFonts w:eastAsia="Segoe UI" w:cs="Segoe UI"/>
        </w:rPr>
        <w:t>$20</w:t>
      </w:r>
      <w:r w:rsidR="00DC4DF6">
        <w:rPr>
          <w:rFonts w:eastAsia="Segoe UI" w:cs="Segoe UI"/>
        </w:rPr>
        <w:t>/tCO2e</w:t>
      </w:r>
      <w:r w:rsidRPr="285A2F06">
        <w:rPr>
          <w:rFonts w:eastAsia="Segoe UI" w:cs="Segoe UI"/>
        </w:rPr>
        <w:t xml:space="preserve"> </w:t>
      </w:r>
      <w:commentRangeEnd w:id="70"/>
      <w:r w:rsidR="0063103D">
        <w:rPr>
          <w:rStyle w:val="CommentReference"/>
          <w:rFonts w:eastAsia="Segoe UI" w:cs="Segoe UI"/>
          <w:sz w:val="22"/>
          <w:szCs w:val="22"/>
        </w:rPr>
        <w:commentReference w:id="70"/>
      </w:r>
      <w:r w:rsidR="00871B66">
        <w:rPr>
          <w:rFonts w:eastAsia="Segoe UI" w:cs="Segoe UI"/>
        </w:rPr>
        <w:t xml:space="preserve">levy </w:t>
      </w:r>
      <w:r w:rsidRPr="285A2F06">
        <w:rPr>
          <w:rFonts w:eastAsia="Segoe UI" w:cs="Segoe UI"/>
        </w:rPr>
        <w:t>from 2028, supplemented by a separate $20</w:t>
      </w:r>
      <w:r w:rsidR="009C2EFA">
        <w:rPr>
          <w:rFonts w:eastAsia="Segoe UI" w:cs="Segoe UI"/>
        </w:rPr>
        <w:t>/tCO2e</w:t>
      </w:r>
      <w:r w:rsidRPr="285A2F06">
        <w:rPr>
          <w:rFonts w:eastAsia="Segoe UI" w:cs="Segoe UI"/>
        </w:rPr>
        <w:t xml:space="preserve"> fee on CBAM-sector process emissions, with revenues recycled to (non-green) public investment.</w:t>
      </w:r>
    </w:p>
    <w:p w14:paraId="3E04A9F7" w14:textId="101F25B6" w:rsidR="142A14AA" w:rsidRDefault="142A14AA" w:rsidP="285A2F06">
      <w:r w:rsidRPr="285A2F06">
        <w:rPr>
          <w:rFonts w:eastAsia="Segoe UI" w:cs="Segoe UI"/>
          <w:b/>
          <w:bCs/>
        </w:rPr>
        <w:t>The second family (2A and 2B)</w:t>
      </w:r>
      <w:r w:rsidR="002D5434">
        <w:rPr>
          <w:rFonts w:eastAsia="Segoe UI" w:cs="Segoe UI"/>
          <w:b/>
          <w:bCs/>
        </w:rPr>
        <w:t xml:space="preserve"> model</w:t>
      </w:r>
      <w:r w:rsidR="00282519">
        <w:rPr>
          <w:rFonts w:eastAsia="Segoe UI" w:cs="Segoe UI"/>
          <w:b/>
          <w:bCs/>
        </w:rPr>
        <w:t xml:space="preserve"> upstream carbon pricing alone, while</w:t>
      </w:r>
      <w:r w:rsidRPr="285A2F06">
        <w:rPr>
          <w:rFonts w:eastAsia="Segoe UI" w:cs="Segoe UI"/>
          <w:b/>
          <w:bCs/>
        </w:rPr>
        <w:t xml:space="preserve"> isolat</w:t>
      </w:r>
      <w:r w:rsidR="00282519">
        <w:rPr>
          <w:rFonts w:eastAsia="Segoe UI" w:cs="Segoe UI"/>
          <w:b/>
          <w:bCs/>
        </w:rPr>
        <w:t>ing</w:t>
      </w:r>
      <w:r w:rsidRPr="285A2F06">
        <w:rPr>
          <w:rFonts w:eastAsia="Segoe UI" w:cs="Segoe UI"/>
          <w:b/>
          <w:bCs/>
        </w:rPr>
        <w:t xml:space="preserve"> the effect of revenue recycling by holding the policy design otherwise constant. </w:t>
      </w:r>
      <w:r w:rsidRPr="285A2F06">
        <w:rPr>
          <w:rFonts w:eastAsia="Segoe UI" w:cs="Segoe UI"/>
        </w:rPr>
        <w:t xml:space="preserve">Both apply an upstream carbon levy on all fossil fuel consumption, modeled as </w:t>
      </w:r>
      <w:r w:rsidR="00C109F5" w:rsidRPr="285A2F06">
        <w:rPr>
          <w:rFonts w:eastAsia="Segoe UI" w:cs="Segoe UI"/>
        </w:rPr>
        <w:t>a flat $20</w:t>
      </w:r>
      <w:r w:rsidR="00C109F5">
        <w:rPr>
          <w:rFonts w:eastAsia="Segoe UI" w:cs="Segoe UI"/>
        </w:rPr>
        <w:t>/tCO2e price</w:t>
      </w:r>
      <w:r w:rsidR="00C109F5" w:rsidRPr="285A2F06">
        <w:rPr>
          <w:rFonts w:eastAsia="Segoe UI" w:cs="Segoe UI"/>
        </w:rPr>
        <w:t xml:space="preserve"> from 2028, </w:t>
      </w:r>
      <w:r w:rsidR="00283E98">
        <w:rPr>
          <w:rFonts w:eastAsia="Segoe UI" w:cs="Segoe UI"/>
        </w:rPr>
        <w:t xml:space="preserve">levied on </w:t>
      </w:r>
      <w:r w:rsidRPr="285A2F06">
        <w:rPr>
          <w:rFonts w:eastAsia="Segoe UI" w:cs="Segoe UI"/>
        </w:rPr>
        <w:t>energy CO₂ across all sectors</w:t>
      </w:r>
      <w:r w:rsidR="00283E98">
        <w:rPr>
          <w:rFonts w:eastAsia="Segoe UI" w:cs="Segoe UI"/>
        </w:rPr>
        <w:t>,</w:t>
      </w:r>
      <w:r w:rsidRPr="285A2F06">
        <w:rPr>
          <w:rFonts w:eastAsia="Segoe UI" w:cs="Segoe UI"/>
        </w:rPr>
        <w:t xml:space="preserve"> </w:t>
      </w:r>
      <w:r w:rsidR="00283E98">
        <w:rPr>
          <w:rFonts w:eastAsia="Segoe UI" w:cs="Segoe UI"/>
        </w:rPr>
        <w:t xml:space="preserve">which </w:t>
      </w:r>
      <w:r w:rsidRPr="285A2F06">
        <w:rPr>
          <w:rFonts w:eastAsia="Segoe UI" w:cs="Segoe UI"/>
        </w:rPr>
        <w:t>cover</w:t>
      </w:r>
      <w:r w:rsidR="00283E98">
        <w:rPr>
          <w:rFonts w:eastAsia="Segoe UI" w:cs="Segoe UI"/>
        </w:rPr>
        <w:t>s</w:t>
      </w:r>
      <w:r w:rsidRPr="285A2F06">
        <w:rPr>
          <w:rFonts w:eastAsia="Segoe UI" w:cs="Segoe UI"/>
        </w:rPr>
        <w:t xml:space="preserve"> 65 percent of national greenhouse gases. The two variants differ only in the use of proceeds: 2A directs revenues to (non-green) public investment, while 2B returns them to households</w:t>
      </w:r>
      <w:r w:rsidR="00D56233">
        <w:rPr>
          <w:rFonts w:eastAsia="Segoe UI" w:cs="Segoe UI"/>
        </w:rPr>
        <w:t xml:space="preserve"> on a per-capita basis</w:t>
      </w:r>
      <w:r w:rsidRPr="285A2F06">
        <w:rPr>
          <w:rFonts w:eastAsia="Segoe UI" w:cs="Segoe UI"/>
        </w:rPr>
        <w:t>, allowing a clean comparison of the distributional and macroeconomic consequences of the recycling choice.</w:t>
      </w:r>
    </w:p>
    <w:p w14:paraId="6EEE9443" w14:textId="3799ED55" w:rsidR="142A14AA" w:rsidRDefault="142A14AA" w:rsidP="285A2F06">
      <w:r w:rsidRPr="285A2F06">
        <w:rPr>
          <w:rFonts w:eastAsia="Segoe UI" w:cs="Segoe UI"/>
          <w:b/>
          <w:bCs/>
        </w:rPr>
        <w:t xml:space="preserve">The third family (3A, 3B, and 3C) examines </w:t>
      </w:r>
      <w:r w:rsidR="007C5479">
        <w:rPr>
          <w:rFonts w:eastAsia="Segoe UI" w:cs="Segoe UI"/>
          <w:b/>
          <w:bCs/>
        </w:rPr>
        <w:t xml:space="preserve">downstream </w:t>
      </w:r>
      <w:r w:rsidRPr="285A2F06">
        <w:rPr>
          <w:rFonts w:eastAsia="Segoe UI" w:cs="Segoe UI"/>
          <w:b/>
          <w:bCs/>
        </w:rPr>
        <w:t>pricing on heavy industry, the narrowest option</w:t>
      </w:r>
      <w:r w:rsidR="00823292">
        <w:rPr>
          <w:rFonts w:eastAsia="Segoe UI" w:cs="Segoe UI"/>
          <w:b/>
          <w:bCs/>
        </w:rPr>
        <w:t xml:space="preserve">, covering roughly </w:t>
      </w:r>
      <w:r w:rsidRPr="285A2F06">
        <w:rPr>
          <w:rFonts w:eastAsia="Segoe UI" w:cs="Segoe UI"/>
          <w:b/>
          <w:bCs/>
        </w:rPr>
        <w:t xml:space="preserve">20 percent of national greenhouse gases. </w:t>
      </w:r>
      <w:r w:rsidRPr="285A2F06">
        <w:rPr>
          <w:rFonts w:eastAsia="Segoe UI" w:cs="Segoe UI"/>
        </w:rPr>
        <w:t xml:space="preserve">These scenarios are modeled as </w:t>
      </w:r>
      <w:r w:rsidR="006148DC">
        <w:rPr>
          <w:rFonts w:eastAsia="Segoe UI" w:cs="Segoe UI"/>
        </w:rPr>
        <w:t xml:space="preserve">applying to </w:t>
      </w:r>
      <w:r w:rsidRPr="285A2F06">
        <w:rPr>
          <w:rFonts w:eastAsia="Segoe UI" w:cs="Segoe UI"/>
        </w:rPr>
        <w:t>energy CO₂ for industry plus all process emissions in CBAM sectors, with the price phased in from $5 to $50 by 2034 (reaching $20 in 2030) and applied to industry only. The three variants are distinguished by how value is returned: 3A recycles revenues to households</w:t>
      </w:r>
      <w:r w:rsidR="00FE4BC2">
        <w:rPr>
          <w:rFonts w:eastAsia="Segoe UI" w:cs="Segoe UI"/>
        </w:rPr>
        <w:t xml:space="preserve"> (like 2B, but with fewer revenues to </w:t>
      </w:r>
      <w:r w:rsidR="00645B88">
        <w:rPr>
          <w:rFonts w:eastAsia="Segoe UI" w:cs="Segoe UI"/>
        </w:rPr>
        <w:t>return</w:t>
      </w:r>
      <w:r w:rsidR="00FE4BC2">
        <w:rPr>
          <w:rFonts w:eastAsia="Segoe UI" w:cs="Segoe UI"/>
        </w:rPr>
        <w:t>)</w:t>
      </w:r>
      <w:r w:rsidRPr="285A2F06">
        <w:rPr>
          <w:rFonts w:eastAsia="Segoe UI" w:cs="Segoe UI"/>
        </w:rPr>
        <w:t xml:space="preserve">; 3B pairs the price with free allocation for CBAM producers on an intensity benchmark per unit of output, returning value to firms through output support; and 3C provides a rebate for industrial abatement, channeling value toward </w:t>
      </w:r>
      <w:r w:rsidR="00645B88">
        <w:rPr>
          <w:rFonts w:eastAsia="Segoe UI" w:cs="Segoe UI"/>
        </w:rPr>
        <w:t xml:space="preserve">additional </w:t>
      </w:r>
      <w:r w:rsidRPr="285A2F06">
        <w:rPr>
          <w:rFonts w:eastAsia="Segoe UI" w:cs="Segoe UI"/>
        </w:rPr>
        <w:t>emissions reductions at the firm level.</w:t>
      </w:r>
    </w:p>
    <w:p w14:paraId="3B7E8182" w14:textId="040D2540" w:rsidR="142A14AA" w:rsidRDefault="142A14AA" w:rsidP="285A2F06">
      <w:r w:rsidRPr="285A2F06">
        <w:rPr>
          <w:rFonts w:eastAsia="Segoe UI" w:cs="Segoe UI"/>
        </w:rPr>
        <w:t>Taken together, the matrix is structured along three axes that allow each policy lever to be assessed independently: the point of imposition (upstream versus downstream), the breadth of emissions coverage (declining from 72 to 65 to 20 percent), and the revenue recycling option (public investment, households, or firms). Because the headline carbon price is held constant across all six bundles</w:t>
      </w:r>
      <w:r w:rsidR="00645B88">
        <w:rPr>
          <w:rFonts w:eastAsia="Segoe UI" w:cs="Segoe UI"/>
        </w:rPr>
        <w:t xml:space="preserve"> in the reporting year</w:t>
      </w:r>
      <w:r w:rsidR="002926D2">
        <w:rPr>
          <w:rFonts w:eastAsia="Segoe UI" w:cs="Segoe UI"/>
        </w:rPr>
        <w:t xml:space="preserve"> of 2030</w:t>
      </w:r>
      <w:r w:rsidRPr="285A2F06">
        <w:rPr>
          <w:rFonts w:eastAsia="Segoe UI" w:cs="Segoe UI"/>
        </w:rPr>
        <w:t>, differences in modeled outcomes can be attributed to these design choices rather than to the stringency of the price itself.</w:t>
      </w:r>
    </w:p>
    <w:p w14:paraId="7F8EF1BA" w14:textId="0960D49E" w:rsidR="285A2F06" w:rsidRDefault="285A2F06" w:rsidP="285A2F06">
      <w:pPr>
        <w:rPr>
          <w:rFonts w:eastAsia="Segoe UI" w:cs="Segoe UI"/>
        </w:rPr>
      </w:pPr>
    </w:p>
    <w:p w14:paraId="210A9CE5" w14:textId="02D28A69" w:rsidR="285A2F06" w:rsidRDefault="285A2F06" w:rsidP="285A2F06">
      <w:pPr>
        <w:spacing w:after="0" w:line="257" w:lineRule="auto"/>
        <w:rPr>
          <w:rFonts w:eastAsia="Segoe UI" w:cs="Segoe UI"/>
        </w:rPr>
      </w:pPr>
    </w:p>
    <w:tbl>
      <w:tblPr>
        <w:tblW w:w="0" w:type="auto"/>
        <w:tblLook w:val="0600" w:firstRow="0" w:lastRow="0" w:firstColumn="0" w:lastColumn="0" w:noHBand="1" w:noVBand="1"/>
      </w:tblPr>
      <w:tblGrid>
        <w:gridCol w:w="531"/>
        <w:gridCol w:w="3134"/>
        <w:gridCol w:w="2069"/>
        <w:gridCol w:w="1639"/>
        <w:gridCol w:w="884"/>
        <w:gridCol w:w="1093"/>
      </w:tblGrid>
      <w:tr w:rsidR="285A2F06" w14:paraId="2A860CA3" w14:textId="77777777" w:rsidTr="285A2F06">
        <w:trPr>
          <w:trHeight w:val="1260"/>
        </w:trPr>
        <w:tc>
          <w:tcPr>
            <w:tcW w:w="5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BC8FA50" w14:textId="5869D94B" w:rsidR="285A2F06" w:rsidRDefault="285A2F06" w:rsidP="285A2F06">
            <w:pPr>
              <w:spacing w:after="0"/>
              <w:jc w:val="left"/>
              <w:rPr>
                <w:rFonts w:ascii="Aptos" w:eastAsia="Aptos" w:hAnsi="Aptos" w:cs="Aptos"/>
                <w:b/>
                <w:bCs/>
                <w:color w:val="0078F0"/>
                <w:sz w:val="20"/>
                <w:szCs w:val="20"/>
              </w:rPr>
            </w:pPr>
            <w:r w:rsidRPr="285A2F06">
              <w:rPr>
                <w:rFonts w:ascii="Aptos" w:eastAsia="Aptos" w:hAnsi="Aptos" w:cs="Aptos"/>
                <w:b/>
                <w:bCs/>
                <w:color w:val="0078F0"/>
                <w:sz w:val="20"/>
                <w:szCs w:val="20"/>
              </w:rPr>
              <w:t>Code</w:t>
            </w:r>
          </w:p>
        </w:tc>
        <w:tc>
          <w:tcPr>
            <w:tcW w:w="32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765BE111" w14:textId="0607C5EE" w:rsidR="285A2F06" w:rsidRDefault="285A2F06" w:rsidP="285A2F06">
            <w:pPr>
              <w:spacing w:after="0"/>
              <w:jc w:val="left"/>
              <w:rPr>
                <w:rFonts w:ascii="Aptos" w:eastAsia="Aptos" w:hAnsi="Aptos" w:cs="Aptos"/>
                <w:b/>
                <w:bCs/>
                <w:color w:val="0078F0"/>
                <w:sz w:val="20"/>
                <w:szCs w:val="20"/>
              </w:rPr>
            </w:pPr>
            <w:r w:rsidRPr="285A2F06">
              <w:rPr>
                <w:rFonts w:ascii="Aptos" w:eastAsia="Aptos" w:hAnsi="Aptos" w:cs="Aptos"/>
                <w:b/>
                <w:bCs/>
                <w:color w:val="0078F0"/>
                <w:sz w:val="20"/>
                <w:szCs w:val="20"/>
              </w:rPr>
              <w:t>Policy bundle</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23E7F008" w14:textId="5004158F" w:rsidR="285A2F06" w:rsidRDefault="285A2F06" w:rsidP="285A2F06">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Implementation in CPAT / Adjustment to CPAT Scenario</w:t>
            </w:r>
          </w:p>
        </w:tc>
        <w:tc>
          <w:tcPr>
            <w:tcW w:w="1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12F5DB20" w14:textId="241F4373" w:rsidR="285A2F06" w:rsidRDefault="285A2F06" w:rsidP="285A2F06">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Scenario assumptions ($20 in 2030 for all)</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733B93AF" w14:textId="0F8CEF52" w:rsidR="285A2F06" w:rsidRDefault="285A2F06" w:rsidP="285A2F06">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Carbon price in 2030</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707D85EC" w14:textId="6177B294" w:rsidR="285A2F06" w:rsidRDefault="285A2F06" w:rsidP="285A2F06">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Revenue Recycling Option</w:t>
            </w:r>
          </w:p>
        </w:tc>
      </w:tr>
      <w:tr w:rsidR="285A2F06" w14:paraId="083F77F2" w14:textId="77777777" w:rsidTr="285A2F06">
        <w:trPr>
          <w:trHeight w:val="885"/>
        </w:trPr>
        <w:tc>
          <w:tcPr>
            <w:tcW w:w="5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B54A92" w14:textId="1BABE42E"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lastRenderedPageBreak/>
              <w:t>1A</w:t>
            </w:r>
          </w:p>
        </w:tc>
        <w:tc>
          <w:tcPr>
            <w:tcW w:w="3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1EECDFF" w14:textId="70D5CCFB" w:rsidR="285A2F06" w:rsidRDefault="285A2F06" w:rsidP="285A2F06">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Comprehensive carbon levy:</w:t>
            </w:r>
            <w:r w:rsidRPr="285A2F06">
              <w:rPr>
                <w:rFonts w:ascii="Aptos" w:eastAsia="Aptos" w:hAnsi="Aptos" w:cs="Aptos"/>
                <w:color w:val="000000" w:themeColor="text1"/>
                <w:sz w:val="20"/>
                <w:szCs w:val="20"/>
              </w:rPr>
              <w:t xml:space="preserve"> upstream carbon price on all  fossil fuel consumption</w:t>
            </w:r>
            <w:r w:rsidRPr="285A2F06">
              <w:rPr>
                <w:rFonts w:ascii="Aptos" w:eastAsia="Aptos" w:hAnsi="Aptos" w:cs="Aptos"/>
                <w:b/>
                <w:bCs/>
                <w:color w:val="000000" w:themeColor="text1"/>
                <w:sz w:val="20"/>
                <w:szCs w:val="20"/>
              </w:rPr>
              <w:t xml:space="preserve"> </w:t>
            </w:r>
            <w:r w:rsidRPr="285A2F06">
              <w:rPr>
                <w:rFonts w:ascii="Aptos" w:eastAsia="Aptos" w:hAnsi="Aptos" w:cs="Aptos"/>
                <w:color w:val="000000" w:themeColor="text1"/>
                <w:sz w:val="20"/>
                <w:szCs w:val="20"/>
              </w:rPr>
              <w:t xml:space="preserve">+ downstream emissions in CBAM sectors only </w:t>
            </w:r>
            <w:r w:rsidRPr="285A2F06">
              <w:rPr>
                <w:rFonts w:ascii="Aptos" w:eastAsia="Aptos" w:hAnsi="Aptos" w:cs="Aptos"/>
                <w:b/>
                <w:bCs/>
                <w:color w:val="000000" w:themeColor="text1"/>
                <w:sz w:val="20"/>
                <w:szCs w:val="20"/>
              </w:rPr>
              <w:t>+ recycling to (non-green) public investment</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6749EA" w14:textId="69FFBA81" w:rsidR="285A2F06" w:rsidRDefault="285A2F06" w:rsidP="285A2F06">
            <w:pPr>
              <w:spacing w:after="0"/>
              <w:jc w:val="left"/>
              <w:rPr>
                <w:rFonts w:ascii="Aptos" w:eastAsia="Aptos" w:hAnsi="Aptos" w:cs="Aptos"/>
                <w:color w:val="000000" w:themeColor="text1"/>
                <w:sz w:val="20"/>
                <w:szCs w:val="20"/>
              </w:rPr>
            </w:pPr>
            <w:r w:rsidRPr="285A2F06">
              <w:rPr>
                <w:rFonts w:ascii="Aptos" w:eastAsia="Aptos" w:hAnsi="Aptos" w:cs="Aptos"/>
                <w:color w:val="000000" w:themeColor="text1"/>
                <w:sz w:val="20"/>
                <w:szCs w:val="20"/>
              </w:rPr>
              <w:t xml:space="preserve">Energy CO2 </w:t>
            </w:r>
            <w:r w:rsidR="00D66F34">
              <w:rPr>
                <w:rFonts w:ascii="Aptos" w:eastAsia="Aptos" w:hAnsi="Aptos" w:cs="Aptos"/>
                <w:color w:val="000000" w:themeColor="text1"/>
                <w:sz w:val="20"/>
                <w:szCs w:val="20"/>
              </w:rPr>
              <w:t>in</w:t>
            </w:r>
            <w:r w:rsidRPr="285A2F06">
              <w:rPr>
                <w:rFonts w:ascii="Aptos" w:eastAsia="Aptos" w:hAnsi="Aptos" w:cs="Aptos"/>
                <w:color w:val="000000" w:themeColor="text1"/>
                <w:sz w:val="20"/>
                <w:szCs w:val="20"/>
              </w:rPr>
              <w:t xml:space="preserve"> all sectors + CBAM process emissions ONLY (72% national GHGs covered)</w:t>
            </w:r>
          </w:p>
        </w:tc>
        <w:tc>
          <w:tcPr>
            <w:tcW w:w="16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EEE4739" w14:textId="5737F3F3"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Overall; $20 flat from 2028 + separate $20 fee in process emissions of CBAM sectors</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615B55" w14:textId="1ADE4427"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 xml:space="preserve">$20 </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4176EE4" w14:textId="572B18EB"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Public investment</w:t>
            </w:r>
          </w:p>
        </w:tc>
      </w:tr>
      <w:tr w:rsidR="285A2F06" w14:paraId="649B25CF" w14:textId="77777777" w:rsidTr="285A2F06">
        <w:trPr>
          <w:trHeight w:val="720"/>
        </w:trPr>
        <w:tc>
          <w:tcPr>
            <w:tcW w:w="5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2CFBF0" w14:textId="63150640"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2A</w:t>
            </w:r>
          </w:p>
        </w:tc>
        <w:tc>
          <w:tcPr>
            <w:tcW w:w="3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DCBA8A" w14:textId="6A912092" w:rsidR="285A2F06" w:rsidRDefault="285A2F06" w:rsidP="285A2F06">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Upstream carbon levy</w:t>
            </w:r>
            <w:r w:rsidRPr="285A2F06">
              <w:rPr>
                <w:rFonts w:ascii="Aptos" w:eastAsia="Aptos" w:hAnsi="Aptos" w:cs="Aptos"/>
                <w:color w:val="000000" w:themeColor="text1"/>
                <w:sz w:val="20"/>
                <w:szCs w:val="20"/>
              </w:rPr>
              <w:t xml:space="preserve"> on all</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fossil fuel consumption</w:t>
            </w:r>
            <w:r w:rsidRPr="285A2F06">
              <w:rPr>
                <w:rFonts w:ascii="Aptos" w:eastAsia="Aptos" w:hAnsi="Aptos" w:cs="Aptos"/>
                <w:b/>
                <w:bCs/>
                <w:color w:val="000000" w:themeColor="text1"/>
                <w:sz w:val="20"/>
                <w:szCs w:val="20"/>
              </w:rPr>
              <w:t xml:space="preserve"> + recycling to (non-green) public investment</w:t>
            </w:r>
          </w:p>
        </w:tc>
        <w:tc>
          <w:tcPr>
            <w:tcW w:w="211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03B7EA7" w14:textId="39FBF96D" w:rsidR="285A2F06" w:rsidRDefault="285A2F06" w:rsidP="285A2F06">
            <w:pPr>
              <w:spacing w:after="0"/>
              <w:jc w:val="left"/>
              <w:rPr>
                <w:rFonts w:ascii="Aptos" w:eastAsia="Aptos" w:hAnsi="Aptos" w:cs="Aptos"/>
                <w:color w:val="000000" w:themeColor="text1"/>
                <w:sz w:val="20"/>
                <w:szCs w:val="20"/>
              </w:rPr>
            </w:pPr>
            <w:r w:rsidRPr="285A2F06">
              <w:rPr>
                <w:rFonts w:ascii="Aptos" w:eastAsia="Aptos" w:hAnsi="Aptos" w:cs="Aptos"/>
                <w:color w:val="000000" w:themeColor="text1"/>
                <w:sz w:val="20"/>
                <w:szCs w:val="20"/>
              </w:rPr>
              <w:t xml:space="preserve">Energy CO2 </w:t>
            </w:r>
            <w:r w:rsidR="00D66F34">
              <w:rPr>
                <w:rFonts w:ascii="Aptos" w:eastAsia="Aptos" w:hAnsi="Aptos" w:cs="Aptos"/>
                <w:color w:val="000000" w:themeColor="text1"/>
                <w:sz w:val="20"/>
                <w:szCs w:val="20"/>
              </w:rPr>
              <w:t>in</w:t>
            </w:r>
            <w:r w:rsidRPr="285A2F06">
              <w:rPr>
                <w:rFonts w:ascii="Aptos" w:eastAsia="Aptos" w:hAnsi="Aptos" w:cs="Aptos"/>
                <w:color w:val="000000" w:themeColor="text1"/>
                <w:sz w:val="20"/>
                <w:szCs w:val="20"/>
              </w:rPr>
              <w:t xml:space="preserve"> all sectors</w:t>
            </w:r>
          </w:p>
          <w:p w14:paraId="5047C45E" w14:textId="5A9C2397" w:rsidR="285A2F06" w:rsidRDefault="285A2F06" w:rsidP="285A2F06">
            <w:pPr>
              <w:spacing w:after="0"/>
              <w:jc w:val="left"/>
              <w:rPr>
                <w:rFonts w:ascii="Aptos" w:eastAsia="Aptos" w:hAnsi="Aptos" w:cs="Aptos"/>
                <w:color w:val="000000" w:themeColor="text1"/>
                <w:sz w:val="20"/>
                <w:szCs w:val="20"/>
              </w:rPr>
            </w:pPr>
            <w:r w:rsidRPr="285A2F06">
              <w:rPr>
                <w:rFonts w:ascii="Aptos" w:eastAsia="Aptos" w:hAnsi="Aptos" w:cs="Aptos"/>
                <w:color w:val="000000" w:themeColor="text1"/>
                <w:sz w:val="20"/>
                <w:szCs w:val="20"/>
              </w:rPr>
              <w:t>(65% national GHGs covered)</w:t>
            </w:r>
          </w:p>
        </w:tc>
        <w:tc>
          <w:tcPr>
            <w:tcW w:w="166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C5AA3E6" w14:textId="5138CEAE"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$20 flat from 2028</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6BE7D4" w14:textId="13D67DB0"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 xml:space="preserve">$20 </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88BD33A" w14:textId="6DF3D739"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Public investment</w:t>
            </w:r>
          </w:p>
        </w:tc>
      </w:tr>
      <w:tr w:rsidR="285A2F06" w14:paraId="645C9FF0" w14:textId="77777777" w:rsidTr="285A2F06">
        <w:trPr>
          <w:trHeight w:val="375"/>
        </w:trPr>
        <w:tc>
          <w:tcPr>
            <w:tcW w:w="5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7815E2" w14:textId="722892DB"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2B</w:t>
            </w:r>
          </w:p>
        </w:tc>
        <w:tc>
          <w:tcPr>
            <w:tcW w:w="3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757057F" w14:textId="423037A3" w:rsidR="285A2F06" w:rsidRDefault="285A2F06" w:rsidP="285A2F06">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Upstream carbon levy</w:t>
            </w:r>
            <w:r w:rsidRPr="285A2F06">
              <w:rPr>
                <w:rFonts w:ascii="Aptos" w:eastAsia="Aptos" w:hAnsi="Aptos" w:cs="Aptos"/>
                <w:color w:val="000000" w:themeColor="text1"/>
                <w:sz w:val="20"/>
                <w:szCs w:val="20"/>
              </w:rPr>
              <w:t xml:space="preserve"> on all</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fossil fuel consumption</w:t>
            </w:r>
            <w:r w:rsidRPr="285A2F06">
              <w:rPr>
                <w:rFonts w:ascii="Aptos" w:eastAsia="Aptos" w:hAnsi="Aptos" w:cs="Aptos"/>
                <w:b/>
                <w:bCs/>
                <w:color w:val="000000" w:themeColor="text1"/>
                <w:sz w:val="20"/>
                <w:szCs w:val="20"/>
              </w:rPr>
              <w:t xml:space="preserve"> + recycling to households</w:t>
            </w:r>
          </w:p>
        </w:tc>
        <w:tc>
          <w:tcPr>
            <w:tcW w:w="2110" w:type="dxa"/>
            <w:vMerge/>
            <w:tcBorders>
              <w:left w:val="single" w:sz="0" w:space="0" w:color="000000" w:themeColor="text1"/>
              <w:bottom w:val="single" w:sz="0" w:space="0" w:color="000000" w:themeColor="text1"/>
              <w:right w:val="single" w:sz="0" w:space="0" w:color="000000" w:themeColor="text1"/>
            </w:tcBorders>
            <w:vAlign w:val="center"/>
          </w:tcPr>
          <w:p w14:paraId="7A0C5310" w14:textId="77777777" w:rsidR="0012452D" w:rsidRDefault="0012452D"/>
        </w:tc>
        <w:tc>
          <w:tcPr>
            <w:tcW w:w="1669" w:type="dxa"/>
            <w:vMerge/>
            <w:tcBorders>
              <w:left w:val="single" w:sz="0" w:space="0" w:color="000000" w:themeColor="text1"/>
              <w:bottom w:val="single" w:sz="0" w:space="0" w:color="000000" w:themeColor="text1"/>
              <w:right w:val="single" w:sz="0" w:space="0" w:color="000000" w:themeColor="text1"/>
            </w:tcBorders>
            <w:vAlign w:val="center"/>
          </w:tcPr>
          <w:p w14:paraId="5D820599" w14:textId="77777777" w:rsidR="0012452D" w:rsidRDefault="0012452D"/>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2C65B7" w14:textId="0425831C"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 xml:space="preserve">$20 </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0AB142" w14:textId="40E0CEAB"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Households</w:t>
            </w:r>
          </w:p>
        </w:tc>
      </w:tr>
      <w:tr w:rsidR="285A2F06" w14:paraId="50D08AEE" w14:textId="77777777" w:rsidTr="285A2F06">
        <w:trPr>
          <w:trHeight w:val="300"/>
        </w:trPr>
        <w:tc>
          <w:tcPr>
            <w:tcW w:w="5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2D19C63" w14:textId="2A005EE4"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3A</w:t>
            </w:r>
          </w:p>
        </w:tc>
        <w:tc>
          <w:tcPr>
            <w:tcW w:w="3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9F057C" w14:textId="04B8C35F" w:rsidR="285A2F06" w:rsidRDefault="285A2F06" w:rsidP="285A2F06">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Downstream carbon price</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 xml:space="preserve">on heavy industry + </w:t>
            </w:r>
            <w:r w:rsidRPr="285A2F06">
              <w:rPr>
                <w:rFonts w:ascii="Aptos" w:eastAsia="Aptos" w:hAnsi="Aptos" w:cs="Aptos"/>
                <w:b/>
                <w:bCs/>
                <w:color w:val="000000" w:themeColor="text1"/>
                <w:sz w:val="20"/>
                <w:szCs w:val="20"/>
              </w:rPr>
              <w:t>recycling to households</w:t>
            </w:r>
          </w:p>
        </w:tc>
        <w:tc>
          <w:tcPr>
            <w:tcW w:w="211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0E1249" w14:textId="301D3F0A" w:rsidR="285A2F06" w:rsidRDefault="285A2F06" w:rsidP="285A2F06">
            <w:pPr>
              <w:spacing w:after="0"/>
              <w:jc w:val="left"/>
              <w:rPr>
                <w:rFonts w:ascii="Aptos" w:eastAsia="Aptos" w:hAnsi="Aptos" w:cs="Aptos"/>
                <w:color w:val="000000" w:themeColor="text1"/>
                <w:sz w:val="20"/>
                <w:szCs w:val="20"/>
              </w:rPr>
            </w:pPr>
            <w:r w:rsidRPr="285A2F06">
              <w:rPr>
                <w:rFonts w:ascii="Aptos" w:eastAsia="Aptos" w:hAnsi="Aptos" w:cs="Aptos"/>
                <w:color w:val="000000" w:themeColor="text1"/>
                <w:sz w:val="20"/>
                <w:szCs w:val="20"/>
              </w:rPr>
              <w:t xml:space="preserve">Energy CO2 only for ALL industry plus all process emissions </w:t>
            </w:r>
            <w:r w:rsidR="00596955">
              <w:rPr>
                <w:rFonts w:ascii="Aptos" w:eastAsia="Aptos" w:hAnsi="Aptos" w:cs="Aptos"/>
                <w:color w:val="000000" w:themeColor="text1"/>
                <w:sz w:val="20"/>
                <w:szCs w:val="20"/>
              </w:rPr>
              <w:t xml:space="preserve">in </w:t>
            </w:r>
            <w:r w:rsidRPr="285A2F06">
              <w:rPr>
                <w:rFonts w:ascii="Aptos" w:eastAsia="Aptos" w:hAnsi="Aptos" w:cs="Aptos"/>
                <w:color w:val="000000" w:themeColor="text1"/>
                <w:sz w:val="20"/>
                <w:szCs w:val="20"/>
              </w:rPr>
              <w:t xml:space="preserve">CBAM sectors </w:t>
            </w:r>
            <w:r>
              <w:br/>
            </w:r>
            <w:r w:rsidRPr="285A2F06">
              <w:rPr>
                <w:rFonts w:ascii="Aptos" w:eastAsia="Aptos" w:hAnsi="Aptos" w:cs="Aptos"/>
                <w:color w:val="000000" w:themeColor="text1"/>
                <w:sz w:val="20"/>
                <w:szCs w:val="20"/>
              </w:rPr>
              <w:t>(20% national GHGs covered)</w:t>
            </w:r>
          </w:p>
        </w:tc>
        <w:tc>
          <w:tcPr>
            <w:tcW w:w="166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1C1071" w14:textId="6122ABF1"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Phased-in price from $5 to $50 in 2034 ($20 in 2030). Industry only</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422D95" w14:textId="2826F45D"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 xml:space="preserve">$20 </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4B5641" w14:textId="6B075BD9"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Households</w:t>
            </w:r>
          </w:p>
        </w:tc>
      </w:tr>
      <w:tr w:rsidR="285A2F06" w14:paraId="3191E38A" w14:textId="77777777" w:rsidTr="285A2F06">
        <w:trPr>
          <w:trHeight w:val="540"/>
        </w:trPr>
        <w:tc>
          <w:tcPr>
            <w:tcW w:w="5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08310D7" w14:textId="499590DA"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3B</w:t>
            </w:r>
          </w:p>
        </w:tc>
        <w:tc>
          <w:tcPr>
            <w:tcW w:w="3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9A1A02" w14:textId="2731963E" w:rsidR="285A2F06" w:rsidRDefault="285A2F06" w:rsidP="285A2F06">
            <w:pPr>
              <w:spacing w:after="0"/>
              <w:jc w:val="left"/>
              <w:rPr>
                <w:rFonts w:ascii="Aptos" w:eastAsia="Aptos" w:hAnsi="Aptos" w:cs="Aptos"/>
                <w:color w:val="000000" w:themeColor="text1"/>
                <w:sz w:val="20"/>
                <w:szCs w:val="20"/>
              </w:rPr>
            </w:pPr>
            <w:r w:rsidRPr="285A2F06">
              <w:rPr>
                <w:rFonts w:ascii="Aptos" w:eastAsia="Aptos" w:hAnsi="Aptos" w:cs="Aptos"/>
                <w:b/>
                <w:bCs/>
                <w:color w:val="000000" w:themeColor="text1"/>
                <w:sz w:val="20"/>
                <w:szCs w:val="20"/>
              </w:rPr>
              <w:t xml:space="preserve">Downstream carbon price </w:t>
            </w:r>
            <w:r w:rsidRPr="285A2F06">
              <w:rPr>
                <w:rFonts w:ascii="Aptos" w:eastAsia="Aptos" w:hAnsi="Aptos" w:cs="Aptos"/>
                <w:color w:val="000000" w:themeColor="text1"/>
                <w:sz w:val="20"/>
                <w:szCs w:val="20"/>
              </w:rPr>
              <w:t xml:space="preserve">on heavy industry + </w:t>
            </w:r>
            <w:r w:rsidRPr="285A2F06">
              <w:rPr>
                <w:rFonts w:ascii="Aptos" w:eastAsia="Aptos" w:hAnsi="Aptos" w:cs="Aptos"/>
                <w:b/>
                <w:bCs/>
                <w:color w:val="000000" w:themeColor="text1"/>
                <w:sz w:val="20"/>
                <w:szCs w:val="20"/>
              </w:rPr>
              <w:t xml:space="preserve">free allocation </w:t>
            </w:r>
            <w:r w:rsidRPr="285A2F06">
              <w:rPr>
                <w:rFonts w:ascii="Aptos" w:eastAsia="Aptos" w:hAnsi="Aptos" w:cs="Aptos"/>
                <w:color w:val="000000" w:themeColor="text1"/>
                <w:sz w:val="20"/>
                <w:szCs w:val="20"/>
              </w:rPr>
              <w:t xml:space="preserve">for CBAM producers </w:t>
            </w:r>
            <w:r>
              <w:br/>
            </w:r>
            <w:r w:rsidRPr="285A2F06">
              <w:rPr>
                <w:rFonts w:ascii="Aptos" w:eastAsia="Aptos" w:hAnsi="Aptos" w:cs="Aptos"/>
                <w:color w:val="000000" w:themeColor="text1"/>
                <w:sz w:val="20"/>
                <w:szCs w:val="20"/>
              </w:rPr>
              <w:t xml:space="preserve">(intensity benchmark per unit of output) </w:t>
            </w:r>
          </w:p>
        </w:tc>
        <w:tc>
          <w:tcPr>
            <w:tcW w:w="2110" w:type="dxa"/>
            <w:vMerge/>
            <w:tcBorders>
              <w:left w:val="single" w:sz="0" w:space="0" w:color="000000" w:themeColor="text1"/>
              <w:bottom w:val="single" w:sz="0" w:space="0" w:color="000000" w:themeColor="text1"/>
              <w:right w:val="single" w:sz="0" w:space="0" w:color="000000" w:themeColor="text1"/>
            </w:tcBorders>
            <w:vAlign w:val="center"/>
          </w:tcPr>
          <w:p w14:paraId="5B4D2E9C" w14:textId="77777777" w:rsidR="0012452D" w:rsidRDefault="0012452D"/>
        </w:tc>
        <w:tc>
          <w:tcPr>
            <w:tcW w:w="1669" w:type="dxa"/>
            <w:vMerge/>
            <w:tcBorders>
              <w:left w:val="single" w:sz="0" w:space="0" w:color="000000" w:themeColor="text1"/>
              <w:bottom w:val="single" w:sz="0" w:space="0" w:color="000000" w:themeColor="text1"/>
              <w:right w:val="single" w:sz="0" w:space="0" w:color="000000" w:themeColor="text1"/>
            </w:tcBorders>
            <w:vAlign w:val="center"/>
          </w:tcPr>
          <w:p w14:paraId="3DEA5516" w14:textId="77777777" w:rsidR="0012452D" w:rsidRDefault="0012452D"/>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8AC77FE" w14:textId="48A9A790"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 xml:space="preserve">$20 </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B022714" w14:textId="73A0FDA3"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Firms (output)</w:t>
            </w:r>
          </w:p>
        </w:tc>
      </w:tr>
      <w:tr w:rsidR="285A2F06" w14:paraId="2AC86B74" w14:textId="77777777" w:rsidTr="285A2F06">
        <w:trPr>
          <w:trHeight w:val="660"/>
        </w:trPr>
        <w:tc>
          <w:tcPr>
            <w:tcW w:w="5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51BE2E" w14:textId="3B5FA433"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3C</w:t>
            </w:r>
          </w:p>
        </w:tc>
        <w:tc>
          <w:tcPr>
            <w:tcW w:w="3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19FB693" w14:textId="4AC931FE" w:rsidR="285A2F06" w:rsidRDefault="285A2F06" w:rsidP="285A2F06">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 xml:space="preserve">Downstream carbon price on heavy industry </w:t>
            </w:r>
            <w:r w:rsidRPr="285A2F06">
              <w:rPr>
                <w:rFonts w:ascii="Aptos" w:eastAsia="Aptos" w:hAnsi="Aptos" w:cs="Aptos"/>
                <w:color w:val="000000" w:themeColor="text1"/>
                <w:sz w:val="20"/>
                <w:szCs w:val="20"/>
              </w:rPr>
              <w:t xml:space="preserve">+ </w:t>
            </w:r>
            <w:r w:rsidRPr="285A2F06">
              <w:rPr>
                <w:rFonts w:ascii="Aptos" w:eastAsia="Aptos" w:hAnsi="Aptos" w:cs="Aptos"/>
                <w:b/>
                <w:bCs/>
                <w:color w:val="000000" w:themeColor="text1"/>
                <w:sz w:val="20"/>
                <w:szCs w:val="20"/>
              </w:rPr>
              <w:t>rebate for industrial abatement</w:t>
            </w:r>
          </w:p>
        </w:tc>
        <w:tc>
          <w:tcPr>
            <w:tcW w:w="2110"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7327F4A1" w14:textId="77777777" w:rsidR="0012452D" w:rsidRDefault="0012452D"/>
        </w:tc>
        <w:tc>
          <w:tcPr>
            <w:tcW w:w="1669"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27C83AAF" w14:textId="77777777" w:rsidR="0012452D" w:rsidRDefault="0012452D"/>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30ACB11" w14:textId="6F17B256"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 xml:space="preserve">$20 </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18CB8E6" w14:textId="0FDBB0B6"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Firms (abatement)</w:t>
            </w:r>
          </w:p>
        </w:tc>
      </w:tr>
    </w:tbl>
    <w:p w14:paraId="5EFAC4CC" w14:textId="6A0BF187" w:rsidR="00621AB5" w:rsidRDefault="00DE4D13" w:rsidP="00DE4D13">
      <w:pPr>
        <w:pStyle w:val="Heading3"/>
      </w:pPr>
      <w:r>
        <w:t>Revenues</w:t>
      </w:r>
    </w:p>
    <w:p w14:paraId="5446ACB2" w14:textId="1EED2452" w:rsidR="006339B9" w:rsidRDefault="006339B9" w:rsidP="00567A01">
      <w:r>
        <w:rPr>
          <w:b/>
          <w:bCs/>
        </w:rPr>
        <w:t>Importantly, c</w:t>
      </w:r>
      <w:r w:rsidRPr="003A187A">
        <w:rPr>
          <w:b/>
          <w:bCs/>
        </w:rPr>
        <w:t>arbon emissions represent a significantly underutilized tax base that could boost public revenues.</w:t>
      </w:r>
      <w:r>
        <w:t xml:space="preserve"> </w:t>
      </w:r>
      <w:r w:rsidRPr="00032573">
        <w:t xml:space="preserve">Unlike traditional tax bases, such as labor or corporate income, taxing pollution </w:t>
      </w:r>
      <w:r>
        <w:t xml:space="preserve">can enhance economic efficiency by correcting market failures, internalizing negative externalities associated </w:t>
      </w:r>
      <w:r w:rsidR="000429C9">
        <w:t>with</w:t>
      </w:r>
      <w:r>
        <w:t xml:space="preserve"> air pollution, rather than discouraging productive activities. </w:t>
      </w:r>
      <w:r w:rsidR="47EB56FA" w:rsidRPr="285A2F06">
        <w:rPr>
          <w:rFonts w:eastAsia="Segoe UI" w:cs="Segoe UI"/>
        </w:rPr>
        <w:t>By convention, revenues recycled macroeconomically</w:t>
      </w:r>
      <w:r w:rsidR="004E2CB0">
        <w:rPr>
          <w:rFonts w:eastAsia="Segoe UI" w:cs="Segoe UI"/>
        </w:rPr>
        <w:t xml:space="preserve"> </w:t>
      </w:r>
      <w:r w:rsidR="47EB56FA" w:rsidRPr="285A2F06">
        <w:rPr>
          <w:rFonts w:eastAsia="Segoe UI" w:cs="Segoe UI"/>
        </w:rPr>
        <w:t>—for example to public investment or to households—are counted as carbon revenues, whereas value returned to firms through free allocation or industrial rebates is not, since it offsets the price at source rather than passing through the budget. On this basis, the comprehensive carbon levy (1A) raises the most, at $5.8 billion</w:t>
      </w:r>
      <w:r w:rsidR="00457325">
        <w:rPr>
          <w:rFonts w:eastAsia="Segoe UI" w:cs="Segoe UI"/>
        </w:rPr>
        <w:t>—</w:t>
      </w:r>
      <w:r w:rsidR="00474FE7">
        <w:rPr>
          <w:rFonts w:eastAsia="Segoe UI" w:cs="Segoe UI"/>
        </w:rPr>
        <w:t xml:space="preserve">roughly equivalent to </w:t>
      </w:r>
      <w:r w:rsidR="00457325">
        <w:rPr>
          <w:rFonts w:eastAsia="Segoe UI" w:cs="Segoe UI"/>
        </w:rPr>
        <w:t xml:space="preserve">10% of current </w:t>
      </w:r>
      <w:r w:rsidR="00474FE7">
        <w:rPr>
          <w:rFonts w:eastAsia="Segoe UI" w:cs="Segoe UI"/>
        </w:rPr>
        <w:t>government revenues</w:t>
      </w:r>
      <w:r w:rsidR="47EB56FA" w:rsidRPr="285A2F06">
        <w:rPr>
          <w:rFonts w:eastAsia="Segoe UI" w:cs="Segoe UI"/>
        </w:rPr>
        <w:t>. The two upstream levies (2A and 2B) follow closely, each generating $5.2 billion whether proceeds are recycled to public investment or to households. The downstream price recycled to households (3A) raises considerably less, at $1.1 billion, reflecting its narrower base. The two remaining downstream designs raise no carbon revenue: free allocation for CBAM producers (3B) and the rebate for industrial abatement (3C) both channel value back to firms, which by this convention falls outside measured revenues.</w:t>
      </w:r>
    </w:p>
    <w:p w14:paraId="0CF82353" w14:textId="2816C1A2" w:rsidR="285A2F06" w:rsidRDefault="285A2F06" w:rsidP="285A2F06">
      <w:pPr>
        <w:spacing w:after="0" w:line="257" w:lineRule="auto"/>
        <w:rPr>
          <w:rFonts w:eastAsia="Calibri" w:cs="Segoe UI"/>
          <w:sz w:val="18"/>
          <w:szCs w:val="18"/>
        </w:rPr>
      </w:pPr>
    </w:p>
    <w:p w14:paraId="727243BE" w14:textId="7DF50A74" w:rsidR="285A2F06" w:rsidRDefault="285A2F06" w:rsidP="285A2F06">
      <w:pPr>
        <w:spacing w:after="0" w:line="257" w:lineRule="auto"/>
        <w:rPr>
          <w:rFonts w:eastAsia="Calibri" w:cs="Segoe UI"/>
          <w:sz w:val="18"/>
          <w:szCs w:val="18"/>
        </w:rPr>
      </w:pPr>
    </w:p>
    <w:tbl>
      <w:tblPr>
        <w:tblW w:w="0" w:type="auto"/>
        <w:tblLook w:val="0600" w:firstRow="0" w:lastRow="0" w:firstColumn="0" w:lastColumn="0" w:noHBand="1" w:noVBand="1"/>
      </w:tblPr>
      <w:tblGrid>
        <w:gridCol w:w="529"/>
        <w:gridCol w:w="7026"/>
        <w:gridCol w:w="1795"/>
      </w:tblGrid>
      <w:tr w:rsidR="285A2F06" w14:paraId="581A3987" w14:textId="77777777" w:rsidTr="285A2F06">
        <w:trPr>
          <w:trHeight w:val="45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101EE95F" w14:textId="2686A309" w:rsidR="285A2F06" w:rsidRDefault="285A2F06" w:rsidP="285A2F06">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Code</w:t>
            </w:r>
          </w:p>
        </w:tc>
        <w:tc>
          <w:tcPr>
            <w:tcW w:w="71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6B3735B5" w14:textId="2291BACC" w:rsidR="285A2F06" w:rsidRDefault="285A2F06" w:rsidP="285A2F06">
            <w:pPr>
              <w:spacing w:after="0"/>
              <w:jc w:val="left"/>
              <w:rPr>
                <w:rFonts w:ascii="Aptos" w:eastAsia="Aptos" w:hAnsi="Aptos" w:cs="Aptos"/>
                <w:b/>
                <w:bCs/>
                <w:color w:val="0078F0"/>
                <w:sz w:val="20"/>
                <w:szCs w:val="20"/>
              </w:rPr>
            </w:pPr>
            <w:r w:rsidRPr="285A2F06">
              <w:rPr>
                <w:rFonts w:ascii="Aptos" w:eastAsia="Aptos" w:hAnsi="Aptos" w:cs="Aptos"/>
                <w:b/>
                <w:bCs/>
                <w:color w:val="0078F0"/>
                <w:sz w:val="20"/>
                <w:szCs w:val="20"/>
              </w:rPr>
              <w:t>Policy bundle</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3F096A1" w14:textId="5810ECB0" w:rsidR="285A2F06" w:rsidRDefault="285A2F06" w:rsidP="285A2F06">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Carbon revenues raised ($bn)</w:t>
            </w:r>
          </w:p>
        </w:tc>
      </w:tr>
      <w:tr w:rsidR="285A2F06" w14:paraId="702DF61D" w14:textId="77777777" w:rsidTr="285A2F06">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15" w:type="dxa"/>
              <w:left w:w="15" w:type="dxa"/>
              <w:right w:w="15" w:type="dxa"/>
            </w:tcMar>
            <w:vAlign w:val="bottom"/>
          </w:tcPr>
          <w:p w14:paraId="1A08A33D" w14:textId="465DD967" w:rsidR="285A2F06" w:rsidRDefault="285A2F06" w:rsidP="285A2F06">
            <w:pPr>
              <w:spacing w:after="0"/>
              <w:jc w:val="center"/>
              <w:rPr>
                <w:rFonts w:ascii="Aptos" w:eastAsia="Aptos" w:hAnsi="Aptos" w:cs="Aptos"/>
                <w:color w:val="0078F0"/>
                <w:sz w:val="20"/>
                <w:szCs w:val="20"/>
              </w:rPr>
            </w:pPr>
            <w:r w:rsidRPr="285A2F06">
              <w:rPr>
                <w:rFonts w:ascii="Aptos" w:eastAsia="Aptos" w:hAnsi="Aptos" w:cs="Aptos"/>
                <w:color w:val="0078F0"/>
                <w:sz w:val="20"/>
                <w:szCs w:val="20"/>
              </w:rPr>
              <w:lastRenderedPageBreak/>
              <w:t xml:space="preserve"> </w:t>
            </w:r>
          </w:p>
        </w:tc>
        <w:tc>
          <w:tcPr>
            <w:tcW w:w="7142" w:type="dxa"/>
            <w:tcBorders>
              <w:top w:val="single" w:sz="4" w:space="0" w:color="000000" w:themeColor="text1"/>
              <w:left w:val="single" w:sz="4" w:space="0" w:color="000000" w:themeColor="text1"/>
              <w:bottom w:val="single" w:sz="4" w:space="0" w:color="000000" w:themeColor="text1"/>
              <w:right w:val="nil"/>
            </w:tcBorders>
            <w:shd w:val="clear" w:color="auto" w:fill="F2F2F2" w:themeFill="background1" w:themeFillShade="F2"/>
            <w:tcMar>
              <w:top w:w="15" w:type="dxa"/>
              <w:left w:w="15" w:type="dxa"/>
              <w:right w:w="15" w:type="dxa"/>
            </w:tcMar>
            <w:vAlign w:val="center"/>
          </w:tcPr>
          <w:p w14:paraId="753CE65F" w14:textId="2BCEC3F4" w:rsidR="285A2F06" w:rsidRDefault="285A2F06" w:rsidP="285A2F06">
            <w:pPr>
              <w:spacing w:after="0"/>
              <w:jc w:val="left"/>
              <w:rPr>
                <w:rFonts w:ascii="Aptos" w:eastAsia="Aptos" w:hAnsi="Aptos" w:cs="Aptos"/>
                <w:b/>
                <w:bCs/>
                <w:color w:val="0078F0"/>
                <w:sz w:val="20"/>
                <w:szCs w:val="20"/>
              </w:rPr>
            </w:pPr>
            <w:r w:rsidRPr="285A2F06">
              <w:rPr>
                <w:rFonts w:ascii="Aptos" w:eastAsia="Aptos" w:hAnsi="Aptos" w:cs="Aptos"/>
                <w:b/>
                <w:bCs/>
                <w:color w:val="0078F0"/>
                <w:sz w:val="20"/>
                <w:szCs w:val="20"/>
              </w:rPr>
              <w:t>Policy Bundle Options - Carbon Pricing (modelled)</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15" w:type="dxa"/>
              <w:left w:w="15" w:type="dxa"/>
              <w:right w:w="15" w:type="dxa"/>
            </w:tcMar>
            <w:vAlign w:val="center"/>
          </w:tcPr>
          <w:p w14:paraId="58A9948A" w14:textId="3D271386" w:rsidR="285A2F06" w:rsidRDefault="285A2F06" w:rsidP="285A2F06">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 xml:space="preserve"> </w:t>
            </w:r>
          </w:p>
        </w:tc>
      </w:tr>
      <w:tr w:rsidR="285A2F06" w14:paraId="720EB94C" w14:textId="77777777" w:rsidTr="285A2F06">
        <w:trPr>
          <w:trHeight w:val="408"/>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666818" w14:textId="63653EEA"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1A</w:t>
            </w:r>
          </w:p>
        </w:tc>
        <w:tc>
          <w:tcPr>
            <w:tcW w:w="71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75F07EE" w14:textId="1AA59773" w:rsidR="285A2F06" w:rsidRDefault="285A2F06" w:rsidP="285A2F06">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Comprehensive carbon levy:</w:t>
            </w:r>
            <w:r w:rsidRPr="285A2F06">
              <w:rPr>
                <w:rFonts w:ascii="Aptos" w:eastAsia="Aptos" w:hAnsi="Aptos" w:cs="Aptos"/>
                <w:color w:val="000000" w:themeColor="text1"/>
                <w:sz w:val="20"/>
                <w:szCs w:val="20"/>
              </w:rPr>
              <w:t xml:space="preserve"> upstream carbon price on all  fossil fuel consumption</w:t>
            </w:r>
            <w:r w:rsidRPr="285A2F06">
              <w:rPr>
                <w:rFonts w:ascii="Aptos" w:eastAsia="Aptos" w:hAnsi="Aptos" w:cs="Aptos"/>
                <w:b/>
                <w:bCs/>
                <w:color w:val="000000" w:themeColor="text1"/>
                <w:sz w:val="20"/>
                <w:szCs w:val="20"/>
              </w:rPr>
              <w:t xml:space="preserve"> </w:t>
            </w:r>
            <w:r w:rsidRPr="285A2F06">
              <w:rPr>
                <w:rFonts w:ascii="Aptos" w:eastAsia="Aptos" w:hAnsi="Aptos" w:cs="Aptos"/>
                <w:color w:val="000000" w:themeColor="text1"/>
                <w:sz w:val="20"/>
                <w:szCs w:val="20"/>
              </w:rPr>
              <w:t xml:space="preserve">+ downstream emissions in CBAM sectors only </w:t>
            </w:r>
            <w:r w:rsidRPr="285A2F06">
              <w:rPr>
                <w:rFonts w:ascii="Aptos" w:eastAsia="Aptos" w:hAnsi="Aptos" w:cs="Aptos"/>
                <w:b/>
                <w:bCs/>
                <w:color w:val="000000" w:themeColor="text1"/>
                <w:sz w:val="20"/>
                <w:szCs w:val="20"/>
              </w:rPr>
              <w:t>+ recycling to (non-green) public investment</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19DD28B" w14:textId="6F5C83A5"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5.8</w:t>
            </w:r>
          </w:p>
        </w:tc>
      </w:tr>
      <w:tr w:rsidR="285A2F06" w14:paraId="3733B08D" w14:textId="77777777" w:rsidTr="285A2F06">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A02F69" w14:textId="4994A30A"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2A</w:t>
            </w:r>
          </w:p>
        </w:tc>
        <w:tc>
          <w:tcPr>
            <w:tcW w:w="71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770D16" w14:textId="430D90A6" w:rsidR="285A2F06" w:rsidRDefault="285A2F06" w:rsidP="285A2F06">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Upstream carbon levy</w:t>
            </w:r>
            <w:r w:rsidRPr="285A2F06">
              <w:rPr>
                <w:rFonts w:ascii="Aptos" w:eastAsia="Aptos" w:hAnsi="Aptos" w:cs="Aptos"/>
                <w:color w:val="000000" w:themeColor="text1"/>
                <w:sz w:val="20"/>
                <w:szCs w:val="20"/>
              </w:rPr>
              <w:t xml:space="preserve"> on all</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fossil fuel consumption</w:t>
            </w:r>
            <w:r w:rsidRPr="285A2F06">
              <w:rPr>
                <w:rFonts w:ascii="Aptos" w:eastAsia="Aptos" w:hAnsi="Aptos" w:cs="Aptos"/>
                <w:b/>
                <w:bCs/>
                <w:color w:val="000000" w:themeColor="text1"/>
                <w:sz w:val="20"/>
                <w:szCs w:val="20"/>
              </w:rPr>
              <w:t xml:space="preserve"> + recycling to (non-green) public investment</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A476B0E" w14:textId="4896D4A3"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5.2</w:t>
            </w:r>
          </w:p>
        </w:tc>
      </w:tr>
      <w:tr w:rsidR="285A2F06" w14:paraId="04905483" w14:textId="77777777" w:rsidTr="285A2F06">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566588" w14:textId="77B1BE02"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2B</w:t>
            </w:r>
          </w:p>
        </w:tc>
        <w:tc>
          <w:tcPr>
            <w:tcW w:w="71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62B93BD" w14:textId="13EF11F6" w:rsidR="285A2F06" w:rsidRDefault="285A2F06" w:rsidP="285A2F06">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Upstream carbon levy</w:t>
            </w:r>
            <w:r w:rsidRPr="285A2F06">
              <w:rPr>
                <w:rFonts w:ascii="Aptos" w:eastAsia="Aptos" w:hAnsi="Aptos" w:cs="Aptos"/>
                <w:color w:val="000000" w:themeColor="text1"/>
                <w:sz w:val="20"/>
                <w:szCs w:val="20"/>
              </w:rPr>
              <w:t xml:space="preserve"> on all</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fossil fuel consumption</w:t>
            </w:r>
            <w:r w:rsidRPr="285A2F06">
              <w:rPr>
                <w:rFonts w:ascii="Aptos" w:eastAsia="Aptos" w:hAnsi="Aptos" w:cs="Aptos"/>
                <w:b/>
                <w:bCs/>
                <w:color w:val="000000" w:themeColor="text1"/>
                <w:sz w:val="20"/>
                <w:szCs w:val="20"/>
              </w:rPr>
              <w:t xml:space="preserve"> + recycling to households</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5966B7C" w14:textId="16DA3AB0"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5.2</w:t>
            </w:r>
          </w:p>
        </w:tc>
      </w:tr>
      <w:tr w:rsidR="285A2F06" w14:paraId="4A0125EA" w14:textId="77777777" w:rsidTr="285A2F06">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7583C89" w14:textId="5F330F34"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3A</w:t>
            </w:r>
          </w:p>
        </w:tc>
        <w:tc>
          <w:tcPr>
            <w:tcW w:w="71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840996" w14:textId="0E120885" w:rsidR="285A2F06" w:rsidRDefault="285A2F06" w:rsidP="285A2F06">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Downstream carbon price</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 xml:space="preserve">on heavy industry </w:t>
            </w:r>
            <w:r>
              <w:br/>
            </w:r>
            <w:r w:rsidRPr="285A2F06">
              <w:rPr>
                <w:rFonts w:ascii="Aptos" w:eastAsia="Aptos" w:hAnsi="Aptos" w:cs="Aptos"/>
                <w:color w:val="000000" w:themeColor="text1"/>
                <w:sz w:val="20"/>
                <w:szCs w:val="20"/>
              </w:rPr>
              <w:t xml:space="preserve">+ </w:t>
            </w:r>
            <w:r w:rsidRPr="285A2F06">
              <w:rPr>
                <w:rFonts w:ascii="Aptos" w:eastAsia="Aptos" w:hAnsi="Aptos" w:cs="Aptos"/>
                <w:b/>
                <w:bCs/>
                <w:color w:val="000000" w:themeColor="text1"/>
                <w:sz w:val="20"/>
                <w:szCs w:val="20"/>
              </w:rPr>
              <w:t>recycling to households</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FDC50D" w14:textId="6FC5A071"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1.1</w:t>
            </w:r>
          </w:p>
        </w:tc>
      </w:tr>
      <w:tr w:rsidR="285A2F06" w14:paraId="5133E218" w14:textId="77777777" w:rsidTr="285A2F06">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CE4B23" w14:textId="37C605A6"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3B</w:t>
            </w:r>
          </w:p>
        </w:tc>
        <w:tc>
          <w:tcPr>
            <w:tcW w:w="71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6F9BCE" w14:textId="34DF03D3" w:rsidR="285A2F06" w:rsidRDefault="285A2F06" w:rsidP="285A2F06">
            <w:pPr>
              <w:spacing w:after="0"/>
              <w:jc w:val="left"/>
              <w:rPr>
                <w:rFonts w:ascii="Aptos" w:eastAsia="Aptos" w:hAnsi="Aptos" w:cs="Aptos"/>
                <w:color w:val="000000" w:themeColor="text1"/>
                <w:sz w:val="20"/>
                <w:szCs w:val="20"/>
              </w:rPr>
            </w:pPr>
            <w:r w:rsidRPr="285A2F06">
              <w:rPr>
                <w:rFonts w:ascii="Aptos" w:eastAsia="Aptos" w:hAnsi="Aptos" w:cs="Aptos"/>
                <w:b/>
                <w:bCs/>
                <w:color w:val="000000" w:themeColor="text1"/>
                <w:sz w:val="20"/>
                <w:szCs w:val="20"/>
              </w:rPr>
              <w:t xml:space="preserve">Downstream carbon price </w:t>
            </w:r>
            <w:r w:rsidRPr="285A2F06">
              <w:rPr>
                <w:rFonts w:ascii="Aptos" w:eastAsia="Aptos" w:hAnsi="Aptos" w:cs="Aptos"/>
                <w:color w:val="000000" w:themeColor="text1"/>
                <w:sz w:val="20"/>
                <w:szCs w:val="20"/>
              </w:rPr>
              <w:t xml:space="preserve">on heavy industry + </w:t>
            </w:r>
            <w:r w:rsidRPr="285A2F06">
              <w:rPr>
                <w:rFonts w:ascii="Aptos" w:eastAsia="Aptos" w:hAnsi="Aptos" w:cs="Aptos"/>
                <w:b/>
                <w:bCs/>
                <w:color w:val="000000" w:themeColor="text1"/>
                <w:sz w:val="20"/>
                <w:szCs w:val="20"/>
              </w:rPr>
              <w:t xml:space="preserve">free allocation </w:t>
            </w:r>
            <w:r w:rsidRPr="285A2F06">
              <w:rPr>
                <w:rFonts w:ascii="Aptos" w:eastAsia="Aptos" w:hAnsi="Aptos" w:cs="Aptos"/>
                <w:color w:val="000000" w:themeColor="text1"/>
                <w:sz w:val="20"/>
                <w:szCs w:val="20"/>
              </w:rPr>
              <w:t xml:space="preserve">for CBAM producers (intensity benchmark per unit of output) </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C20DA9" w14:textId="40A110F5"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0.0</w:t>
            </w:r>
          </w:p>
        </w:tc>
      </w:tr>
      <w:tr w:rsidR="285A2F06" w14:paraId="09BC8AF5" w14:textId="77777777" w:rsidTr="285A2F06">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3542CF" w14:textId="728D0F6A"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3C</w:t>
            </w:r>
          </w:p>
        </w:tc>
        <w:tc>
          <w:tcPr>
            <w:tcW w:w="71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C96D9F" w14:textId="35D98A4F" w:rsidR="285A2F06" w:rsidRDefault="285A2F06" w:rsidP="285A2F06">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 xml:space="preserve">Downstream carbon price on heavy industry </w:t>
            </w:r>
            <w:r w:rsidRPr="285A2F06">
              <w:rPr>
                <w:rFonts w:ascii="Aptos" w:eastAsia="Aptos" w:hAnsi="Aptos" w:cs="Aptos"/>
                <w:color w:val="000000" w:themeColor="text1"/>
                <w:sz w:val="20"/>
                <w:szCs w:val="20"/>
              </w:rPr>
              <w:t xml:space="preserve">+ </w:t>
            </w:r>
            <w:r w:rsidRPr="285A2F06">
              <w:rPr>
                <w:rFonts w:ascii="Aptos" w:eastAsia="Aptos" w:hAnsi="Aptos" w:cs="Aptos"/>
                <w:b/>
                <w:bCs/>
                <w:color w:val="000000" w:themeColor="text1"/>
                <w:sz w:val="20"/>
                <w:szCs w:val="20"/>
              </w:rPr>
              <w:t>rebate for industrial abatement</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CF0A441" w14:textId="61119430"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0.0</w:t>
            </w:r>
          </w:p>
        </w:tc>
      </w:tr>
    </w:tbl>
    <w:p w14:paraId="1E5B25F2" w14:textId="05CD1A32" w:rsidR="285A2F06" w:rsidRDefault="285A2F06" w:rsidP="285A2F06">
      <w:pPr>
        <w:spacing w:after="0" w:line="257" w:lineRule="auto"/>
        <w:rPr>
          <w:rFonts w:eastAsia="Calibri" w:cs="Segoe UI"/>
          <w:sz w:val="18"/>
          <w:szCs w:val="18"/>
        </w:rPr>
      </w:pPr>
    </w:p>
    <w:p w14:paraId="5EA7E692" w14:textId="77777777" w:rsidR="006339B9" w:rsidRDefault="006339B9" w:rsidP="006339B9">
      <w:pPr>
        <w:spacing w:after="0" w:line="257" w:lineRule="auto"/>
        <w:rPr>
          <w:rFonts w:ascii="Calibri" w:eastAsia="Calibri" w:hAnsi="Calibri" w:cs="Calibri"/>
          <w:sz w:val="18"/>
          <w:szCs w:val="18"/>
        </w:rPr>
      </w:pPr>
    </w:p>
    <w:p w14:paraId="3E8272D1" w14:textId="4BC03585" w:rsidR="00DE4D13" w:rsidRDefault="00DE4D13" w:rsidP="00A736A2">
      <w:pPr>
        <w:pStyle w:val="Heading3"/>
      </w:pPr>
      <w:r>
        <w:t>Emissions reductions</w:t>
      </w:r>
      <w:r w:rsidR="00A736A2">
        <w:t xml:space="preserve"> and reductions in CBAM obligations</w:t>
      </w:r>
    </w:p>
    <w:p w14:paraId="7484EA3B" w14:textId="77F28EC8" w:rsidR="0FF6F456" w:rsidRDefault="0FF6F456" w:rsidP="285A2F06">
      <w:r w:rsidRPr="285A2F06">
        <w:rPr>
          <w:rFonts w:eastAsia="Segoe UI" w:cs="Segoe UI"/>
          <w:b/>
          <w:bCs/>
        </w:rPr>
        <w:t>Estimated emissions reductions range from 41.6 to 13.6 MtCO₂ across the bundles, equivalent to roughly 5 to 17 percent of Egypt's annual CO₂ emissions of about 249 MtCO₂.</w:t>
      </w:r>
      <w:r w:rsidRPr="285A2F06">
        <w:rPr>
          <w:rFonts w:eastAsia="Segoe UI" w:cs="Segoe UI"/>
        </w:rPr>
        <w:t xml:space="preserve"> The comprehensive carbon levy (1A) achieves the most</w:t>
      </w:r>
      <w:r w:rsidR="00ED5340">
        <w:rPr>
          <w:rFonts w:eastAsia="Segoe UI" w:cs="Segoe UI"/>
        </w:rPr>
        <w:t xml:space="preserve"> emissions reduction</w:t>
      </w:r>
      <w:r w:rsidRPr="285A2F06">
        <w:rPr>
          <w:rFonts w:eastAsia="Segoe UI" w:cs="Segoe UI"/>
        </w:rPr>
        <w:t>, at 41.6 MtCO₂ (about 17 percent of national emissions), reflecting its wide coverage of both energy and CBAM-sector process emissions. The two upstream levies follow closely: the household-recycling variant (2B) reduces emissions by 41.0 MtCO₂ (about 16 percent) and the public-investment variant (2A) by 38.9 MtCO₂ (about 16 percent), the modest difference between them arising from how each recycling choice feeds back into energy demand. Reductions fall substantially under the downstream-only options, which reach a narrower industrial base: the industrial carbon price with rebate for industrial abatement (3C) delivers 24.5 MtCO₂ (about 10 percent), the household-recycling design (3A) 21.5 MtCO₂ (about 9 percent), and the free-allocation design (3B) the least at 13.6 MtCO₂ (about 5 percent), as free allocation on an output-intensity benchmark weakens the incentive to abate</w:t>
      </w:r>
      <w:r w:rsidR="00ED5340">
        <w:rPr>
          <w:rFonts w:eastAsia="Segoe UI" w:cs="Segoe UI"/>
        </w:rPr>
        <w:t xml:space="preserve">. </w:t>
      </w:r>
    </w:p>
    <w:p w14:paraId="392EF9D3" w14:textId="48B3F485" w:rsidR="57220071" w:rsidRDefault="57220071" w:rsidP="285A2F06">
      <w:r w:rsidRPr="000B0270">
        <w:rPr>
          <w:rFonts w:eastAsia="Segoe UI" w:cs="Segoe UI"/>
          <w:b/>
          <w:bCs/>
        </w:rPr>
        <w:t>The bundles differ considerably in how effectively they reduce Egypt's exposure to the EU CBAM</w:t>
      </w:r>
      <w:r w:rsidRPr="285A2F06">
        <w:rPr>
          <w:rFonts w:eastAsia="Segoe UI" w:cs="Segoe UI"/>
        </w:rPr>
        <w:t xml:space="preserve">, with reductions in CBAM obligations ranging from 7.6 to 30.4 percent depending on how comprehensively the price reaches CBAM sectors and how strongly it incentivizes abatement. </w:t>
      </w:r>
      <w:r w:rsidR="00724E18">
        <w:rPr>
          <w:rFonts w:eastAsia="Segoe UI" w:cs="Segoe UI"/>
        </w:rPr>
        <w:t xml:space="preserve">The </w:t>
      </w:r>
      <w:r w:rsidR="00A244D9">
        <w:rPr>
          <w:rFonts w:eastAsia="Segoe UI" w:cs="Segoe UI"/>
        </w:rPr>
        <w:t xml:space="preserve">comprehensive carbon levy and downstream pricing </w:t>
      </w:r>
      <w:r w:rsidRPr="285A2F06">
        <w:rPr>
          <w:rFonts w:eastAsia="Segoe UI" w:cs="Segoe UI"/>
        </w:rPr>
        <w:t xml:space="preserve">designs </w:t>
      </w:r>
      <w:r w:rsidR="00A244D9">
        <w:rPr>
          <w:rFonts w:eastAsia="Segoe UI" w:cs="Segoe UI"/>
        </w:rPr>
        <w:t xml:space="preserve">all </w:t>
      </w:r>
      <w:r w:rsidRPr="285A2F06">
        <w:rPr>
          <w:rFonts w:eastAsia="Segoe UI" w:cs="Segoe UI"/>
        </w:rPr>
        <w:t>achieve full coverage of CBAM sectors</w:t>
      </w:r>
      <w:r w:rsidR="00BA7443">
        <w:rPr>
          <w:rFonts w:eastAsia="Segoe UI" w:cs="Segoe UI"/>
        </w:rPr>
        <w:t>; however, the choice of rebating influence the chan</w:t>
      </w:r>
      <w:r w:rsidR="00C0310A">
        <w:rPr>
          <w:rFonts w:eastAsia="Segoe UI" w:cs="Segoe UI"/>
        </w:rPr>
        <w:t>ge in emissions and CBAM obligations.</w:t>
      </w:r>
      <w:r w:rsidRPr="285A2F06">
        <w:rPr>
          <w:rFonts w:eastAsia="Segoe UI" w:cs="Segoe UI"/>
        </w:rPr>
        <w:t xml:space="preserve"> </w:t>
      </w:r>
      <w:r w:rsidR="00C0310A">
        <w:rPr>
          <w:rFonts w:eastAsia="Segoe UI" w:cs="Segoe UI"/>
        </w:rPr>
        <w:t>T</w:t>
      </w:r>
      <w:r w:rsidRPr="285A2F06">
        <w:rPr>
          <w:rFonts w:eastAsia="Segoe UI" w:cs="Segoe UI"/>
        </w:rPr>
        <w:t xml:space="preserve">he comprehensive carbon levy (1A) and the downstream price recycled to households (3A) </w:t>
      </w:r>
      <w:r w:rsidR="00C0310A">
        <w:rPr>
          <w:rFonts w:eastAsia="Segoe UI" w:cs="Segoe UI"/>
        </w:rPr>
        <w:t xml:space="preserve">produce </w:t>
      </w:r>
      <w:r w:rsidR="00C0310A" w:rsidRPr="285A2F06">
        <w:rPr>
          <w:rFonts w:eastAsia="Segoe UI" w:cs="Segoe UI"/>
        </w:rPr>
        <w:t xml:space="preserve">identical </w:t>
      </w:r>
      <w:r w:rsidR="00C0310A">
        <w:rPr>
          <w:rFonts w:eastAsia="Segoe UI" w:cs="Segoe UI"/>
        </w:rPr>
        <w:t xml:space="preserve">carbon </w:t>
      </w:r>
      <w:r w:rsidR="00C0310A" w:rsidRPr="285A2F06">
        <w:rPr>
          <w:rFonts w:eastAsia="Segoe UI" w:cs="Segoe UI"/>
        </w:rPr>
        <w:t>intensity reductions of 7.6 percent of baseline</w:t>
      </w:r>
      <w:r w:rsidR="00C0310A">
        <w:rPr>
          <w:rFonts w:eastAsia="Segoe UI" w:cs="Segoe UI"/>
        </w:rPr>
        <w:t>, and</w:t>
      </w:r>
      <w:r w:rsidR="00C0310A" w:rsidRPr="285A2F06">
        <w:rPr>
          <w:rFonts w:eastAsia="Segoe UI" w:cs="Segoe UI"/>
        </w:rPr>
        <w:t xml:space="preserve"> </w:t>
      </w:r>
      <w:r w:rsidRPr="285A2F06">
        <w:rPr>
          <w:rFonts w:eastAsia="Segoe UI" w:cs="Segoe UI"/>
        </w:rPr>
        <w:t xml:space="preserve">each cut </w:t>
      </w:r>
      <w:r w:rsidR="0001034F">
        <w:rPr>
          <w:rFonts w:eastAsia="Segoe UI" w:cs="Segoe UI"/>
        </w:rPr>
        <w:t xml:space="preserve">CBAM </w:t>
      </w:r>
      <w:r w:rsidRPr="285A2F06">
        <w:rPr>
          <w:rFonts w:eastAsia="Segoe UI" w:cs="Segoe UI"/>
        </w:rPr>
        <w:t>obligations by 26.1 percent</w:t>
      </w:r>
      <w:r w:rsidR="00C60DD8">
        <w:rPr>
          <w:rFonts w:eastAsia="Segoe UI" w:cs="Segoe UI"/>
        </w:rPr>
        <w:t>. T</w:t>
      </w:r>
      <w:r w:rsidRPr="285A2F06">
        <w:rPr>
          <w:rFonts w:eastAsia="Segoe UI" w:cs="Segoe UI"/>
        </w:rPr>
        <w:t xml:space="preserve">he downstream price paired with free allocation for CBAM producers (3B) achieves </w:t>
      </w:r>
      <w:r w:rsidR="00C60DD8">
        <w:rPr>
          <w:rFonts w:eastAsia="Segoe UI" w:cs="Segoe UI"/>
        </w:rPr>
        <w:t>the same intensity reduction</w:t>
      </w:r>
      <w:r w:rsidR="00A910A6">
        <w:rPr>
          <w:rFonts w:eastAsia="Segoe UI" w:cs="Segoe UI"/>
        </w:rPr>
        <w:t xml:space="preserve">, and </w:t>
      </w:r>
      <w:r w:rsidR="008D29EE">
        <w:rPr>
          <w:rFonts w:eastAsia="Segoe UI" w:cs="Segoe UI"/>
        </w:rPr>
        <w:t xml:space="preserve">that is the </w:t>
      </w:r>
      <w:r w:rsidRPr="285A2F06">
        <w:rPr>
          <w:rFonts w:eastAsia="Segoe UI" w:cs="Segoe UI"/>
        </w:rPr>
        <w:t xml:space="preserve">only </w:t>
      </w:r>
      <w:r w:rsidR="008D29EE">
        <w:rPr>
          <w:rFonts w:eastAsia="Segoe UI" w:cs="Segoe UI"/>
        </w:rPr>
        <w:t xml:space="preserve">factor driving </w:t>
      </w:r>
      <w:r w:rsidR="005438C3">
        <w:rPr>
          <w:rFonts w:eastAsia="Segoe UI" w:cs="Segoe UI"/>
        </w:rPr>
        <w:t xml:space="preserve">the 7.6 </w:t>
      </w:r>
      <w:r w:rsidRPr="285A2F06">
        <w:rPr>
          <w:rFonts w:eastAsia="Segoe UI" w:cs="Segoe UI"/>
        </w:rPr>
        <w:t>reduction</w:t>
      </w:r>
      <w:r w:rsidR="005438C3">
        <w:rPr>
          <w:rFonts w:eastAsia="Segoe UI" w:cs="Segoe UI"/>
        </w:rPr>
        <w:t xml:space="preserve"> in CBAM obligations</w:t>
      </w:r>
      <w:r w:rsidRPr="285A2F06">
        <w:rPr>
          <w:rFonts w:eastAsia="Segoe UI" w:cs="Segoe UI"/>
        </w:rPr>
        <w:t>, since free allocation on an output-</w:t>
      </w:r>
      <w:r w:rsidR="00FA3F09">
        <w:rPr>
          <w:rFonts w:eastAsia="Segoe UI" w:cs="Segoe UI"/>
        </w:rPr>
        <w:t xml:space="preserve">based </w:t>
      </w:r>
      <w:r w:rsidRPr="285A2F06">
        <w:rPr>
          <w:rFonts w:eastAsia="Segoe UI" w:cs="Segoe UI"/>
        </w:rPr>
        <w:t xml:space="preserve">intensity benchmark </w:t>
      </w:r>
      <w:r w:rsidR="005438C3">
        <w:rPr>
          <w:rFonts w:eastAsia="Segoe UI" w:cs="Segoe UI"/>
        </w:rPr>
        <w:t xml:space="preserve">fully offsets </w:t>
      </w:r>
      <w:r w:rsidR="00C955F7">
        <w:rPr>
          <w:rFonts w:eastAsia="Segoe UI" w:cs="Segoe UI"/>
        </w:rPr>
        <w:t xml:space="preserve">the carbon price </w:t>
      </w:r>
      <w:r w:rsidR="00E61893">
        <w:rPr>
          <w:rFonts w:eastAsia="Segoe UI" w:cs="Segoe UI"/>
        </w:rPr>
        <w:t xml:space="preserve">effectively paid on </w:t>
      </w:r>
      <w:r w:rsidR="00A628E0">
        <w:rPr>
          <w:rFonts w:eastAsia="Segoe UI" w:cs="Segoe UI"/>
        </w:rPr>
        <w:t>embodied emissions</w:t>
      </w:r>
      <w:r w:rsidRPr="285A2F06">
        <w:rPr>
          <w:rFonts w:eastAsia="Segoe UI" w:cs="Segoe UI"/>
        </w:rPr>
        <w:t xml:space="preserve">. The two upstream </w:t>
      </w:r>
      <w:r w:rsidR="00E9161C">
        <w:rPr>
          <w:rFonts w:eastAsia="Segoe UI" w:cs="Segoe UI"/>
        </w:rPr>
        <w:t xml:space="preserve">carbon </w:t>
      </w:r>
      <w:r w:rsidRPr="285A2F06">
        <w:rPr>
          <w:rFonts w:eastAsia="Segoe UI" w:cs="Segoe UI"/>
        </w:rPr>
        <w:t xml:space="preserve">levies (2A and 2B) </w:t>
      </w:r>
      <w:r w:rsidR="00E9161C">
        <w:rPr>
          <w:rFonts w:eastAsia="Segoe UI" w:cs="Segoe UI"/>
        </w:rPr>
        <w:t>cover</w:t>
      </w:r>
      <w:r w:rsidRPr="285A2F06">
        <w:rPr>
          <w:rFonts w:eastAsia="Segoe UI" w:cs="Segoe UI"/>
        </w:rPr>
        <w:t xml:space="preserve"> only 44 percent of CBAM sector</w:t>
      </w:r>
      <w:r w:rsidR="00E9161C">
        <w:rPr>
          <w:rFonts w:eastAsia="Segoe UI" w:cs="Segoe UI"/>
        </w:rPr>
        <w:t xml:space="preserve"> emission</w:t>
      </w:r>
      <w:r w:rsidRPr="285A2F06">
        <w:rPr>
          <w:rFonts w:eastAsia="Segoe UI" w:cs="Segoe UI"/>
        </w:rPr>
        <w:t xml:space="preserve">s and therefore deliver a smaller intensity reduction </w:t>
      </w:r>
      <w:r w:rsidRPr="285A2F06">
        <w:rPr>
          <w:rFonts w:eastAsia="Segoe UI" w:cs="Segoe UI"/>
        </w:rPr>
        <w:lastRenderedPageBreak/>
        <w:t xml:space="preserve">of 5.5 percent and a 13.9 percent cut in obligations, with no difference between the two recycling choices. The strongest performer </w:t>
      </w:r>
      <w:r w:rsidR="00641113">
        <w:rPr>
          <w:rFonts w:eastAsia="Segoe UI" w:cs="Segoe UI"/>
        </w:rPr>
        <w:t xml:space="preserve">by these metrics </w:t>
      </w:r>
      <w:r w:rsidRPr="285A2F06">
        <w:rPr>
          <w:rFonts w:eastAsia="Segoe UI" w:cs="Segoe UI"/>
        </w:rPr>
        <w:t xml:space="preserve">is the downstream </w:t>
      </w:r>
      <w:r w:rsidR="008A51BD">
        <w:rPr>
          <w:rFonts w:eastAsia="Segoe UI" w:cs="Segoe UI"/>
        </w:rPr>
        <w:t xml:space="preserve">carbon </w:t>
      </w:r>
      <w:r w:rsidRPr="285A2F06">
        <w:rPr>
          <w:rFonts w:eastAsia="Segoe UI" w:cs="Segoe UI"/>
        </w:rPr>
        <w:t xml:space="preserve">price combined with a rebate for industrial abatement (3C), which—at full coverage—achieves the largest intensity reduction of 13.1 percent of baseline and the greatest reduction in CBAM obligations, at 30.4 percent, because the rebate </w:t>
      </w:r>
      <w:r w:rsidR="009D6A67">
        <w:rPr>
          <w:rFonts w:eastAsia="Segoe UI" w:cs="Segoe UI"/>
        </w:rPr>
        <w:t>incentivizes</w:t>
      </w:r>
      <w:r w:rsidR="00DD6388">
        <w:rPr>
          <w:rFonts w:eastAsia="Segoe UI" w:cs="Segoe UI"/>
        </w:rPr>
        <w:t xml:space="preserve"> additional </w:t>
      </w:r>
      <w:r w:rsidRPr="285A2F06">
        <w:rPr>
          <w:rFonts w:eastAsia="Segoe UI" w:cs="Segoe UI"/>
        </w:rPr>
        <w:t xml:space="preserve">emissions reductions per unit of output without diluting the </w:t>
      </w:r>
      <w:r w:rsidR="00520EA5">
        <w:rPr>
          <w:rFonts w:eastAsia="Segoe UI" w:cs="Segoe UI"/>
        </w:rPr>
        <w:t xml:space="preserve">pass-through of the </w:t>
      </w:r>
      <w:r w:rsidR="00A60049">
        <w:rPr>
          <w:rFonts w:eastAsia="Segoe UI" w:cs="Segoe UI"/>
        </w:rPr>
        <w:t xml:space="preserve">emissions </w:t>
      </w:r>
      <w:r w:rsidRPr="285A2F06">
        <w:rPr>
          <w:rFonts w:eastAsia="Segoe UI" w:cs="Segoe UI"/>
        </w:rPr>
        <w:t>price signal.</w:t>
      </w:r>
    </w:p>
    <w:tbl>
      <w:tblPr>
        <w:tblW w:w="0" w:type="auto"/>
        <w:tblLook w:val="0600" w:firstRow="0" w:lastRow="0" w:firstColumn="0" w:lastColumn="0" w:noHBand="1" w:noVBand="1"/>
      </w:tblPr>
      <w:tblGrid>
        <w:gridCol w:w="515"/>
        <w:gridCol w:w="2511"/>
        <w:gridCol w:w="1586"/>
        <w:gridCol w:w="1121"/>
        <w:gridCol w:w="1175"/>
        <w:gridCol w:w="1209"/>
        <w:gridCol w:w="1233"/>
      </w:tblGrid>
      <w:tr w:rsidR="00750AF7" w14:paraId="463BE86D" w14:textId="6FBCEC97" w:rsidTr="002B491A">
        <w:trPr>
          <w:trHeight w:val="1500"/>
        </w:trPr>
        <w:tc>
          <w:tcPr>
            <w:tcW w:w="5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72122D28" w14:textId="2D62ED4B" w:rsidR="00750AF7" w:rsidRDefault="00750AF7" w:rsidP="285A2F06">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Code</w:t>
            </w:r>
          </w:p>
        </w:tc>
        <w:tc>
          <w:tcPr>
            <w:tcW w:w="34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0306B116" w14:textId="7DA06BE6" w:rsidR="00750AF7" w:rsidRDefault="00750AF7" w:rsidP="285A2F06">
            <w:pPr>
              <w:spacing w:after="0"/>
              <w:jc w:val="left"/>
              <w:rPr>
                <w:rFonts w:ascii="Aptos" w:eastAsia="Aptos" w:hAnsi="Aptos" w:cs="Aptos"/>
                <w:b/>
                <w:bCs/>
                <w:color w:val="0078F0"/>
                <w:sz w:val="20"/>
                <w:szCs w:val="20"/>
              </w:rPr>
            </w:pPr>
            <w:r w:rsidRPr="285A2F06">
              <w:rPr>
                <w:rFonts w:ascii="Aptos" w:eastAsia="Aptos" w:hAnsi="Aptos" w:cs="Aptos"/>
                <w:b/>
                <w:bCs/>
                <w:color w:val="0078F0"/>
                <w:sz w:val="20"/>
                <w:szCs w:val="20"/>
              </w:rPr>
              <w:t>Policy bundle</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6B33E8BF" w14:textId="529EDE75" w:rsidR="00750AF7" w:rsidRDefault="00750AF7" w:rsidP="285A2F06">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Estimated total emissions reductions (MtCO2)</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07B3F2AC" w14:textId="4F71AD24" w:rsidR="00750AF7" w:rsidRDefault="00750AF7" w:rsidP="285A2F06">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CBAM coverage (% of CBAM sectors)</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188FE9B8" w14:textId="4FC8CC8D" w:rsidR="00750AF7" w:rsidRDefault="00750AF7" w:rsidP="285A2F06">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 xml:space="preserve">Emis. intensity reduction, CBAM </w:t>
            </w:r>
            <w:r>
              <w:rPr>
                <w:rFonts w:ascii="Aptos" w:eastAsia="Aptos" w:hAnsi="Aptos" w:cs="Aptos"/>
                <w:b/>
                <w:bCs/>
                <w:color w:val="0078F0"/>
                <w:sz w:val="20"/>
                <w:szCs w:val="20"/>
              </w:rPr>
              <w:t xml:space="preserve">sectors </w:t>
            </w:r>
            <w:r w:rsidRPr="285A2F06">
              <w:rPr>
                <w:rFonts w:ascii="Aptos" w:eastAsia="Aptos" w:hAnsi="Aptos" w:cs="Aptos"/>
                <w:b/>
                <w:bCs/>
                <w:color w:val="0078F0"/>
                <w:sz w:val="20"/>
                <w:szCs w:val="20"/>
              </w:rPr>
              <w:t>(% of baseline)</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732D4B61" w14:textId="389853D3" w:rsidR="00750AF7" w:rsidRDefault="00750AF7" w:rsidP="285A2F06">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CBAM obligations reduced</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3DCD5651" w14:textId="30A41E6E" w:rsidR="00750AF7" w:rsidRPr="285A2F06" w:rsidRDefault="00940809" w:rsidP="002B491A">
            <w:pPr>
              <w:spacing w:after="0"/>
              <w:jc w:val="center"/>
              <w:rPr>
                <w:rFonts w:ascii="Aptos" w:eastAsia="Aptos" w:hAnsi="Aptos" w:cs="Aptos"/>
                <w:b/>
                <w:bCs/>
                <w:color w:val="0078F0"/>
                <w:sz w:val="20"/>
                <w:szCs w:val="20"/>
              </w:rPr>
            </w:pPr>
            <w:r>
              <w:rPr>
                <w:rFonts w:ascii="Aptos" w:eastAsia="Aptos" w:hAnsi="Aptos" w:cs="Aptos"/>
                <w:b/>
                <w:bCs/>
                <w:color w:val="0078F0"/>
                <w:sz w:val="20"/>
                <w:szCs w:val="20"/>
              </w:rPr>
              <w:t>I</w:t>
            </w:r>
            <w:r w:rsidR="002B491A">
              <w:rPr>
                <w:rFonts w:ascii="Aptos" w:eastAsia="Aptos" w:hAnsi="Aptos" w:cs="Aptos"/>
                <w:b/>
                <w:bCs/>
                <w:color w:val="0078F0"/>
                <w:sz w:val="20"/>
                <w:szCs w:val="20"/>
              </w:rPr>
              <w:t>ndustrial Output Change</w:t>
            </w:r>
          </w:p>
        </w:tc>
      </w:tr>
      <w:tr w:rsidR="00750AF7" w14:paraId="4408C9EE" w14:textId="28B2FC89" w:rsidTr="002B491A">
        <w:trPr>
          <w:trHeight w:val="600"/>
        </w:trPr>
        <w:tc>
          <w:tcPr>
            <w:tcW w:w="5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15" w:type="dxa"/>
              <w:left w:w="15" w:type="dxa"/>
              <w:right w:w="15" w:type="dxa"/>
            </w:tcMar>
            <w:vAlign w:val="bottom"/>
          </w:tcPr>
          <w:p w14:paraId="6A0BE747" w14:textId="5CFC4C0F" w:rsidR="00750AF7" w:rsidRDefault="00750AF7" w:rsidP="285A2F06">
            <w:pPr>
              <w:spacing w:after="0"/>
              <w:jc w:val="center"/>
              <w:rPr>
                <w:rFonts w:ascii="Aptos" w:eastAsia="Aptos" w:hAnsi="Aptos" w:cs="Aptos"/>
                <w:color w:val="0078F0"/>
                <w:sz w:val="20"/>
                <w:szCs w:val="20"/>
              </w:rPr>
            </w:pPr>
            <w:r w:rsidRPr="285A2F06">
              <w:rPr>
                <w:rFonts w:ascii="Aptos" w:eastAsia="Aptos" w:hAnsi="Aptos" w:cs="Aptos"/>
                <w:color w:val="0078F0"/>
                <w:sz w:val="20"/>
                <w:szCs w:val="20"/>
              </w:rPr>
              <w:t xml:space="preserve"> </w:t>
            </w:r>
          </w:p>
        </w:tc>
        <w:tc>
          <w:tcPr>
            <w:tcW w:w="3463" w:type="dxa"/>
            <w:tcBorders>
              <w:top w:val="single" w:sz="4" w:space="0" w:color="000000" w:themeColor="text1"/>
              <w:left w:val="single" w:sz="4" w:space="0" w:color="000000" w:themeColor="text1"/>
              <w:bottom w:val="single" w:sz="4" w:space="0" w:color="000000" w:themeColor="text1"/>
              <w:right w:val="nil"/>
            </w:tcBorders>
            <w:shd w:val="clear" w:color="auto" w:fill="F2F2F2" w:themeFill="background1" w:themeFillShade="F2"/>
            <w:tcMar>
              <w:top w:w="15" w:type="dxa"/>
              <w:left w:w="15" w:type="dxa"/>
              <w:right w:w="15" w:type="dxa"/>
            </w:tcMar>
            <w:vAlign w:val="center"/>
          </w:tcPr>
          <w:p w14:paraId="0A74C0D1" w14:textId="1A858D61" w:rsidR="00750AF7" w:rsidRDefault="00750AF7" w:rsidP="285A2F06">
            <w:pPr>
              <w:spacing w:after="0"/>
              <w:jc w:val="left"/>
              <w:rPr>
                <w:rFonts w:ascii="Aptos" w:eastAsia="Aptos" w:hAnsi="Aptos" w:cs="Aptos"/>
                <w:b/>
                <w:bCs/>
                <w:color w:val="0078F0"/>
                <w:sz w:val="20"/>
                <w:szCs w:val="20"/>
              </w:rPr>
            </w:pPr>
            <w:r w:rsidRPr="285A2F06">
              <w:rPr>
                <w:rFonts w:ascii="Aptos" w:eastAsia="Aptos" w:hAnsi="Aptos" w:cs="Aptos"/>
                <w:b/>
                <w:bCs/>
                <w:color w:val="0078F0"/>
                <w:sz w:val="20"/>
                <w:szCs w:val="20"/>
              </w:rPr>
              <w:t>Policy Bundle Options - Carbon Pricing (modelled)</w:t>
            </w:r>
          </w:p>
        </w:tc>
        <w:tc>
          <w:tcPr>
            <w:tcW w:w="1359" w:type="dxa"/>
            <w:tcBorders>
              <w:top w:val="single" w:sz="4" w:space="0" w:color="000000" w:themeColor="text1"/>
              <w:left w:val="nil"/>
              <w:bottom w:val="single" w:sz="4" w:space="0" w:color="000000" w:themeColor="text1"/>
              <w:right w:val="nil"/>
            </w:tcBorders>
            <w:shd w:val="clear" w:color="auto" w:fill="F2F2F2" w:themeFill="background1" w:themeFillShade="F2"/>
            <w:tcMar>
              <w:top w:w="15" w:type="dxa"/>
              <w:left w:w="15" w:type="dxa"/>
              <w:right w:w="15" w:type="dxa"/>
            </w:tcMar>
            <w:vAlign w:val="center"/>
          </w:tcPr>
          <w:p w14:paraId="11AC5E75" w14:textId="09D39CDB" w:rsidR="00750AF7" w:rsidRDefault="00750AF7" w:rsidP="285A2F06">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 xml:space="preserve"> </w:t>
            </w:r>
          </w:p>
        </w:tc>
        <w:tc>
          <w:tcPr>
            <w:tcW w:w="1359" w:type="dxa"/>
            <w:tcBorders>
              <w:top w:val="single" w:sz="4" w:space="0" w:color="000000" w:themeColor="text1"/>
              <w:left w:val="nil"/>
              <w:bottom w:val="single" w:sz="4" w:space="0" w:color="000000" w:themeColor="text1"/>
              <w:right w:val="single" w:sz="4" w:space="0" w:color="000000" w:themeColor="text1"/>
            </w:tcBorders>
            <w:shd w:val="clear" w:color="auto" w:fill="F2F2F2" w:themeFill="background1" w:themeFillShade="F2"/>
            <w:tcMar>
              <w:top w:w="15" w:type="dxa"/>
              <w:left w:w="15" w:type="dxa"/>
              <w:right w:w="15" w:type="dxa"/>
            </w:tcMar>
            <w:vAlign w:val="center"/>
          </w:tcPr>
          <w:p w14:paraId="6E09653E" w14:textId="3F055F3A" w:rsidR="00750AF7" w:rsidRDefault="00750AF7" w:rsidP="285A2F06">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 xml:space="preserve"> </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15" w:type="dxa"/>
              <w:left w:w="15" w:type="dxa"/>
              <w:right w:w="15" w:type="dxa"/>
            </w:tcMar>
            <w:vAlign w:val="center"/>
          </w:tcPr>
          <w:p w14:paraId="121C3817" w14:textId="6BB5B6FD" w:rsidR="00750AF7" w:rsidRDefault="00750AF7" w:rsidP="285A2F06">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 xml:space="preserve"> </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15" w:type="dxa"/>
              <w:left w:w="15" w:type="dxa"/>
              <w:right w:w="15" w:type="dxa"/>
            </w:tcMar>
            <w:vAlign w:val="center"/>
          </w:tcPr>
          <w:p w14:paraId="74D28393" w14:textId="1D29991C" w:rsidR="00750AF7" w:rsidRDefault="00750AF7" w:rsidP="285A2F06">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 xml:space="preserve"> </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758EEA02" w14:textId="77777777" w:rsidR="00750AF7" w:rsidRPr="285A2F06" w:rsidRDefault="00750AF7" w:rsidP="002B491A">
            <w:pPr>
              <w:spacing w:after="0"/>
              <w:jc w:val="center"/>
              <w:rPr>
                <w:rFonts w:ascii="Aptos" w:eastAsia="Aptos" w:hAnsi="Aptos" w:cs="Aptos"/>
                <w:b/>
                <w:bCs/>
                <w:color w:val="0078F0"/>
                <w:sz w:val="20"/>
                <w:szCs w:val="20"/>
              </w:rPr>
            </w:pPr>
          </w:p>
        </w:tc>
      </w:tr>
      <w:tr w:rsidR="00940809" w14:paraId="0EB5B2E0" w14:textId="54E475A8" w:rsidTr="002B491A">
        <w:trPr>
          <w:trHeight w:val="1485"/>
        </w:trPr>
        <w:tc>
          <w:tcPr>
            <w:tcW w:w="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A09BB4" w14:textId="1154DFD0"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1A</w:t>
            </w:r>
          </w:p>
        </w:tc>
        <w:tc>
          <w:tcPr>
            <w:tcW w:w="34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B3802DF" w14:textId="7AEA66BA" w:rsidR="00940809" w:rsidRDefault="00940809" w:rsidP="00940809">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Comprehensive carbon levy:</w:t>
            </w:r>
            <w:r w:rsidRPr="285A2F06">
              <w:rPr>
                <w:rFonts w:ascii="Aptos" w:eastAsia="Aptos" w:hAnsi="Aptos" w:cs="Aptos"/>
                <w:color w:val="000000" w:themeColor="text1"/>
                <w:sz w:val="20"/>
                <w:szCs w:val="20"/>
              </w:rPr>
              <w:t xml:space="preserve"> upstream carbon price on all  fossil fuel consumption</w:t>
            </w:r>
            <w:r w:rsidRPr="285A2F06">
              <w:rPr>
                <w:rFonts w:ascii="Aptos" w:eastAsia="Aptos" w:hAnsi="Aptos" w:cs="Aptos"/>
                <w:b/>
                <w:bCs/>
                <w:color w:val="000000" w:themeColor="text1"/>
                <w:sz w:val="20"/>
                <w:szCs w:val="20"/>
              </w:rPr>
              <w:t xml:space="preserve"> </w:t>
            </w:r>
            <w:r w:rsidRPr="285A2F06">
              <w:rPr>
                <w:rFonts w:ascii="Aptos" w:eastAsia="Aptos" w:hAnsi="Aptos" w:cs="Aptos"/>
                <w:color w:val="000000" w:themeColor="text1"/>
                <w:sz w:val="20"/>
                <w:szCs w:val="20"/>
              </w:rPr>
              <w:t xml:space="preserve">+ downstream emissions in CBAM sectors only </w:t>
            </w:r>
            <w:r w:rsidRPr="285A2F06">
              <w:rPr>
                <w:rFonts w:ascii="Aptos" w:eastAsia="Aptos" w:hAnsi="Aptos" w:cs="Aptos"/>
                <w:b/>
                <w:bCs/>
                <w:color w:val="000000" w:themeColor="text1"/>
                <w:sz w:val="20"/>
                <w:szCs w:val="20"/>
              </w:rPr>
              <w:t>+ recycling to (non-green) public investment</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882E42" w14:textId="50945C3E"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-41.6</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4EFF8EC" w14:textId="374D4477"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100%</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BBDAB01" w14:textId="5BBEE7B0"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-7.6%</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5353AD3" w14:textId="783F0F72"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-26.1%</w:t>
            </w:r>
          </w:p>
        </w:tc>
        <w:tc>
          <w:tcPr>
            <w:tcW w:w="1359" w:type="dxa"/>
            <w:tcBorders>
              <w:top w:val="single" w:sz="4" w:space="0" w:color="auto"/>
              <w:left w:val="single" w:sz="4" w:space="0" w:color="auto"/>
              <w:bottom w:val="single" w:sz="4" w:space="0" w:color="auto"/>
              <w:right w:val="single" w:sz="4" w:space="0" w:color="auto"/>
            </w:tcBorders>
            <w:vAlign w:val="center"/>
          </w:tcPr>
          <w:p w14:paraId="5B828120" w14:textId="4B9893D9" w:rsidR="00940809" w:rsidRPr="002B491A" w:rsidRDefault="00940809" w:rsidP="002B491A">
            <w:pPr>
              <w:spacing w:after="0"/>
              <w:jc w:val="center"/>
              <w:rPr>
                <w:rFonts w:ascii="Aptos" w:eastAsia="Aptos" w:hAnsi="Aptos" w:cs="Aptos"/>
                <w:color w:val="000000" w:themeColor="text1"/>
                <w:sz w:val="20"/>
                <w:szCs w:val="20"/>
              </w:rPr>
            </w:pPr>
            <w:r w:rsidRPr="002B491A">
              <w:rPr>
                <w:rFonts w:ascii="Aptos" w:eastAsia="Aptos" w:hAnsi="Aptos" w:cs="Aptos"/>
                <w:color w:val="000000" w:themeColor="text1"/>
                <w:sz w:val="20"/>
                <w:szCs w:val="20"/>
              </w:rPr>
              <w:t>-4%</w:t>
            </w:r>
          </w:p>
        </w:tc>
      </w:tr>
      <w:tr w:rsidR="00940809" w14:paraId="4370D1D6" w14:textId="61D8E8B4" w:rsidTr="002B491A">
        <w:trPr>
          <w:trHeight w:val="1200"/>
        </w:trPr>
        <w:tc>
          <w:tcPr>
            <w:tcW w:w="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14D4066" w14:textId="16DE0B52"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2A</w:t>
            </w:r>
          </w:p>
        </w:tc>
        <w:tc>
          <w:tcPr>
            <w:tcW w:w="34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1846AB8" w14:textId="3B231A84" w:rsidR="00940809" w:rsidRDefault="00940809" w:rsidP="00940809">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Upstream carbon levy</w:t>
            </w:r>
            <w:r w:rsidRPr="285A2F06">
              <w:rPr>
                <w:rFonts w:ascii="Aptos" w:eastAsia="Aptos" w:hAnsi="Aptos" w:cs="Aptos"/>
                <w:color w:val="000000" w:themeColor="text1"/>
                <w:sz w:val="20"/>
                <w:szCs w:val="20"/>
              </w:rPr>
              <w:t xml:space="preserve"> on all</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fossil fuel consumption</w:t>
            </w:r>
            <w:r w:rsidRPr="285A2F06">
              <w:rPr>
                <w:rFonts w:ascii="Aptos" w:eastAsia="Aptos" w:hAnsi="Aptos" w:cs="Aptos"/>
                <w:b/>
                <w:bCs/>
                <w:color w:val="000000" w:themeColor="text1"/>
                <w:sz w:val="20"/>
                <w:szCs w:val="20"/>
              </w:rPr>
              <w:t xml:space="preserve"> + recycling to (non-green) public investment</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B1BAA7" w14:textId="189C62D6"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-38.9</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45E8C3F" w14:textId="4A4CFCA8"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44%</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0D4B45" w14:textId="0C9B891A"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-5.5%</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E894C38" w14:textId="41F26278"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-13.9%</w:t>
            </w:r>
          </w:p>
        </w:tc>
        <w:tc>
          <w:tcPr>
            <w:tcW w:w="1359" w:type="dxa"/>
            <w:tcBorders>
              <w:top w:val="nil"/>
              <w:left w:val="single" w:sz="4" w:space="0" w:color="auto"/>
              <w:bottom w:val="single" w:sz="4" w:space="0" w:color="auto"/>
              <w:right w:val="single" w:sz="4" w:space="0" w:color="auto"/>
            </w:tcBorders>
            <w:vAlign w:val="center"/>
          </w:tcPr>
          <w:p w14:paraId="59643D8C" w14:textId="376CD46F" w:rsidR="00940809" w:rsidRPr="002B491A" w:rsidRDefault="00940809" w:rsidP="002B491A">
            <w:pPr>
              <w:spacing w:after="0"/>
              <w:jc w:val="center"/>
              <w:rPr>
                <w:rFonts w:ascii="Aptos" w:eastAsia="Aptos" w:hAnsi="Aptos" w:cs="Aptos"/>
                <w:color w:val="000000" w:themeColor="text1"/>
                <w:sz w:val="20"/>
                <w:szCs w:val="20"/>
              </w:rPr>
            </w:pPr>
            <w:r w:rsidRPr="002B491A">
              <w:rPr>
                <w:rFonts w:ascii="Aptos" w:eastAsia="Aptos" w:hAnsi="Aptos" w:cs="Aptos"/>
                <w:color w:val="000000" w:themeColor="text1"/>
                <w:sz w:val="20"/>
                <w:szCs w:val="20"/>
              </w:rPr>
              <w:t>-4%</w:t>
            </w:r>
          </w:p>
        </w:tc>
      </w:tr>
      <w:tr w:rsidR="00940809" w14:paraId="51F20ABA" w14:textId="25015534" w:rsidTr="002B491A">
        <w:trPr>
          <w:trHeight w:val="1200"/>
        </w:trPr>
        <w:tc>
          <w:tcPr>
            <w:tcW w:w="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5B98140" w14:textId="56370340"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2B</w:t>
            </w:r>
          </w:p>
        </w:tc>
        <w:tc>
          <w:tcPr>
            <w:tcW w:w="34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4D1AB54" w14:textId="226A353C" w:rsidR="00940809" w:rsidRDefault="00940809" w:rsidP="00940809">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Upstream carbon levy</w:t>
            </w:r>
            <w:r w:rsidRPr="285A2F06">
              <w:rPr>
                <w:rFonts w:ascii="Aptos" w:eastAsia="Aptos" w:hAnsi="Aptos" w:cs="Aptos"/>
                <w:color w:val="000000" w:themeColor="text1"/>
                <w:sz w:val="20"/>
                <w:szCs w:val="20"/>
              </w:rPr>
              <w:t xml:space="preserve"> on all</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fossil fuel consumption</w:t>
            </w:r>
            <w:r w:rsidRPr="285A2F06">
              <w:rPr>
                <w:rFonts w:ascii="Aptos" w:eastAsia="Aptos" w:hAnsi="Aptos" w:cs="Aptos"/>
                <w:b/>
                <w:bCs/>
                <w:color w:val="000000" w:themeColor="text1"/>
                <w:sz w:val="20"/>
                <w:szCs w:val="20"/>
              </w:rPr>
              <w:t xml:space="preserve"> + recycling to households</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933076" w14:textId="7C1F21D0"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-41.0</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FCB72A" w14:textId="31EE03F0"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44%</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89007A" w14:textId="1B332C3F"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-5.5%</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B26E4A" w14:textId="34CFA03C"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-13.9%</w:t>
            </w:r>
          </w:p>
        </w:tc>
        <w:tc>
          <w:tcPr>
            <w:tcW w:w="1359" w:type="dxa"/>
            <w:tcBorders>
              <w:top w:val="nil"/>
              <w:left w:val="single" w:sz="4" w:space="0" w:color="auto"/>
              <w:bottom w:val="single" w:sz="4" w:space="0" w:color="auto"/>
              <w:right w:val="single" w:sz="4" w:space="0" w:color="auto"/>
            </w:tcBorders>
            <w:vAlign w:val="center"/>
          </w:tcPr>
          <w:p w14:paraId="3F2E83DB" w14:textId="651E6FAD" w:rsidR="00940809" w:rsidRPr="002B491A" w:rsidRDefault="00940809" w:rsidP="002B491A">
            <w:pPr>
              <w:spacing w:after="0"/>
              <w:jc w:val="center"/>
              <w:rPr>
                <w:rFonts w:ascii="Aptos" w:eastAsia="Aptos" w:hAnsi="Aptos" w:cs="Aptos"/>
                <w:color w:val="000000" w:themeColor="text1"/>
                <w:sz w:val="20"/>
                <w:szCs w:val="20"/>
              </w:rPr>
            </w:pPr>
            <w:r w:rsidRPr="002B491A">
              <w:rPr>
                <w:rFonts w:ascii="Aptos" w:eastAsia="Aptos" w:hAnsi="Aptos" w:cs="Aptos"/>
                <w:color w:val="000000" w:themeColor="text1"/>
                <w:sz w:val="20"/>
                <w:szCs w:val="20"/>
              </w:rPr>
              <w:t>-4%</w:t>
            </w:r>
          </w:p>
        </w:tc>
      </w:tr>
      <w:tr w:rsidR="00940809" w14:paraId="75D977F2" w14:textId="153D1B30" w:rsidTr="002B491A">
        <w:trPr>
          <w:trHeight w:val="1110"/>
        </w:trPr>
        <w:tc>
          <w:tcPr>
            <w:tcW w:w="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F623D0" w14:textId="64500A88"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3A</w:t>
            </w:r>
          </w:p>
        </w:tc>
        <w:tc>
          <w:tcPr>
            <w:tcW w:w="34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1CC01D4" w14:textId="00BE829D" w:rsidR="00940809" w:rsidRDefault="00940809" w:rsidP="00940809">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Downstream carbon price</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 xml:space="preserve">on heavy industry </w:t>
            </w:r>
            <w:r>
              <w:br/>
            </w:r>
            <w:r w:rsidRPr="285A2F06">
              <w:rPr>
                <w:rFonts w:ascii="Aptos" w:eastAsia="Aptos" w:hAnsi="Aptos" w:cs="Aptos"/>
                <w:color w:val="000000" w:themeColor="text1"/>
                <w:sz w:val="20"/>
                <w:szCs w:val="20"/>
              </w:rPr>
              <w:t xml:space="preserve">+ </w:t>
            </w:r>
            <w:r w:rsidRPr="285A2F06">
              <w:rPr>
                <w:rFonts w:ascii="Aptos" w:eastAsia="Aptos" w:hAnsi="Aptos" w:cs="Aptos"/>
                <w:b/>
                <w:bCs/>
                <w:color w:val="000000" w:themeColor="text1"/>
                <w:sz w:val="20"/>
                <w:szCs w:val="20"/>
              </w:rPr>
              <w:t>recycling to households</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63AABD" w14:textId="092F9ED3"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-21.5</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9982157" w14:textId="30FC2184"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100%</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80F8EA" w14:textId="4C8A776F"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-7.6%</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E2F048F" w14:textId="3C3DE73D"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-26.1%</w:t>
            </w:r>
          </w:p>
        </w:tc>
        <w:tc>
          <w:tcPr>
            <w:tcW w:w="1359" w:type="dxa"/>
            <w:tcBorders>
              <w:top w:val="nil"/>
              <w:left w:val="single" w:sz="4" w:space="0" w:color="auto"/>
              <w:bottom w:val="single" w:sz="4" w:space="0" w:color="auto"/>
              <w:right w:val="single" w:sz="4" w:space="0" w:color="auto"/>
            </w:tcBorders>
            <w:vAlign w:val="center"/>
          </w:tcPr>
          <w:p w14:paraId="6448B137" w14:textId="5BAF3961" w:rsidR="00940809" w:rsidRPr="002B491A" w:rsidRDefault="00940809" w:rsidP="002B491A">
            <w:pPr>
              <w:spacing w:after="0"/>
              <w:jc w:val="center"/>
              <w:rPr>
                <w:rFonts w:ascii="Aptos" w:eastAsia="Aptos" w:hAnsi="Aptos" w:cs="Aptos"/>
                <w:color w:val="000000" w:themeColor="text1"/>
                <w:sz w:val="20"/>
                <w:szCs w:val="20"/>
              </w:rPr>
            </w:pPr>
            <w:r w:rsidRPr="002B491A">
              <w:rPr>
                <w:rFonts w:ascii="Aptos" w:eastAsia="Aptos" w:hAnsi="Aptos" w:cs="Aptos"/>
                <w:color w:val="000000" w:themeColor="text1"/>
                <w:sz w:val="20"/>
                <w:szCs w:val="20"/>
              </w:rPr>
              <w:t>-11%</w:t>
            </w:r>
          </w:p>
        </w:tc>
      </w:tr>
      <w:tr w:rsidR="00940809" w14:paraId="3ABE32F1" w14:textId="634A47DE" w:rsidTr="002B491A">
        <w:trPr>
          <w:trHeight w:val="1185"/>
        </w:trPr>
        <w:tc>
          <w:tcPr>
            <w:tcW w:w="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A09D16" w14:textId="52326B73"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3B</w:t>
            </w:r>
          </w:p>
        </w:tc>
        <w:tc>
          <w:tcPr>
            <w:tcW w:w="34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9068CC" w14:textId="4305AFE1" w:rsidR="00940809" w:rsidRDefault="00940809" w:rsidP="00940809">
            <w:pPr>
              <w:spacing w:after="0"/>
              <w:jc w:val="left"/>
              <w:rPr>
                <w:rFonts w:ascii="Aptos" w:eastAsia="Aptos" w:hAnsi="Aptos" w:cs="Aptos"/>
                <w:color w:val="000000" w:themeColor="text1"/>
                <w:sz w:val="20"/>
                <w:szCs w:val="20"/>
              </w:rPr>
            </w:pPr>
            <w:r w:rsidRPr="285A2F06">
              <w:rPr>
                <w:rFonts w:ascii="Aptos" w:eastAsia="Aptos" w:hAnsi="Aptos" w:cs="Aptos"/>
                <w:b/>
                <w:bCs/>
                <w:color w:val="000000" w:themeColor="text1"/>
                <w:sz w:val="20"/>
                <w:szCs w:val="20"/>
              </w:rPr>
              <w:t xml:space="preserve">Downstream carbon price </w:t>
            </w:r>
            <w:r w:rsidRPr="285A2F06">
              <w:rPr>
                <w:rFonts w:ascii="Aptos" w:eastAsia="Aptos" w:hAnsi="Aptos" w:cs="Aptos"/>
                <w:color w:val="000000" w:themeColor="text1"/>
                <w:sz w:val="20"/>
                <w:szCs w:val="20"/>
              </w:rPr>
              <w:t xml:space="preserve">on heavy industry + </w:t>
            </w:r>
            <w:r w:rsidRPr="285A2F06">
              <w:rPr>
                <w:rFonts w:ascii="Aptos" w:eastAsia="Aptos" w:hAnsi="Aptos" w:cs="Aptos"/>
                <w:b/>
                <w:bCs/>
                <w:color w:val="000000" w:themeColor="text1"/>
                <w:sz w:val="20"/>
                <w:szCs w:val="20"/>
              </w:rPr>
              <w:t xml:space="preserve">free allocation </w:t>
            </w:r>
            <w:r w:rsidRPr="285A2F06">
              <w:rPr>
                <w:rFonts w:ascii="Aptos" w:eastAsia="Aptos" w:hAnsi="Aptos" w:cs="Aptos"/>
                <w:color w:val="000000" w:themeColor="text1"/>
                <w:sz w:val="20"/>
                <w:szCs w:val="20"/>
              </w:rPr>
              <w:t xml:space="preserve">for CBAM producers </w:t>
            </w:r>
            <w:r>
              <w:br/>
            </w:r>
            <w:r w:rsidRPr="285A2F06">
              <w:rPr>
                <w:rFonts w:ascii="Aptos" w:eastAsia="Aptos" w:hAnsi="Aptos" w:cs="Aptos"/>
                <w:color w:val="000000" w:themeColor="text1"/>
                <w:sz w:val="20"/>
                <w:szCs w:val="20"/>
              </w:rPr>
              <w:t xml:space="preserve">(intensity benchmark per unit of output) </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2DD2717" w14:textId="134C4717" w:rsidR="00940809" w:rsidRDefault="00940809" w:rsidP="00940809">
            <w:pPr>
              <w:spacing w:after="0"/>
              <w:jc w:val="center"/>
              <w:rPr>
                <w:rFonts w:ascii="Aptos" w:eastAsia="Aptos" w:hAnsi="Aptos" w:cs="Aptos"/>
                <w:color w:val="000000" w:themeColor="text1"/>
                <w:sz w:val="20"/>
                <w:szCs w:val="20"/>
              </w:rPr>
            </w:pPr>
            <w:commentRangeStart w:id="71"/>
            <w:commentRangeStart w:id="72"/>
            <w:r w:rsidRPr="285A2F06">
              <w:rPr>
                <w:rFonts w:ascii="Aptos" w:eastAsia="Aptos" w:hAnsi="Aptos" w:cs="Aptos"/>
                <w:color w:val="000000" w:themeColor="text1"/>
                <w:sz w:val="20"/>
                <w:szCs w:val="20"/>
              </w:rPr>
              <w:t>-13.6</w:t>
            </w:r>
            <w:commentRangeEnd w:id="71"/>
            <w:r>
              <w:rPr>
                <w:rStyle w:val="CommentReference"/>
                <w:rFonts w:ascii="Aptos" w:eastAsia="Aptos" w:hAnsi="Aptos" w:cs="Aptos"/>
                <w:color w:val="000000" w:themeColor="text1"/>
                <w:sz w:val="20"/>
                <w:szCs w:val="20"/>
              </w:rPr>
              <w:commentReference w:id="71"/>
            </w:r>
            <w:commentRangeEnd w:id="72"/>
            <w:r w:rsidR="285A2F06">
              <w:rPr>
                <w:rStyle w:val="CommentReference"/>
                <w:rFonts w:ascii="Aptos" w:eastAsia="Aptos" w:hAnsi="Aptos" w:cs="Aptos"/>
                <w:color w:val="000000" w:themeColor="text1"/>
                <w:sz w:val="20"/>
                <w:szCs w:val="20"/>
              </w:rPr>
              <w:commentReference w:id="72"/>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FD16BA5" w14:textId="3FA370C0"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100%</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3AEC58F" w14:textId="11F8C40C"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-7.6%</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F9C3FB9" w14:textId="3A754214"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-7.6%</w:t>
            </w:r>
          </w:p>
        </w:tc>
        <w:tc>
          <w:tcPr>
            <w:tcW w:w="1359" w:type="dxa"/>
            <w:tcBorders>
              <w:top w:val="nil"/>
              <w:left w:val="single" w:sz="4" w:space="0" w:color="auto"/>
              <w:bottom w:val="single" w:sz="4" w:space="0" w:color="auto"/>
              <w:right w:val="single" w:sz="4" w:space="0" w:color="auto"/>
            </w:tcBorders>
            <w:vAlign w:val="center"/>
          </w:tcPr>
          <w:p w14:paraId="33B40D74" w14:textId="6C392FE7" w:rsidR="00940809" w:rsidRPr="002B491A" w:rsidRDefault="00940809" w:rsidP="002B491A">
            <w:pPr>
              <w:spacing w:after="0"/>
              <w:jc w:val="center"/>
              <w:rPr>
                <w:rFonts w:ascii="Aptos" w:eastAsia="Aptos" w:hAnsi="Aptos" w:cs="Aptos"/>
                <w:color w:val="000000" w:themeColor="text1"/>
                <w:sz w:val="20"/>
                <w:szCs w:val="20"/>
              </w:rPr>
            </w:pPr>
            <w:r w:rsidRPr="002B491A">
              <w:rPr>
                <w:rFonts w:ascii="Aptos" w:eastAsia="Aptos" w:hAnsi="Aptos" w:cs="Aptos"/>
                <w:color w:val="000000" w:themeColor="text1"/>
                <w:sz w:val="20"/>
                <w:szCs w:val="20"/>
              </w:rPr>
              <w:t>-4%</w:t>
            </w:r>
          </w:p>
        </w:tc>
      </w:tr>
      <w:tr w:rsidR="00940809" w14:paraId="080A8E7E" w14:textId="6437D45E" w:rsidTr="002B491A">
        <w:trPr>
          <w:trHeight w:val="1185"/>
        </w:trPr>
        <w:tc>
          <w:tcPr>
            <w:tcW w:w="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F710EAE" w14:textId="3E592361"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3C</w:t>
            </w:r>
          </w:p>
        </w:tc>
        <w:tc>
          <w:tcPr>
            <w:tcW w:w="34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378A4DA" w14:textId="7AB5B667" w:rsidR="00940809" w:rsidRDefault="00940809" w:rsidP="00940809">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 xml:space="preserve">Downstream carbon price on heavy industry </w:t>
            </w:r>
            <w:r w:rsidRPr="285A2F06">
              <w:rPr>
                <w:rFonts w:ascii="Aptos" w:eastAsia="Aptos" w:hAnsi="Aptos" w:cs="Aptos"/>
                <w:color w:val="000000" w:themeColor="text1"/>
                <w:sz w:val="20"/>
                <w:szCs w:val="20"/>
              </w:rPr>
              <w:t xml:space="preserve">+ </w:t>
            </w:r>
            <w:r w:rsidRPr="285A2F06">
              <w:rPr>
                <w:rFonts w:ascii="Aptos" w:eastAsia="Aptos" w:hAnsi="Aptos" w:cs="Aptos"/>
                <w:b/>
                <w:bCs/>
                <w:color w:val="000000" w:themeColor="text1"/>
                <w:sz w:val="20"/>
                <w:szCs w:val="20"/>
              </w:rPr>
              <w:t>rebate for industrial abatement</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10F1EC" w14:textId="3B84B172"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-24.5</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B08192B" w14:textId="65D2D2BA"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100%</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D0742C" w14:textId="542CB918"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-13.1%</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F546ED" w14:textId="75B02507" w:rsidR="00940809" w:rsidRDefault="00940809" w:rsidP="00940809">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-30.4%</w:t>
            </w:r>
          </w:p>
        </w:tc>
        <w:tc>
          <w:tcPr>
            <w:tcW w:w="1359" w:type="dxa"/>
            <w:tcBorders>
              <w:top w:val="nil"/>
              <w:left w:val="single" w:sz="4" w:space="0" w:color="auto"/>
              <w:bottom w:val="single" w:sz="4" w:space="0" w:color="auto"/>
              <w:right w:val="single" w:sz="4" w:space="0" w:color="auto"/>
            </w:tcBorders>
            <w:vAlign w:val="center"/>
          </w:tcPr>
          <w:p w14:paraId="4CDB09DE" w14:textId="68EF9FCF" w:rsidR="00940809" w:rsidRPr="002B491A" w:rsidRDefault="00940809" w:rsidP="002B491A">
            <w:pPr>
              <w:spacing w:after="0"/>
              <w:jc w:val="center"/>
              <w:rPr>
                <w:rFonts w:ascii="Aptos" w:eastAsia="Aptos" w:hAnsi="Aptos" w:cs="Aptos"/>
                <w:color w:val="000000" w:themeColor="text1"/>
                <w:sz w:val="20"/>
                <w:szCs w:val="20"/>
              </w:rPr>
            </w:pPr>
            <w:r w:rsidRPr="002B491A">
              <w:rPr>
                <w:rFonts w:ascii="Aptos" w:eastAsia="Aptos" w:hAnsi="Aptos" w:cs="Aptos"/>
                <w:color w:val="000000" w:themeColor="text1"/>
                <w:sz w:val="20"/>
                <w:szCs w:val="20"/>
              </w:rPr>
              <w:t>-9%</w:t>
            </w:r>
          </w:p>
        </w:tc>
      </w:tr>
    </w:tbl>
    <w:p w14:paraId="15BDD401" w14:textId="4AD57E7C" w:rsidR="285A2F06" w:rsidRDefault="285A2F06" w:rsidP="285A2F06">
      <w:pPr>
        <w:rPr>
          <w:rFonts w:eastAsia="Segoe UI" w:cs="Segoe UI"/>
        </w:rPr>
      </w:pPr>
    </w:p>
    <w:p w14:paraId="6E11A8EE" w14:textId="52629444" w:rsidR="00A736A2" w:rsidRDefault="00A736A2" w:rsidP="00A736A2">
      <w:pPr>
        <w:pStyle w:val="Heading3"/>
      </w:pPr>
      <w:r>
        <w:t>Co-benefits</w:t>
      </w:r>
    </w:p>
    <w:p w14:paraId="6403AADC" w14:textId="30CEA586" w:rsidR="008C45F2" w:rsidRPr="00D64F6E" w:rsidRDefault="00092141" w:rsidP="006339B9">
      <w:pPr>
        <w:rPr>
          <w:rFonts w:cs="Times New Roman"/>
        </w:rPr>
      </w:pPr>
      <w:r w:rsidRPr="00D64F6E">
        <w:rPr>
          <w:rFonts w:cs="Times New Roman"/>
          <w:b/>
          <w:bCs/>
        </w:rPr>
        <w:t xml:space="preserve">The benefits of carbon </w:t>
      </w:r>
      <w:r w:rsidR="00756234">
        <w:rPr>
          <w:rFonts w:cs="Times New Roman"/>
          <w:b/>
          <w:bCs/>
        </w:rPr>
        <w:t xml:space="preserve">pricing </w:t>
      </w:r>
      <w:r w:rsidRPr="00D64F6E">
        <w:rPr>
          <w:rFonts w:cs="Times New Roman"/>
          <w:b/>
          <w:bCs/>
        </w:rPr>
        <w:t>extend beyond environmental goals</w:t>
      </w:r>
      <w:r w:rsidR="00756234" w:rsidRPr="00D64F6E">
        <w:rPr>
          <w:rFonts w:cs="Times New Roman"/>
          <w:b/>
          <w:bCs/>
        </w:rPr>
        <w:t>:</w:t>
      </w:r>
      <w:r>
        <w:rPr>
          <w:rFonts w:cs="Times New Roman"/>
        </w:rPr>
        <w:t xml:space="preserve"> </w:t>
      </w:r>
      <w:r w:rsidR="00D00EDA">
        <w:rPr>
          <w:b/>
          <w:bCs/>
        </w:rPr>
        <w:t xml:space="preserve">implemented </w:t>
      </w:r>
      <w:r w:rsidR="00F014A9">
        <w:rPr>
          <w:b/>
          <w:bCs/>
        </w:rPr>
        <w:t xml:space="preserve">properly, </w:t>
      </w:r>
      <w:r w:rsidR="006339B9" w:rsidRPr="00815ECA">
        <w:rPr>
          <w:b/>
          <w:bCs/>
        </w:rPr>
        <w:t xml:space="preserve">it can yield significant societal benefits, including job creation, improved health outcomes, and greater equity, while fostering a simpler, more growth-friendly system that extends to the informal sector. </w:t>
      </w:r>
      <w:r w:rsidR="00D00EDA">
        <w:rPr>
          <w:rFonts w:cs="Times New Roman"/>
        </w:rPr>
        <w:t xml:space="preserve">In other words, </w:t>
      </w:r>
      <w:r w:rsidR="00392D0B">
        <w:rPr>
          <w:rFonts w:cs="Times New Roman"/>
        </w:rPr>
        <w:t xml:space="preserve">pricing </w:t>
      </w:r>
      <w:r w:rsidR="00D00EDA" w:rsidRPr="00D00EDA">
        <w:rPr>
          <w:rFonts w:cs="Times New Roman"/>
        </w:rPr>
        <w:t>carbon could be in Egypt’s own interest</w:t>
      </w:r>
      <w:r w:rsidR="00392D0B">
        <w:rPr>
          <w:rFonts w:cs="Times New Roman"/>
        </w:rPr>
        <w:t>.</w:t>
      </w:r>
    </w:p>
    <w:p w14:paraId="62CC1451" w14:textId="52C16DEC" w:rsidR="00DC15CC" w:rsidRDefault="006A152D" w:rsidP="006339B9">
      <w:pPr>
        <w:rPr>
          <w:rFonts w:cs="Times New Roman"/>
        </w:rPr>
      </w:pPr>
      <w:r>
        <w:rPr>
          <w:rFonts w:cs="Times New Roman"/>
        </w:rPr>
        <w:t xml:space="preserve">Broad-based carbon pricing </w:t>
      </w:r>
      <w:r w:rsidR="00B434EA">
        <w:rPr>
          <w:rFonts w:cs="Times New Roman"/>
        </w:rPr>
        <w:t xml:space="preserve">instruments </w:t>
      </w:r>
      <w:r>
        <w:rPr>
          <w:rFonts w:cs="Times New Roman"/>
        </w:rPr>
        <w:t xml:space="preserve">that raise revenues </w:t>
      </w:r>
      <w:r w:rsidR="006339B9" w:rsidRPr="62275691">
        <w:rPr>
          <w:rFonts w:cs="Times New Roman"/>
        </w:rPr>
        <w:t>can</w:t>
      </w:r>
      <w:r w:rsidR="006339B9">
        <w:rPr>
          <w:rFonts w:cs="Times New Roman"/>
        </w:rPr>
        <w:t xml:space="preserve"> have lower costs to</w:t>
      </w:r>
      <w:r w:rsidR="006339B9" w:rsidRPr="62275691">
        <w:rPr>
          <w:rFonts w:cs="Times New Roman"/>
        </w:rPr>
        <w:t xml:space="preserve"> economic growth </w:t>
      </w:r>
      <w:r w:rsidR="006339B9">
        <w:rPr>
          <w:rFonts w:cs="Times New Roman"/>
        </w:rPr>
        <w:t>than conventional taxes</w:t>
      </w:r>
      <w:r w:rsidR="006339B9" w:rsidRPr="62275691">
        <w:rPr>
          <w:rFonts w:cs="Times New Roman"/>
        </w:rPr>
        <w:t xml:space="preserve">. Covering large informal sectors and using the revenues to </w:t>
      </w:r>
      <w:r w:rsidR="006339B9">
        <w:rPr>
          <w:rFonts w:cs="Times New Roman"/>
        </w:rPr>
        <w:t>substitute</w:t>
      </w:r>
      <w:r w:rsidR="006339B9" w:rsidRPr="62275691">
        <w:rPr>
          <w:rFonts w:cs="Times New Roman"/>
        </w:rPr>
        <w:t xml:space="preserve"> formal-sector taxes create</w:t>
      </w:r>
      <w:r w:rsidR="006339B9">
        <w:rPr>
          <w:rFonts w:cs="Times New Roman"/>
        </w:rPr>
        <w:t>s</w:t>
      </w:r>
      <w:r w:rsidR="006339B9" w:rsidRPr="62275691">
        <w:rPr>
          <w:rFonts w:cs="Times New Roman"/>
        </w:rPr>
        <w:t xml:space="preserve"> opportunities to boost output. A broad tax base allows carbon taxation to raise revenues more efficiently, with less negative impact on output compared to conventional taxes</w:t>
      </w:r>
      <w:r w:rsidR="006339B9">
        <w:rPr>
          <w:rFonts w:cs="Times New Roman"/>
        </w:rPr>
        <w:t>.</w:t>
      </w:r>
      <w:commentRangeStart w:id="73"/>
      <w:r w:rsidR="006339B9" w:rsidRPr="000E4209">
        <w:rPr>
          <w:rStyle w:val="FootnoteReference"/>
          <w:rFonts w:cs="Times New Roman"/>
        </w:rPr>
        <w:footnoteReference w:id="24"/>
      </w:r>
      <w:commentRangeEnd w:id="73"/>
      <w:r w:rsidR="006A77DE" w:rsidRPr="000E4209">
        <w:rPr>
          <w:rStyle w:val="CommentReference"/>
          <w:rFonts w:cs="Times New Roman"/>
          <w:sz w:val="22"/>
          <w:szCs w:val="22"/>
        </w:rPr>
        <w:commentReference w:id="73"/>
      </w:r>
      <w:r w:rsidR="006339B9" w:rsidRPr="000E4209">
        <w:rPr>
          <w:rFonts w:cs="Times New Roman"/>
        </w:rPr>
        <w:t xml:space="preserve"> </w:t>
      </w:r>
      <w:r w:rsidR="006339B9">
        <w:rPr>
          <w:rFonts w:cs="Times New Roman"/>
        </w:rPr>
        <w:t>Employment outcomes are also likely better with upstream carbon taxes than with some conventional taxes, especially those on labor</w:t>
      </w:r>
      <w:r w:rsidR="006339B9">
        <w:rPr>
          <w:rStyle w:val="FootnoteReference"/>
          <w:rFonts w:cs="Times New Roman"/>
        </w:rPr>
        <w:footnoteReference w:id="25"/>
      </w:r>
      <w:r w:rsidR="006339B9">
        <w:rPr>
          <w:rFonts w:cs="Times New Roman"/>
        </w:rPr>
        <w:t xml:space="preserve"> ― for two reasons. </w:t>
      </w:r>
      <w:r w:rsidR="006339B9" w:rsidRPr="00D8744B">
        <w:rPr>
          <w:rFonts w:cs="Times New Roman"/>
        </w:rPr>
        <w:t xml:space="preserve">Policy-driven decarbonization </w:t>
      </w:r>
      <w:r w:rsidR="00491DF2">
        <w:rPr>
          <w:rFonts w:cs="Times New Roman"/>
        </w:rPr>
        <w:t xml:space="preserve">can </w:t>
      </w:r>
      <w:r w:rsidR="006339B9" w:rsidRPr="00D8744B">
        <w:rPr>
          <w:rFonts w:cs="Times New Roman"/>
        </w:rPr>
        <w:t>shift the economy toward more labor-intensive sectors and increase labor intensity within sectors by transforming production methods</w:t>
      </w:r>
      <w:r w:rsidR="006339B9">
        <w:rPr>
          <w:rFonts w:cs="Times New Roman"/>
        </w:rPr>
        <w:t>.</w:t>
      </w:r>
      <w:r w:rsidR="006339B9">
        <w:rPr>
          <w:rStyle w:val="FootnoteReference"/>
          <w:rFonts w:cs="Times New Roman"/>
        </w:rPr>
        <w:footnoteReference w:id="26"/>
      </w:r>
      <w:r w:rsidR="006339B9">
        <w:rPr>
          <w:rFonts w:cs="Times New Roman"/>
        </w:rPr>
        <w:t xml:space="preserve"> </w:t>
      </w:r>
      <w:r w:rsidR="00EB318E">
        <w:rPr>
          <w:rFonts w:cs="Times New Roman"/>
        </w:rPr>
        <w:t xml:space="preserve">By reserving some </w:t>
      </w:r>
      <w:r w:rsidR="00732799">
        <w:rPr>
          <w:rFonts w:cs="Times New Roman"/>
        </w:rPr>
        <w:t xml:space="preserve">of the revenues raised </w:t>
      </w:r>
      <w:r w:rsidR="00EB318E">
        <w:rPr>
          <w:rFonts w:cs="Times New Roman"/>
        </w:rPr>
        <w:t>for redistribution to low-income households or to</w:t>
      </w:r>
      <w:r w:rsidR="005D1DBB">
        <w:rPr>
          <w:rFonts w:cs="Times New Roman"/>
        </w:rPr>
        <w:t xml:space="preserve"> public services that benefit them, a carbon tax shift can also be pro-poor.</w:t>
      </w:r>
      <w:commentRangeStart w:id="74"/>
      <w:r w:rsidR="008A2AB0">
        <w:rPr>
          <w:rStyle w:val="FootnoteReference"/>
        </w:rPr>
        <w:footnoteReference w:id="27"/>
      </w:r>
      <w:commentRangeEnd w:id="74"/>
      <w:r w:rsidR="00104CDD">
        <w:rPr>
          <w:rStyle w:val="CommentReference"/>
          <w:rFonts w:cs="Times New Roman"/>
          <w:sz w:val="22"/>
          <w:szCs w:val="22"/>
        </w:rPr>
        <w:commentReference w:id="74"/>
      </w:r>
    </w:p>
    <w:p w14:paraId="6A454940" w14:textId="36FB68BC" w:rsidR="006339B9" w:rsidRDefault="006339B9" w:rsidP="006339B9">
      <w:pPr>
        <w:rPr>
          <w:rFonts w:cs="Times New Roman"/>
        </w:rPr>
      </w:pPr>
      <w:r>
        <w:rPr>
          <w:rFonts w:cs="Times New Roman"/>
        </w:rPr>
        <w:t>Furthermore</w:t>
      </w:r>
      <w:r w:rsidRPr="000E4209">
        <w:rPr>
          <w:rFonts w:cs="Times New Roman"/>
        </w:rPr>
        <w:t xml:space="preserve">, development co-benefits are particularly pronounced in </w:t>
      </w:r>
      <w:r>
        <w:rPr>
          <w:rFonts w:cs="Times New Roman"/>
        </w:rPr>
        <w:t>Egypt</w:t>
      </w:r>
      <w:r w:rsidRPr="000E4209">
        <w:rPr>
          <w:rFonts w:cs="Times New Roman"/>
        </w:rPr>
        <w:t>. By discouraging pollution-intensive activities, carbon taxation can improve</w:t>
      </w:r>
      <w:r>
        <w:rPr>
          <w:rFonts w:cs="Times New Roman"/>
        </w:rPr>
        <w:t xml:space="preserve"> </w:t>
      </w:r>
      <w:r w:rsidRPr="000E4209">
        <w:rPr>
          <w:rFonts w:cs="Times New Roman"/>
        </w:rPr>
        <w:t>air quality, enhanc</w:t>
      </w:r>
      <w:r>
        <w:rPr>
          <w:rFonts w:cs="Times New Roman"/>
        </w:rPr>
        <w:t>e</w:t>
      </w:r>
      <w:r w:rsidRPr="000E4209">
        <w:rPr>
          <w:rFonts w:cs="Times New Roman"/>
        </w:rPr>
        <w:t xml:space="preserve"> public health, </w:t>
      </w:r>
      <w:r>
        <w:rPr>
          <w:rFonts w:cs="Times New Roman"/>
        </w:rPr>
        <w:t xml:space="preserve">and reduce social costs that come with road use, including congestion, accidents, and </w:t>
      </w:r>
      <w:r w:rsidRPr="000E4209">
        <w:rPr>
          <w:rFonts w:cs="Times New Roman"/>
        </w:rPr>
        <w:t xml:space="preserve">road damages. </w:t>
      </w:r>
      <w:r>
        <w:rPr>
          <w:rFonts w:cs="Times New Roman"/>
        </w:rPr>
        <w:t>These effects are so large that many researchers have found them to exceed the economic cost of mitigation.</w:t>
      </w:r>
      <w:r>
        <w:rPr>
          <w:rStyle w:val="FootnoteReference"/>
          <w:rFonts w:cs="Times New Roman"/>
        </w:rPr>
        <w:footnoteReference w:id="28"/>
      </w:r>
      <w:r>
        <w:rPr>
          <w:rFonts w:cs="Times New Roman"/>
        </w:rPr>
        <w:t xml:space="preserve"> All this means that there are national economic interests for taxing carbon, independent from </w:t>
      </w:r>
      <w:r w:rsidR="00BC67A7">
        <w:rPr>
          <w:rFonts w:cs="Times New Roman"/>
        </w:rPr>
        <w:t>its</w:t>
      </w:r>
      <w:r>
        <w:rPr>
          <w:rFonts w:cs="Times New Roman"/>
        </w:rPr>
        <w:t xml:space="preserve"> contribution to climate objectives and reduced CBAM liabilities.</w:t>
      </w:r>
      <w:r>
        <w:rPr>
          <w:rStyle w:val="FootnoteReference"/>
        </w:rPr>
        <w:footnoteReference w:id="29"/>
      </w:r>
    </w:p>
    <w:p w14:paraId="3FB5A3BF" w14:textId="27D4A5E3" w:rsidR="003D4AF3" w:rsidRDefault="003D4AF3" w:rsidP="006339B9"/>
    <w:tbl>
      <w:tblPr>
        <w:tblW w:w="0" w:type="auto"/>
        <w:tblLook w:val="0600" w:firstRow="0" w:lastRow="0" w:firstColumn="0" w:lastColumn="0" w:noHBand="1" w:noVBand="1"/>
      </w:tblPr>
      <w:tblGrid>
        <w:gridCol w:w="529"/>
        <w:gridCol w:w="7168"/>
        <w:gridCol w:w="1653"/>
      </w:tblGrid>
      <w:tr w:rsidR="285A2F06" w14:paraId="296329F6" w14:textId="77777777" w:rsidTr="285A2F06">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79264B44" w14:textId="2686A309" w:rsidR="285A2F06" w:rsidRDefault="285A2F06" w:rsidP="285A2F06">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Code</w:t>
            </w:r>
          </w:p>
        </w:tc>
        <w:tc>
          <w:tcPr>
            <w:tcW w:w="72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6AFCAA08" w14:textId="2291BACC" w:rsidR="285A2F06" w:rsidRDefault="285A2F06" w:rsidP="285A2F06">
            <w:pPr>
              <w:spacing w:after="0"/>
              <w:jc w:val="left"/>
              <w:rPr>
                <w:rFonts w:ascii="Aptos" w:eastAsia="Aptos" w:hAnsi="Aptos" w:cs="Aptos"/>
                <w:b/>
                <w:bCs/>
                <w:color w:val="0078F0"/>
                <w:sz w:val="20"/>
                <w:szCs w:val="20"/>
              </w:rPr>
            </w:pPr>
            <w:r w:rsidRPr="285A2F06">
              <w:rPr>
                <w:rFonts w:ascii="Aptos" w:eastAsia="Aptos" w:hAnsi="Aptos" w:cs="Aptos"/>
                <w:b/>
                <w:bCs/>
                <w:color w:val="0078F0"/>
                <w:sz w:val="20"/>
                <w:szCs w:val="20"/>
              </w:rPr>
              <w:t>Policy bundle</w:t>
            </w:r>
          </w:p>
        </w:tc>
        <w:tc>
          <w:tcPr>
            <w:tcW w:w="16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153553B3" w14:textId="657B1C32" w:rsidR="285A2F06" w:rsidRDefault="285A2F06" w:rsidP="285A2F06">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 xml:space="preserve"> Air pollution deaths avoided </w:t>
            </w:r>
          </w:p>
        </w:tc>
      </w:tr>
      <w:tr w:rsidR="285A2F06" w14:paraId="4969B30F" w14:textId="77777777" w:rsidTr="285A2F06">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15" w:type="dxa"/>
              <w:left w:w="15" w:type="dxa"/>
              <w:right w:w="15" w:type="dxa"/>
            </w:tcMar>
            <w:vAlign w:val="bottom"/>
          </w:tcPr>
          <w:p w14:paraId="5C5B381F" w14:textId="465DD967" w:rsidR="285A2F06" w:rsidRDefault="285A2F06" w:rsidP="285A2F06">
            <w:pPr>
              <w:spacing w:after="0"/>
              <w:jc w:val="center"/>
              <w:rPr>
                <w:rFonts w:ascii="Aptos" w:eastAsia="Aptos" w:hAnsi="Aptos" w:cs="Aptos"/>
                <w:color w:val="0078F0"/>
                <w:sz w:val="20"/>
                <w:szCs w:val="20"/>
              </w:rPr>
            </w:pPr>
            <w:r w:rsidRPr="285A2F06">
              <w:rPr>
                <w:rFonts w:ascii="Aptos" w:eastAsia="Aptos" w:hAnsi="Aptos" w:cs="Aptos"/>
                <w:color w:val="0078F0"/>
                <w:sz w:val="20"/>
                <w:szCs w:val="20"/>
              </w:rPr>
              <w:t xml:space="preserve"> </w:t>
            </w:r>
          </w:p>
        </w:tc>
        <w:tc>
          <w:tcPr>
            <w:tcW w:w="7269" w:type="dxa"/>
            <w:tcBorders>
              <w:top w:val="single" w:sz="4" w:space="0" w:color="000000" w:themeColor="text1"/>
              <w:left w:val="single" w:sz="4" w:space="0" w:color="000000" w:themeColor="text1"/>
              <w:bottom w:val="single" w:sz="4" w:space="0" w:color="000000" w:themeColor="text1"/>
              <w:right w:val="nil"/>
            </w:tcBorders>
            <w:shd w:val="clear" w:color="auto" w:fill="F2F2F2" w:themeFill="background1" w:themeFillShade="F2"/>
            <w:tcMar>
              <w:top w:w="15" w:type="dxa"/>
              <w:left w:w="15" w:type="dxa"/>
              <w:right w:w="15" w:type="dxa"/>
            </w:tcMar>
            <w:vAlign w:val="center"/>
          </w:tcPr>
          <w:p w14:paraId="1245FCE6" w14:textId="2BCEC3F4" w:rsidR="285A2F06" w:rsidRDefault="285A2F06" w:rsidP="285A2F06">
            <w:pPr>
              <w:spacing w:after="0"/>
              <w:jc w:val="left"/>
              <w:rPr>
                <w:rFonts w:ascii="Aptos" w:eastAsia="Aptos" w:hAnsi="Aptos" w:cs="Aptos"/>
                <w:b/>
                <w:bCs/>
                <w:color w:val="0078F0"/>
                <w:sz w:val="20"/>
                <w:szCs w:val="20"/>
              </w:rPr>
            </w:pPr>
            <w:r w:rsidRPr="285A2F06">
              <w:rPr>
                <w:rFonts w:ascii="Aptos" w:eastAsia="Aptos" w:hAnsi="Aptos" w:cs="Aptos"/>
                <w:b/>
                <w:bCs/>
                <w:color w:val="0078F0"/>
                <w:sz w:val="20"/>
                <w:szCs w:val="20"/>
              </w:rPr>
              <w:t>Policy Bundle Options - Carbon Pricing (modelled)</w:t>
            </w:r>
          </w:p>
        </w:tc>
        <w:tc>
          <w:tcPr>
            <w:tcW w:w="16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15" w:type="dxa"/>
              <w:left w:w="15" w:type="dxa"/>
              <w:right w:w="15" w:type="dxa"/>
            </w:tcMar>
            <w:vAlign w:val="center"/>
          </w:tcPr>
          <w:p w14:paraId="1A16D57A" w14:textId="36F1C291" w:rsidR="285A2F06" w:rsidRDefault="285A2F06" w:rsidP="285A2F06">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 xml:space="preserve"> </w:t>
            </w:r>
          </w:p>
        </w:tc>
      </w:tr>
      <w:tr w:rsidR="285A2F06" w14:paraId="4CF1A936" w14:textId="77777777" w:rsidTr="285A2F06">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982C0C" w14:textId="63653EEA"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1A</w:t>
            </w:r>
          </w:p>
        </w:tc>
        <w:tc>
          <w:tcPr>
            <w:tcW w:w="72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29F8705" w14:textId="1AA59773" w:rsidR="285A2F06" w:rsidRDefault="285A2F06" w:rsidP="285A2F06">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Comprehensive carbon levy:</w:t>
            </w:r>
            <w:r w:rsidRPr="285A2F06">
              <w:rPr>
                <w:rFonts w:ascii="Aptos" w:eastAsia="Aptos" w:hAnsi="Aptos" w:cs="Aptos"/>
                <w:color w:val="000000" w:themeColor="text1"/>
                <w:sz w:val="20"/>
                <w:szCs w:val="20"/>
              </w:rPr>
              <w:t xml:space="preserve"> upstream carbon price on all  fossil fuel consumption</w:t>
            </w:r>
            <w:r w:rsidRPr="285A2F06">
              <w:rPr>
                <w:rFonts w:ascii="Aptos" w:eastAsia="Aptos" w:hAnsi="Aptos" w:cs="Aptos"/>
                <w:b/>
                <w:bCs/>
                <w:color w:val="000000" w:themeColor="text1"/>
                <w:sz w:val="20"/>
                <w:szCs w:val="20"/>
              </w:rPr>
              <w:t xml:space="preserve"> </w:t>
            </w:r>
            <w:r w:rsidRPr="285A2F06">
              <w:rPr>
                <w:rFonts w:ascii="Aptos" w:eastAsia="Aptos" w:hAnsi="Aptos" w:cs="Aptos"/>
                <w:color w:val="000000" w:themeColor="text1"/>
                <w:sz w:val="20"/>
                <w:szCs w:val="20"/>
              </w:rPr>
              <w:t xml:space="preserve">+ downstream emissions in CBAM sectors only </w:t>
            </w:r>
            <w:r w:rsidRPr="285A2F06">
              <w:rPr>
                <w:rFonts w:ascii="Aptos" w:eastAsia="Aptos" w:hAnsi="Aptos" w:cs="Aptos"/>
                <w:b/>
                <w:bCs/>
                <w:color w:val="000000" w:themeColor="text1"/>
                <w:sz w:val="20"/>
                <w:szCs w:val="20"/>
              </w:rPr>
              <w:t>+ recycling to (non-green) public investment</w:t>
            </w:r>
          </w:p>
        </w:tc>
        <w:tc>
          <w:tcPr>
            <w:tcW w:w="1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653EC2" w14:textId="58962028"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1656</w:t>
            </w:r>
          </w:p>
        </w:tc>
      </w:tr>
      <w:tr w:rsidR="285A2F06" w14:paraId="1D1FB2AC" w14:textId="77777777" w:rsidTr="285A2F06">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D0E71C" w14:textId="4994A30A"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2A</w:t>
            </w:r>
          </w:p>
        </w:tc>
        <w:tc>
          <w:tcPr>
            <w:tcW w:w="72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DEEA11" w14:textId="430D90A6" w:rsidR="285A2F06" w:rsidRDefault="285A2F06" w:rsidP="285A2F06">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Upstream carbon levy</w:t>
            </w:r>
            <w:r w:rsidRPr="285A2F06">
              <w:rPr>
                <w:rFonts w:ascii="Aptos" w:eastAsia="Aptos" w:hAnsi="Aptos" w:cs="Aptos"/>
                <w:color w:val="000000" w:themeColor="text1"/>
                <w:sz w:val="20"/>
                <w:szCs w:val="20"/>
              </w:rPr>
              <w:t xml:space="preserve"> on all</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fossil fuel consumption</w:t>
            </w:r>
            <w:r w:rsidRPr="285A2F06">
              <w:rPr>
                <w:rFonts w:ascii="Aptos" w:eastAsia="Aptos" w:hAnsi="Aptos" w:cs="Aptos"/>
                <w:b/>
                <w:bCs/>
                <w:color w:val="000000" w:themeColor="text1"/>
                <w:sz w:val="20"/>
                <w:szCs w:val="20"/>
              </w:rPr>
              <w:t xml:space="preserve"> + recycling to (non-green) public investment</w:t>
            </w:r>
          </w:p>
        </w:tc>
        <w:tc>
          <w:tcPr>
            <w:tcW w:w="1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60F1D1" w14:textId="351E801F"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1564</w:t>
            </w:r>
          </w:p>
        </w:tc>
      </w:tr>
      <w:tr w:rsidR="285A2F06" w14:paraId="2BB6A49D" w14:textId="77777777" w:rsidTr="285A2F06">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D8440C" w14:textId="77B1BE02"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lastRenderedPageBreak/>
              <w:t>2B</w:t>
            </w:r>
          </w:p>
        </w:tc>
        <w:tc>
          <w:tcPr>
            <w:tcW w:w="72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D1F5F69" w14:textId="13EF11F6" w:rsidR="285A2F06" w:rsidRDefault="285A2F06" w:rsidP="285A2F06">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Upstream carbon levy</w:t>
            </w:r>
            <w:r w:rsidRPr="285A2F06">
              <w:rPr>
                <w:rFonts w:ascii="Aptos" w:eastAsia="Aptos" w:hAnsi="Aptos" w:cs="Aptos"/>
                <w:color w:val="000000" w:themeColor="text1"/>
                <w:sz w:val="20"/>
                <w:szCs w:val="20"/>
              </w:rPr>
              <w:t xml:space="preserve"> on all</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fossil fuel consumption</w:t>
            </w:r>
            <w:r w:rsidRPr="285A2F06">
              <w:rPr>
                <w:rFonts w:ascii="Aptos" w:eastAsia="Aptos" w:hAnsi="Aptos" w:cs="Aptos"/>
                <w:b/>
                <w:bCs/>
                <w:color w:val="000000" w:themeColor="text1"/>
                <w:sz w:val="20"/>
                <w:szCs w:val="20"/>
              </w:rPr>
              <w:t xml:space="preserve"> + recycling to households</w:t>
            </w:r>
          </w:p>
        </w:tc>
        <w:tc>
          <w:tcPr>
            <w:tcW w:w="1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A5317A6" w14:textId="08E4F5F2"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1631</w:t>
            </w:r>
          </w:p>
        </w:tc>
      </w:tr>
      <w:tr w:rsidR="285A2F06" w14:paraId="47396952" w14:textId="77777777" w:rsidTr="285A2F06">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4D46917" w14:textId="5F330F34"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3A</w:t>
            </w:r>
          </w:p>
        </w:tc>
        <w:tc>
          <w:tcPr>
            <w:tcW w:w="72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AEBD5F" w14:textId="0E120885" w:rsidR="285A2F06" w:rsidRDefault="285A2F06" w:rsidP="285A2F06">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Downstream carbon price</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 xml:space="preserve">on heavy industry </w:t>
            </w:r>
            <w:r>
              <w:br/>
            </w:r>
            <w:r w:rsidRPr="285A2F06">
              <w:rPr>
                <w:rFonts w:ascii="Aptos" w:eastAsia="Aptos" w:hAnsi="Aptos" w:cs="Aptos"/>
                <w:color w:val="000000" w:themeColor="text1"/>
                <w:sz w:val="20"/>
                <w:szCs w:val="20"/>
              </w:rPr>
              <w:t xml:space="preserve">+ </w:t>
            </w:r>
            <w:r w:rsidRPr="285A2F06">
              <w:rPr>
                <w:rFonts w:ascii="Aptos" w:eastAsia="Aptos" w:hAnsi="Aptos" w:cs="Aptos"/>
                <w:b/>
                <w:bCs/>
                <w:color w:val="000000" w:themeColor="text1"/>
                <w:sz w:val="20"/>
                <w:szCs w:val="20"/>
              </w:rPr>
              <w:t>recycling to households</w:t>
            </w:r>
          </w:p>
        </w:tc>
        <w:tc>
          <w:tcPr>
            <w:tcW w:w="1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E67069" w14:textId="161A5FEE"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546</w:t>
            </w:r>
          </w:p>
        </w:tc>
      </w:tr>
      <w:tr w:rsidR="285A2F06" w14:paraId="180CFC7C" w14:textId="77777777" w:rsidTr="285A2F06">
        <w:trPr>
          <w:trHeight w:val="453"/>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22E1186" w14:textId="37C605A6"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3B</w:t>
            </w:r>
          </w:p>
        </w:tc>
        <w:tc>
          <w:tcPr>
            <w:tcW w:w="72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E766DFC" w14:textId="0219EF09" w:rsidR="285A2F06" w:rsidRDefault="285A2F06" w:rsidP="285A2F06">
            <w:pPr>
              <w:spacing w:after="0"/>
              <w:jc w:val="left"/>
              <w:rPr>
                <w:rFonts w:ascii="Aptos" w:eastAsia="Aptos" w:hAnsi="Aptos" w:cs="Aptos"/>
                <w:color w:val="000000" w:themeColor="text1"/>
                <w:sz w:val="20"/>
                <w:szCs w:val="20"/>
              </w:rPr>
            </w:pPr>
            <w:r w:rsidRPr="285A2F06">
              <w:rPr>
                <w:rFonts w:ascii="Aptos" w:eastAsia="Aptos" w:hAnsi="Aptos" w:cs="Aptos"/>
                <w:b/>
                <w:bCs/>
                <w:color w:val="000000" w:themeColor="text1"/>
                <w:sz w:val="20"/>
                <w:szCs w:val="20"/>
              </w:rPr>
              <w:t xml:space="preserve">Downstream carbon price </w:t>
            </w:r>
            <w:r w:rsidRPr="285A2F06">
              <w:rPr>
                <w:rFonts w:ascii="Aptos" w:eastAsia="Aptos" w:hAnsi="Aptos" w:cs="Aptos"/>
                <w:color w:val="000000" w:themeColor="text1"/>
                <w:sz w:val="20"/>
                <w:szCs w:val="20"/>
              </w:rPr>
              <w:t xml:space="preserve">on heavy industry + </w:t>
            </w:r>
            <w:r w:rsidRPr="285A2F06">
              <w:rPr>
                <w:rFonts w:ascii="Aptos" w:eastAsia="Aptos" w:hAnsi="Aptos" w:cs="Aptos"/>
                <w:b/>
                <w:bCs/>
                <w:color w:val="000000" w:themeColor="text1"/>
                <w:sz w:val="20"/>
                <w:szCs w:val="20"/>
              </w:rPr>
              <w:t xml:space="preserve">free allocation </w:t>
            </w:r>
            <w:r w:rsidRPr="285A2F06">
              <w:rPr>
                <w:rFonts w:ascii="Aptos" w:eastAsia="Aptos" w:hAnsi="Aptos" w:cs="Aptos"/>
                <w:color w:val="000000" w:themeColor="text1"/>
                <w:sz w:val="20"/>
                <w:szCs w:val="20"/>
              </w:rPr>
              <w:t xml:space="preserve">for CBAM producers </w:t>
            </w:r>
            <w:r>
              <w:br/>
            </w:r>
            <w:r w:rsidRPr="285A2F06">
              <w:rPr>
                <w:rFonts w:ascii="Aptos" w:eastAsia="Aptos" w:hAnsi="Aptos" w:cs="Aptos"/>
                <w:color w:val="000000" w:themeColor="text1"/>
                <w:sz w:val="20"/>
                <w:szCs w:val="20"/>
              </w:rPr>
              <w:t xml:space="preserve">(intensity benchmark per unit of output) </w:t>
            </w:r>
          </w:p>
        </w:tc>
        <w:tc>
          <w:tcPr>
            <w:tcW w:w="1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46E51F" w14:textId="309C29DA"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345</w:t>
            </w:r>
          </w:p>
        </w:tc>
      </w:tr>
      <w:tr w:rsidR="285A2F06" w14:paraId="5698B2C9" w14:textId="77777777" w:rsidTr="285A2F06">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C8AC24" w14:textId="728D0F6A"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3C</w:t>
            </w:r>
          </w:p>
        </w:tc>
        <w:tc>
          <w:tcPr>
            <w:tcW w:w="72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E4412C4" w14:textId="66D9363E" w:rsidR="285A2F06" w:rsidRDefault="285A2F06" w:rsidP="285A2F06">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 xml:space="preserve">Downstream carbon price on heavy industry </w:t>
            </w:r>
            <w:r w:rsidRPr="285A2F06">
              <w:rPr>
                <w:rFonts w:ascii="Aptos" w:eastAsia="Aptos" w:hAnsi="Aptos" w:cs="Aptos"/>
                <w:color w:val="000000" w:themeColor="text1"/>
                <w:sz w:val="20"/>
                <w:szCs w:val="20"/>
              </w:rPr>
              <w:t>+</w:t>
            </w:r>
            <w:r>
              <w:br/>
            </w:r>
            <w:r w:rsidRPr="285A2F06">
              <w:rPr>
                <w:rFonts w:ascii="Aptos" w:eastAsia="Aptos" w:hAnsi="Aptos" w:cs="Aptos"/>
                <w:color w:val="000000" w:themeColor="text1"/>
                <w:sz w:val="20"/>
                <w:szCs w:val="20"/>
              </w:rPr>
              <w:t xml:space="preserve"> </w:t>
            </w:r>
            <w:r w:rsidRPr="285A2F06">
              <w:rPr>
                <w:rFonts w:ascii="Aptos" w:eastAsia="Aptos" w:hAnsi="Aptos" w:cs="Aptos"/>
                <w:b/>
                <w:bCs/>
                <w:color w:val="000000" w:themeColor="text1"/>
                <w:sz w:val="20"/>
                <w:szCs w:val="20"/>
              </w:rPr>
              <w:t>rebate for industrial abatement</w:t>
            </w:r>
          </w:p>
        </w:tc>
        <w:tc>
          <w:tcPr>
            <w:tcW w:w="1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158106B" w14:textId="30C86881" w:rsidR="285A2F06" w:rsidRDefault="285A2F06" w:rsidP="285A2F06">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621</w:t>
            </w:r>
          </w:p>
        </w:tc>
      </w:tr>
    </w:tbl>
    <w:p w14:paraId="6422367C" w14:textId="56E67ED5" w:rsidR="285A2F06" w:rsidRDefault="285A2F06" w:rsidP="285A2F06">
      <w:pPr>
        <w:rPr>
          <w:rFonts w:cs="Times New Roman"/>
        </w:rPr>
      </w:pPr>
    </w:p>
    <w:p w14:paraId="2A7B9EA2" w14:textId="61A2E99A" w:rsidR="3EB2163A" w:rsidRDefault="00A55266">
      <w:r>
        <w:rPr>
          <w:rFonts w:cs="Times New Roman"/>
        </w:rPr>
        <w:t xml:space="preserve">CPAT </w:t>
      </w:r>
      <w:r w:rsidR="00AA40CC">
        <w:rPr>
          <w:rFonts w:cs="Times New Roman"/>
        </w:rPr>
        <w:t xml:space="preserve">modeling results focus </w:t>
      </w:r>
      <w:r w:rsidR="000B1875">
        <w:rPr>
          <w:rFonts w:cs="Times New Roman"/>
        </w:rPr>
        <w:t xml:space="preserve">on the </w:t>
      </w:r>
      <w:r w:rsidR="003130EF">
        <w:rPr>
          <w:rFonts w:cs="Times New Roman"/>
        </w:rPr>
        <w:t xml:space="preserve">mortality </w:t>
      </w:r>
      <w:r w:rsidR="00F93C68">
        <w:rPr>
          <w:rFonts w:cs="Times New Roman"/>
        </w:rPr>
        <w:t xml:space="preserve">benefits from reduced air pollution. </w:t>
      </w:r>
      <w:r w:rsidR="00F4299A">
        <w:rPr>
          <w:rFonts w:cs="Times New Roman"/>
        </w:rPr>
        <w:t xml:space="preserve">Across the scenarios, </w:t>
      </w:r>
      <w:r w:rsidR="00F4299A">
        <w:rPr>
          <w:rFonts w:eastAsia="Segoe UI" w:cs="Segoe UI"/>
        </w:rPr>
        <w:t>t</w:t>
      </w:r>
      <w:r w:rsidR="3EB2163A" w:rsidRPr="285A2F06">
        <w:rPr>
          <w:rFonts w:eastAsia="Segoe UI" w:cs="Segoe UI"/>
        </w:rPr>
        <w:t xml:space="preserve">he </w:t>
      </w:r>
      <w:r w:rsidR="00F4299A">
        <w:rPr>
          <w:rFonts w:eastAsia="Segoe UI" w:cs="Segoe UI"/>
        </w:rPr>
        <w:t xml:space="preserve">carbon pricing </w:t>
      </w:r>
      <w:r w:rsidR="3EB2163A" w:rsidRPr="285A2F06">
        <w:rPr>
          <w:rFonts w:eastAsia="Segoe UI" w:cs="Segoe UI"/>
        </w:rPr>
        <w:t>bundles deliver substantial air pollution co-benefits, avoiding between 345 and 1,656 premature deaths annually, broadly in line with the breadth of fuel combustion each option covers. The comprehensive carbon levy (1A) yields the largest health gain, with 1,656 deaths avoided, reflecting its wide coverage of fossil fuel combustion across the economy. The two upstream levies follow closely: the household-recycling variant (2B) avoids 1,631 deaths and the public-investment variant (2A) 1,564, the difference tracking their slightly different effects on energy demand. The downstream options on heavy industry deliver markedly smaller health benefits, since they leave most combustion sources—notably in transport and buildings—unpriced: the rebate for industrial abatement (3C) avoids 621 deaths, the household-recycling design (3A) 546, and the free-allocation design (3B) the fewest at 345. These co-benefits accrue domestically and in the near term, independent of global mitigation outcomes, and typically constitute a significant share of the overall welfare case for carbon pricing.</w:t>
      </w:r>
    </w:p>
    <w:p w14:paraId="3884CD00" w14:textId="5F6723B7" w:rsidR="001E3733" w:rsidRPr="001E3733" w:rsidRDefault="006B09E3" w:rsidP="006B09E3">
      <w:pPr>
        <w:pStyle w:val="Heading3"/>
      </w:pPr>
      <w:r>
        <w:t xml:space="preserve">Summary of tradeoffs and </w:t>
      </w:r>
      <w:r w:rsidR="003E6002">
        <w:t>implications for Egypt</w:t>
      </w:r>
    </w:p>
    <w:p w14:paraId="29D5B271" w14:textId="77777777" w:rsidR="007808F4" w:rsidRDefault="06588E69">
      <w:pPr>
        <w:rPr>
          <w:rFonts w:eastAsia="Segoe UI" w:cs="Segoe UI"/>
        </w:rPr>
      </w:pPr>
      <w:r w:rsidRPr="285A2F06">
        <w:rPr>
          <w:rFonts w:eastAsia="Segoe UI" w:cs="Segoe UI"/>
        </w:rPr>
        <w:t xml:space="preserve">Taken together, the six bundles illustrate a central tension in carbon policy design: </w:t>
      </w:r>
      <w:r w:rsidRPr="006D67BD">
        <w:rPr>
          <w:rFonts w:eastAsia="Segoe UI" w:cs="Segoe UI"/>
          <w:b/>
          <w:bCs/>
        </w:rPr>
        <w:t>the choices that maximize domestic fiscal and health returns are not the same as those that most reduce CBAM exposure, and no single option dominates on every dimension</w:t>
      </w:r>
      <w:r w:rsidRPr="285A2F06">
        <w:rPr>
          <w:rFonts w:eastAsia="Segoe UI" w:cs="Segoe UI"/>
        </w:rPr>
        <w:t xml:space="preserve">. The comprehensive carbon levy (1A) emerges as the most balanced performer, combining the broadest emissions coverage with the largest emissions reductions (41.6 MtCO₂), the highest carbon revenues ($5.8 billion), and the greatest air pollution co-benefits (1,656 deaths avoided), while also delivering a substantial cut in CBAM obligations (26.1 percent). The upstream levies (2A and 2B) achieve nearly comparable mitigation, revenue, and health outcomes, but their narrower reach into CBAM sectors leaves more of Egypt's </w:t>
      </w:r>
      <w:r w:rsidR="00AC2546">
        <w:rPr>
          <w:rFonts w:eastAsia="Segoe UI" w:cs="Segoe UI"/>
        </w:rPr>
        <w:t>CBAM</w:t>
      </w:r>
      <w:r w:rsidR="00AC2546" w:rsidRPr="285A2F06">
        <w:rPr>
          <w:rFonts w:eastAsia="Segoe UI" w:cs="Segoe UI"/>
        </w:rPr>
        <w:t xml:space="preserve"> </w:t>
      </w:r>
      <w:r w:rsidRPr="285A2F06">
        <w:rPr>
          <w:rFonts w:eastAsia="Segoe UI" w:cs="Segoe UI"/>
        </w:rPr>
        <w:t>exposure unaddressed.</w:t>
      </w:r>
      <w:r w:rsidR="00510C9D">
        <w:rPr>
          <w:rFonts w:eastAsia="Segoe UI" w:cs="Segoe UI"/>
        </w:rPr>
        <w:t xml:space="preserve"> </w:t>
      </w:r>
    </w:p>
    <w:p w14:paraId="4995381A" w14:textId="1CCAC434" w:rsidR="00510C9D" w:rsidRDefault="06588E69">
      <w:pPr>
        <w:rPr>
          <w:rFonts w:eastAsia="Segoe UI" w:cs="Segoe UI"/>
        </w:rPr>
      </w:pPr>
      <w:r w:rsidRPr="285A2F06">
        <w:rPr>
          <w:rFonts w:eastAsia="Segoe UI" w:cs="Segoe UI"/>
        </w:rPr>
        <w:t xml:space="preserve">The principal trade-offs cluster around three levers. </w:t>
      </w:r>
    </w:p>
    <w:p w14:paraId="24F9BDD7" w14:textId="77777777" w:rsidR="00510C9D" w:rsidRDefault="06588E69">
      <w:pPr>
        <w:rPr>
          <w:rFonts w:eastAsia="Segoe UI" w:cs="Segoe UI"/>
        </w:rPr>
      </w:pPr>
      <w:r w:rsidRPr="285A2F06">
        <w:rPr>
          <w:rFonts w:eastAsia="Segoe UI" w:cs="Segoe UI"/>
        </w:rPr>
        <w:t xml:space="preserve">The first is the point of imposition: </w:t>
      </w:r>
      <w:r w:rsidRPr="00510C9D">
        <w:rPr>
          <w:rFonts w:eastAsia="Segoe UI" w:cs="Segoe UI"/>
          <w:b/>
          <w:bCs/>
        </w:rPr>
        <w:t>broad-based upstream and comprehensive pricing maximizes economy-wide gains</w:t>
      </w:r>
      <w:r w:rsidRPr="005A707C">
        <w:rPr>
          <w:rFonts w:eastAsia="Segoe UI" w:cs="Segoe UI"/>
        </w:rPr>
        <w:t>—emissions, revenue, and health—because it reaches transport, buildings, and power, whereas downstream industrial pricing concentrates effort on a narrow base and forgoes most of those co-benefits.</w:t>
      </w:r>
      <w:r w:rsidRPr="285A2F06">
        <w:rPr>
          <w:rFonts w:eastAsia="Segoe UI" w:cs="Segoe UI"/>
        </w:rPr>
        <w:t xml:space="preserve"> </w:t>
      </w:r>
    </w:p>
    <w:p w14:paraId="4AF08AD8" w14:textId="330875B7" w:rsidR="005A707C" w:rsidRDefault="06588E69">
      <w:pPr>
        <w:rPr>
          <w:rFonts w:eastAsia="Segoe UI" w:cs="Segoe UI"/>
        </w:rPr>
      </w:pPr>
      <w:r w:rsidRPr="285A2F06">
        <w:rPr>
          <w:rFonts w:eastAsia="Segoe UI" w:cs="Segoe UI"/>
        </w:rPr>
        <w:lastRenderedPageBreak/>
        <w:t xml:space="preserve">The second is revenue recycling: </w:t>
      </w:r>
      <w:r w:rsidRPr="005A707C">
        <w:rPr>
          <w:rFonts w:eastAsia="Segoe UI" w:cs="Segoe UI"/>
          <w:b/>
          <w:bCs/>
        </w:rPr>
        <w:t>directing proceeds to public investment or households preserves measured carbon revenues, while returning value to firms through free allocation (3B) or rebates (3C) sacrifices fiscal yield</w:t>
      </w:r>
      <w:r w:rsidRPr="285A2F06">
        <w:rPr>
          <w:rFonts w:eastAsia="Segoe UI" w:cs="Segoe UI"/>
        </w:rPr>
        <w:t xml:space="preserve">. </w:t>
      </w:r>
      <w:r w:rsidR="00642624">
        <w:rPr>
          <w:rFonts w:eastAsia="Segoe UI" w:cs="Segoe UI"/>
        </w:rPr>
        <w:t xml:space="preserve">Additional </w:t>
      </w:r>
      <w:r w:rsidR="005A707C">
        <w:rPr>
          <w:rFonts w:eastAsia="Segoe UI" w:cs="Segoe UI"/>
        </w:rPr>
        <w:t xml:space="preserve">modeling </w:t>
      </w:r>
      <w:r w:rsidR="00642624">
        <w:rPr>
          <w:rFonts w:eastAsia="Segoe UI" w:cs="Segoe UI"/>
        </w:rPr>
        <w:t>including trade and industrial structure details would be helpful to understand the tradeoffs in terms of competitiveness</w:t>
      </w:r>
      <w:r w:rsidR="003C508F">
        <w:rPr>
          <w:rFonts w:eastAsia="Segoe UI" w:cs="Segoe UI"/>
        </w:rPr>
        <w:t xml:space="preserve"> impacts on domestic and non-EU foreign markets.</w:t>
      </w:r>
    </w:p>
    <w:p w14:paraId="42BEA759" w14:textId="7D21B418" w:rsidR="06588E69" w:rsidRDefault="06588E69">
      <w:r w:rsidRPr="285A2F06">
        <w:rPr>
          <w:rFonts w:eastAsia="Segoe UI" w:cs="Segoe UI"/>
        </w:rPr>
        <w:t xml:space="preserve">The third is CBAM optimization, where </w:t>
      </w:r>
      <w:r w:rsidRPr="00520A7E">
        <w:rPr>
          <w:rFonts w:eastAsia="Segoe UI" w:cs="Segoe UI"/>
          <w:b/>
          <w:bCs/>
        </w:rPr>
        <w:t>the rebate-for-</w:t>
      </w:r>
      <w:r w:rsidR="00090B4B">
        <w:rPr>
          <w:rFonts w:eastAsia="Segoe UI" w:cs="Segoe UI"/>
          <w:b/>
          <w:bCs/>
        </w:rPr>
        <w:t>industrial-</w:t>
      </w:r>
      <w:r w:rsidRPr="00520A7E">
        <w:rPr>
          <w:rFonts w:eastAsia="Segoe UI" w:cs="Segoe UI"/>
          <w:b/>
          <w:bCs/>
        </w:rPr>
        <w:t>abatement design (3C) stands apart—achieving the deepest cut in CBAM obligations (30.4 percent)</w:t>
      </w:r>
      <w:r w:rsidRPr="285A2F06">
        <w:rPr>
          <w:rFonts w:eastAsia="Segoe UI" w:cs="Segoe UI"/>
        </w:rPr>
        <w:t xml:space="preserve"> precisely because it rewards abatement without blunting the marginal price signal, unlike free allocation (3B), which protects competitiveness but undermines both revenue and CBAM relief.</w:t>
      </w:r>
    </w:p>
    <w:p w14:paraId="46853A72" w14:textId="7671D478" w:rsidR="001D2D27" w:rsidRPr="00D8053D" w:rsidRDefault="06588E69" w:rsidP="001D2D27">
      <w:r w:rsidRPr="000F2B3D">
        <w:rPr>
          <w:rFonts w:eastAsia="Segoe UI" w:cs="Segoe UI"/>
          <w:b/>
          <w:bCs/>
        </w:rPr>
        <w:t>The implication for Egypt is that the "best" bundle depends on which objective is weighted most heavily.</w:t>
      </w:r>
      <w:r w:rsidRPr="285A2F06">
        <w:rPr>
          <w:rFonts w:eastAsia="Segoe UI" w:cs="Segoe UI"/>
        </w:rPr>
        <w:t xml:space="preserve"> If the priority is raising revenue and maximizing domestic welfare, comprehensive or upstream pricing is clearly preferable. If the overriding concern is shielding exporters from CBAM costs while maintaining abatement incentives, the rebate-based industrial design is most effective, albeit at the cost of forgone revenue and health benefits. Free allocation, by contrast, performs weakly across nearly all metrics and offers competitiveness protection only by suppressing the very price signal that drives mitigation. A sequenced strategy—beginning with a broad-based price and complementing it with well-designed, abatement-linked support for CBAM-exposed industry—would capture most of the economy-wide benefits while managing trade exposure</w:t>
      </w:r>
      <w:r w:rsidR="005A2884">
        <w:rPr>
          <w:rFonts w:eastAsia="Segoe UI" w:cs="Segoe UI"/>
        </w:rPr>
        <w:t>. P</w:t>
      </w:r>
      <w:r w:rsidRPr="285A2F06">
        <w:rPr>
          <w:rFonts w:eastAsia="Segoe UI" w:cs="Segoe UI"/>
        </w:rPr>
        <w:t>airing any of these options with fossil fuel subsidy reform would further strengthen both the price signal and the fiscal return.</w:t>
      </w:r>
    </w:p>
    <w:p w14:paraId="002000A8" w14:textId="4A987268" w:rsidR="001D2D27" w:rsidRDefault="001D2D27" w:rsidP="001D2D27">
      <w:pPr>
        <w:pStyle w:val="Heading2"/>
      </w:pPr>
      <w:bookmarkStart w:id="75" w:name="_Toc234844394"/>
      <w:r>
        <w:t>Importance of complementary options for decarbonizing industry</w:t>
      </w:r>
      <w:bookmarkEnd w:id="75"/>
    </w:p>
    <w:p w14:paraId="66C5ED51" w14:textId="64971A10" w:rsidR="001D2D27" w:rsidRDefault="001D2D27" w:rsidP="001D2D27">
      <w:r w:rsidRPr="000428EF">
        <w:rPr>
          <w:b/>
          <w:bCs/>
        </w:rPr>
        <w:t xml:space="preserve">As the EU CBAM enters its operational phase and global decarbonization pressures intensify, Egypt will need to take a proactive and sustained approach to developing </w:t>
      </w:r>
      <w:r w:rsidR="00E64947">
        <w:rPr>
          <w:b/>
          <w:bCs/>
        </w:rPr>
        <w:t xml:space="preserve">a portfolio of </w:t>
      </w:r>
      <w:r w:rsidRPr="000428EF">
        <w:rPr>
          <w:b/>
          <w:bCs/>
        </w:rPr>
        <w:t>policies for industrial decarbonization.</w:t>
      </w:r>
      <w:r>
        <w:t xml:space="preserve"> Beyond short-term compliance, a longer-term structural response </w:t>
      </w:r>
      <w:r w:rsidR="00E64947">
        <w:t xml:space="preserve">is needed, </w:t>
      </w:r>
      <w:r>
        <w:t>aimed at maintaining export competitiveness, securing market access, and positioning Egypt within emerging low-carbon value chains. Key priorities include establishing robust monitoring, reporting, and verification (MRV) systems at the facility and product level, providing clear and predictable policy and regulatory signals for low-carbon production (including energy pricing, renewable energy access, and industrial standards), and advancing carbon pricing or equivalent instruments that are compatible with CBAM requirements. These policy measures will be critical not only to reduce embedded emissions and associated CBAM liabilities, but also to enable Egyptian producers to demonstrate their carbon performance and compete effectively in EU and other low-carbon markets.</w:t>
      </w:r>
    </w:p>
    <w:p w14:paraId="522E36C9" w14:textId="77777777" w:rsidR="001D2D27" w:rsidRDefault="001D2D27" w:rsidP="001D2D27">
      <w:r w:rsidRPr="00ED791B">
        <w:rPr>
          <w:b/>
          <w:bCs/>
        </w:rPr>
        <w:t>At the same time, a comprehensive response will require sustained efforts to facilitate and scale investment in industrial decarbonization</w:t>
      </w:r>
      <w:r>
        <w:t xml:space="preserve">, including through targeted green industrial policies, investment promotion, and financial sector reforms. This includes supporting sector-specific transition pathways (e.g., steel, fertilizers, cement, aluminum), enabling infrastructure investments in renewable energy, hydrogen, and industrial clusters, and building the capacity of </w:t>
      </w:r>
      <w:r>
        <w:lastRenderedPageBreak/>
        <w:t>firms—particularly SMEs—to adopt low-carbon technologies and comply with emerging regulatory requirements. Concessional finance and technical assistance will play a critical enabling role, not only by reducing investment costs and risks, but also by strengthening the institutional and policy frameworks needed to crowd in private capital. In this context, international climate finance initiatives can serve as important catalysts, but the scale of required investment—potentially in the multi</w:t>
      </w:r>
      <w:r>
        <w:noBreakHyphen/>
        <w:t>billion</w:t>
      </w:r>
      <w:r>
        <w:noBreakHyphen/>
        <w:t>dollar range across priority sectors over the coming decade—will require coordinated action across government, MDBs, and the private sector.</w:t>
      </w:r>
    </w:p>
    <w:p w14:paraId="48B7A7FB" w14:textId="77777777" w:rsidR="001D2D27" w:rsidRDefault="001D2D27" w:rsidP="001D2D27">
      <w:r w:rsidRPr="007825B0">
        <w:rPr>
          <w:b/>
          <w:bCs/>
        </w:rPr>
        <w:t>A central element of Egypt’s response to CBAM will be the strategic use of concessional finance alongside policy reforms to accelerate industrial decarbonization investments.</w:t>
      </w:r>
      <w:r>
        <w:t xml:space="preserve"> Programs such as the CIF Industry Decarbonisation Programme (IDP) provide an important illustration: Egypt has been invited to access up to US$250 million in concessional resources, which are designed to be deployed in blended structures that mobilize significantly larger volumes of financing from MDBs, commercial banks, and private investors. In practice, experience from similar programs suggests that such concessional envelopes can leverage multiples of their initial value, </w:t>
      </w:r>
      <w:commentRangeStart w:id="76"/>
      <w:r>
        <w:t>helping to unlock investment pipelines at scale across priority sectors.</w:t>
      </w:r>
      <w:commentRangeEnd w:id="76"/>
      <w:r>
        <w:rPr>
          <w:rStyle w:val="CommentReference"/>
          <w:sz w:val="22"/>
          <w:szCs w:val="22"/>
        </w:rPr>
        <w:commentReference w:id="76"/>
      </w:r>
      <w:r>
        <w:t xml:space="preserve"> </w:t>
      </w:r>
    </w:p>
    <w:p w14:paraId="48B42DF0" w14:textId="77777777" w:rsidR="001D2D27" w:rsidRDefault="001D2D27" w:rsidP="001D2D27">
      <w:r>
        <w:t>From a CBAM perspective, concessional finance can support action across three critical dimensions. First, it can help reduce the cost and risk of adopting low-carbon technologies, thereby lowering emissions intensity and directly reducing CBAM liabilities. Second, it can support investments in MRV systems, data infrastructure, and verification capacity, enabling firms to move away from high default emissions values and better reflect their actual performance—an important factor given evidence that some Egyptian facilities are already relatively competitive on emissions. Third, concessional finance can facilitate system-level investments, including renewable energy integration, grid upgrades, and industrial clustering, which are necessary to enable deep decarbonization at scale.</w:t>
      </w:r>
    </w:p>
    <w:p w14:paraId="42C28495" w14:textId="43531D4A" w:rsidR="001D2D27" w:rsidRDefault="001D2D27" w:rsidP="001D2D27">
      <w:r>
        <w:t>Importantly, concessional finance is most effective when embedded within a coherent policy framework. When combined with measures such as carbon pricing, green public procurement, and industrial standards, it can help crowd in private investment, strengthen market signals, and accelerate technology diffusion. This integrated approach is also critical to addressing the broader macroeconomic implications of CBAM, including the risk of carbon revenue transfers abroad in the absence of domestic policy instruments and the opportunity to retain and recycle such revenues domestically to support industrial transformation. In this way, concessional finance—while limited in volume relative to total investment needs—can play a catalytic role in enabling Egypt’s longer-term transition toward a competitive, low-carbon industrial base in an increasingly carbon-constrained global economy.</w:t>
      </w:r>
    </w:p>
    <w:p w14:paraId="01C92767" w14:textId="578EB73C" w:rsidR="006B605A" w:rsidRPr="00451384" w:rsidRDefault="006B605A" w:rsidP="00815ECA">
      <w:pPr>
        <w:pStyle w:val="Heading1"/>
      </w:pPr>
      <w:bookmarkStart w:id="77" w:name="_Toc234844395"/>
      <w:r>
        <w:t>Conclusion</w:t>
      </w:r>
      <w:bookmarkEnd w:id="77"/>
    </w:p>
    <w:p w14:paraId="3D21E652" w14:textId="68AA6CA2" w:rsidR="00875C50" w:rsidRDefault="00AF1C95" w:rsidP="00AF1C95">
      <w:pPr>
        <w:spacing w:line="240" w:lineRule="auto"/>
        <w:rPr>
          <w:rFonts w:cs="Segoe UI"/>
        </w:rPr>
      </w:pPr>
      <w:r w:rsidRPr="11357084">
        <w:rPr>
          <w:rFonts w:cs="Segoe UI"/>
          <w:b/>
          <w:bCs/>
        </w:rPr>
        <w:t xml:space="preserve">The EU CBAM is expected to significantly affect Egyptian sectors exporting CBAM goods, </w:t>
      </w:r>
      <w:r w:rsidR="1C674781" w:rsidRPr="11357084">
        <w:rPr>
          <w:rFonts w:cs="Segoe UI"/>
          <w:b/>
          <w:bCs/>
        </w:rPr>
        <w:t>some negatively and others positively</w:t>
      </w:r>
      <w:r w:rsidR="513BA777" w:rsidRPr="11357084">
        <w:rPr>
          <w:rFonts w:cs="Segoe UI"/>
        </w:rPr>
        <w:t>.</w:t>
      </w:r>
      <w:commentRangeStart w:id="78"/>
      <w:r w:rsidR="513BA777" w:rsidRPr="11357084">
        <w:rPr>
          <w:rFonts w:cs="Segoe UI"/>
        </w:rPr>
        <w:t xml:space="preserve"> </w:t>
      </w:r>
      <w:commentRangeEnd w:id="78"/>
      <w:r w:rsidR="001D66B9" w:rsidRPr="11357084">
        <w:rPr>
          <w:rStyle w:val="CommentReference"/>
          <w:rFonts w:cs="Segoe UI"/>
          <w:sz w:val="22"/>
          <w:szCs w:val="22"/>
        </w:rPr>
        <w:commentReference w:id="78"/>
      </w:r>
      <w:r w:rsidR="00290B48" w:rsidRPr="11357084">
        <w:rPr>
          <w:rFonts w:cs="Segoe UI"/>
        </w:rPr>
        <w:t xml:space="preserve">Based on the </w:t>
      </w:r>
      <w:r w:rsidR="0086587E">
        <w:rPr>
          <w:rFonts w:cs="Segoe UI"/>
        </w:rPr>
        <w:t xml:space="preserve">assigned </w:t>
      </w:r>
      <w:r w:rsidR="00305A3A">
        <w:rPr>
          <w:rFonts w:cs="Segoe UI"/>
        </w:rPr>
        <w:t>default emission intensit</w:t>
      </w:r>
      <w:r w:rsidR="0086587E">
        <w:rPr>
          <w:rFonts w:cs="Segoe UI"/>
        </w:rPr>
        <w:t xml:space="preserve">ies, </w:t>
      </w:r>
      <w:r w:rsidR="006956F4">
        <w:rPr>
          <w:rFonts w:cs="Segoe UI"/>
        </w:rPr>
        <w:lastRenderedPageBreak/>
        <w:t>CBAM exposure index and CGE modelling</w:t>
      </w:r>
      <w:r w:rsidR="0091170A">
        <w:rPr>
          <w:rFonts w:cs="Segoe UI"/>
        </w:rPr>
        <w:t xml:space="preserve"> indicate </w:t>
      </w:r>
      <w:r w:rsidR="00165EBA">
        <w:rPr>
          <w:rFonts w:cs="Segoe UI"/>
        </w:rPr>
        <w:t xml:space="preserve">the CBAM </w:t>
      </w:r>
      <w:r w:rsidR="513BA777" w:rsidRPr="11357084">
        <w:rPr>
          <w:rFonts w:cs="Segoe UI"/>
        </w:rPr>
        <w:t>will likely decrease</w:t>
      </w:r>
      <w:r w:rsidR="585071E8" w:rsidRPr="11357084">
        <w:rPr>
          <w:rFonts w:cs="Segoe UI"/>
        </w:rPr>
        <w:t xml:space="preserve"> the competitiveness of </w:t>
      </w:r>
      <w:r w:rsidR="007F7F64">
        <w:rPr>
          <w:rFonts w:cs="Segoe UI"/>
        </w:rPr>
        <w:t xml:space="preserve">iron and steel </w:t>
      </w:r>
      <w:r w:rsidR="7153D510" w:rsidRPr="11357084">
        <w:rPr>
          <w:rFonts w:cs="Segoe UI"/>
        </w:rPr>
        <w:t xml:space="preserve">exports in the </w:t>
      </w:r>
      <w:r w:rsidR="57A3EC71" w:rsidRPr="11357084">
        <w:rPr>
          <w:rFonts w:cs="Segoe UI"/>
        </w:rPr>
        <w:t>EU market</w:t>
      </w:r>
      <w:r w:rsidRPr="11357084">
        <w:rPr>
          <w:rFonts w:cs="Segoe UI"/>
        </w:rPr>
        <w:t xml:space="preserve"> </w:t>
      </w:r>
      <w:r w:rsidR="42BE5C92" w:rsidRPr="11357084">
        <w:rPr>
          <w:rFonts w:cs="Segoe UI"/>
        </w:rPr>
        <w:t>because</w:t>
      </w:r>
      <w:r w:rsidRPr="11357084">
        <w:rPr>
          <w:rFonts w:cs="Segoe UI"/>
        </w:rPr>
        <w:t xml:space="preserve"> their high </w:t>
      </w:r>
      <w:r w:rsidR="00B960EA">
        <w:rPr>
          <w:rFonts w:cs="Segoe UI"/>
        </w:rPr>
        <w:t>default values</w:t>
      </w:r>
      <w:r w:rsidR="42BE5C92" w:rsidRPr="11357084">
        <w:rPr>
          <w:rFonts w:cs="Segoe UI"/>
        </w:rPr>
        <w:t xml:space="preserve"> will</w:t>
      </w:r>
      <w:r w:rsidR="55CCF316" w:rsidRPr="11357084">
        <w:rPr>
          <w:rFonts w:cs="Segoe UI"/>
        </w:rPr>
        <w:t xml:space="preserve"> imply </w:t>
      </w:r>
      <w:r w:rsidR="42BE5C92" w:rsidRPr="11357084">
        <w:rPr>
          <w:rFonts w:cs="Segoe UI"/>
        </w:rPr>
        <w:t>high</w:t>
      </w:r>
      <w:r w:rsidR="55CCF316" w:rsidRPr="11357084">
        <w:rPr>
          <w:rFonts w:cs="Segoe UI"/>
        </w:rPr>
        <w:t xml:space="preserve"> CBAM </w:t>
      </w:r>
      <w:r w:rsidR="526F381B" w:rsidRPr="11357084">
        <w:rPr>
          <w:rFonts w:cs="Segoe UI"/>
        </w:rPr>
        <w:t>fees</w:t>
      </w:r>
      <w:r w:rsidR="57A3EC71" w:rsidRPr="11357084">
        <w:rPr>
          <w:rFonts w:cs="Segoe UI"/>
        </w:rPr>
        <w:t xml:space="preserve">, </w:t>
      </w:r>
      <w:r w:rsidR="31ED812D" w:rsidRPr="11357084">
        <w:rPr>
          <w:rFonts w:cs="Segoe UI"/>
        </w:rPr>
        <w:t>but</w:t>
      </w:r>
      <w:r w:rsidR="5A2D15B3" w:rsidRPr="11357084">
        <w:rPr>
          <w:rFonts w:cs="Segoe UI"/>
        </w:rPr>
        <w:t xml:space="preserve"> it </w:t>
      </w:r>
      <w:r w:rsidR="0C80E848" w:rsidRPr="11357084">
        <w:rPr>
          <w:rFonts w:cs="Segoe UI"/>
        </w:rPr>
        <w:t xml:space="preserve">could </w:t>
      </w:r>
      <w:r w:rsidR="31ED812D" w:rsidRPr="11357084">
        <w:rPr>
          <w:rFonts w:cs="Segoe UI"/>
        </w:rPr>
        <w:t xml:space="preserve">also </w:t>
      </w:r>
      <w:r w:rsidR="00B33E2F">
        <w:rPr>
          <w:rFonts w:cs="Segoe UI"/>
        </w:rPr>
        <w:t xml:space="preserve">increase </w:t>
      </w:r>
      <w:r w:rsidR="00BE4666">
        <w:rPr>
          <w:rFonts w:cs="Segoe UI"/>
        </w:rPr>
        <w:t xml:space="preserve">EU </w:t>
      </w:r>
      <w:r w:rsidR="00B33E2F">
        <w:rPr>
          <w:rFonts w:cs="Segoe UI"/>
        </w:rPr>
        <w:t xml:space="preserve">market access for </w:t>
      </w:r>
      <w:r w:rsidR="00CE264B">
        <w:rPr>
          <w:rFonts w:cs="Segoe UI"/>
        </w:rPr>
        <w:t>fertilizer</w:t>
      </w:r>
      <w:r w:rsidR="00CE264B" w:rsidRPr="11357084">
        <w:rPr>
          <w:rFonts w:cs="Segoe UI"/>
        </w:rPr>
        <w:t xml:space="preserve"> </w:t>
      </w:r>
      <w:r w:rsidR="394E784C" w:rsidRPr="11357084">
        <w:rPr>
          <w:rFonts w:cs="Segoe UI"/>
        </w:rPr>
        <w:t>exports</w:t>
      </w:r>
      <w:r w:rsidR="31ED812D" w:rsidRPr="11357084">
        <w:rPr>
          <w:rFonts w:cs="Segoe UI"/>
        </w:rPr>
        <w:t xml:space="preserve"> </w:t>
      </w:r>
      <w:r w:rsidR="00B33E2F">
        <w:rPr>
          <w:rFonts w:cs="Segoe UI"/>
        </w:rPr>
        <w:t>as their emission intensity is similar to that of EU producers</w:t>
      </w:r>
      <w:r w:rsidR="7E2712F1" w:rsidRPr="11357084">
        <w:rPr>
          <w:rFonts w:cs="Segoe UI"/>
        </w:rPr>
        <w:t xml:space="preserve">, </w:t>
      </w:r>
      <w:r w:rsidR="009F463F">
        <w:rPr>
          <w:rFonts w:cs="Segoe UI"/>
        </w:rPr>
        <w:t>and they may</w:t>
      </w:r>
      <w:r w:rsidR="00AC4C39">
        <w:rPr>
          <w:rFonts w:cs="Segoe UI"/>
        </w:rPr>
        <w:t xml:space="preserve"> benefit from downward pressure on natural gas prices from reduced global demand. Third party</w:t>
      </w:r>
      <w:r w:rsidR="00AC4C39" w:rsidRPr="11357084">
        <w:rPr>
          <w:rFonts w:cs="Segoe UI"/>
        </w:rPr>
        <w:t xml:space="preserve"> data</w:t>
      </w:r>
      <w:r w:rsidR="001E1B1A">
        <w:rPr>
          <w:rFonts w:cs="Segoe UI"/>
        </w:rPr>
        <w:t xml:space="preserve"> </w:t>
      </w:r>
      <w:r w:rsidR="00C52B8D">
        <w:rPr>
          <w:rFonts w:cs="Segoe UI"/>
        </w:rPr>
        <w:t xml:space="preserve">confirm </w:t>
      </w:r>
      <w:r w:rsidR="00F8040B">
        <w:rPr>
          <w:rFonts w:cs="Segoe UI"/>
        </w:rPr>
        <w:t xml:space="preserve">that Egyptian </w:t>
      </w:r>
      <w:r w:rsidR="001E1B1A">
        <w:rPr>
          <w:rFonts w:cs="Segoe UI"/>
        </w:rPr>
        <w:t>facilities in CBAM</w:t>
      </w:r>
      <w:r w:rsidR="00B83025">
        <w:rPr>
          <w:rFonts w:cs="Segoe UI"/>
        </w:rPr>
        <w:t xml:space="preserve"> sectors </w:t>
      </w:r>
      <w:r w:rsidR="00D6716B">
        <w:rPr>
          <w:rFonts w:cs="Segoe UI"/>
        </w:rPr>
        <w:t>have emissions profiles</w:t>
      </w:r>
      <w:r w:rsidR="00393A18">
        <w:rPr>
          <w:rFonts w:cs="Segoe UI"/>
        </w:rPr>
        <w:t xml:space="preserve"> similar to global peers</w:t>
      </w:r>
      <w:r w:rsidR="003F26D8">
        <w:rPr>
          <w:rFonts w:cs="Segoe UI"/>
        </w:rPr>
        <w:t xml:space="preserve">, so should </w:t>
      </w:r>
      <w:r w:rsidR="00EA3FD5">
        <w:rPr>
          <w:rFonts w:cs="Segoe UI"/>
        </w:rPr>
        <w:t xml:space="preserve">be able to </w:t>
      </w:r>
      <w:r w:rsidR="003F26D8">
        <w:rPr>
          <w:rFonts w:cs="Segoe UI"/>
        </w:rPr>
        <w:t>remain competitive,</w:t>
      </w:r>
      <w:r w:rsidR="00393A18">
        <w:rPr>
          <w:rFonts w:cs="Segoe UI"/>
        </w:rPr>
        <w:t xml:space="preserve"> and </w:t>
      </w:r>
      <w:r w:rsidR="00125938">
        <w:rPr>
          <w:rFonts w:cs="Segoe UI"/>
        </w:rPr>
        <w:t xml:space="preserve">major </w:t>
      </w:r>
      <w:r w:rsidR="00370507">
        <w:rPr>
          <w:rFonts w:cs="Segoe UI"/>
        </w:rPr>
        <w:t xml:space="preserve">Egyptian steel producers </w:t>
      </w:r>
      <w:r w:rsidR="00393A18">
        <w:rPr>
          <w:rFonts w:cs="Segoe UI"/>
        </w:rPr>
        <w:t xml:space="preserve">are even </w:t>
      </w:r>
      <w:r w:rsidR="00370507">
        <w:rPr>
          <w:rFonts w:cs="Segoe UI"/>
        </w:rPr>
        <w:t xml:space="preserve">less </w:t>
      </w:r>
      <w:r w:rsidR="003F26D8">
        <w:rPr>
          <w:rFonts w:cs="Segoe UI"/>
        </w:rPr>
        <w:t>carbon</w:t>
      </w:r>
      <w:r w:rsidR="00370507">
        <w:rPr>
          <w:rFonts w:cs="Segoe UI"/>
        </w:rPr>
        <w:t xml:space="preserve"> intensive than</w:t>
      </w:r>
      <w:r w:rsidR="000A121F">
        <w:rPr>
          <w:rFonts w:cs="Segoe UI"/>
        </w:rPr>
        <w:t xml:space="preserve"> EU competitors</w:t>
      </w:r>
      <w:r w:rsidR="00AC4C39" w:rsidRPr="11357084">
        <w:rPr>
          <w:rFonts w:cs="Segoe UI"/>
        </w:rPr>
        <w:t xml:space="preserve">, </w:t>
      </w:r>
      <w:r w:rsidR="000261B8">
        <w:rPr>
          <w:rFonts w:cs="Segoe UI"/>
        </w:rPr>
        <w:t xml:space="preserve">meaning </w:t>
      </w:r>
      <w:r w:rsidR="00125938">
        <w:rPr>
          <w:rFonts w:cs="Segoe UI"/>
        </w:rPr>
        <w:t>they may actually gain competitiveness on EU markets under the CBAM—</w:t>
      </w:r>
      <w:r w:rsidR="7E2712F1" w:rsidRPr="11357084">
        <w:rPr>
          <w:rFonts w:cs="Segoe UI"/>
        </w:rPr>
        <w:t xml:space="preserve">assuming </w:t>
      </w:r>
      <w:r w:rsidR="00124036">
        <w:rPr>
          <w:rFonts w:cs="Segoe UI"/>
        </w:rPr>
        <w:t xml:space="preserve">the </w:t>
      </w:r>
      <w:r w:rsidR="7E2712F1" w:rsidRPr="11357084">
        <w:rPr>
          <w:rFonts w:cs="Segoe UI"/>
        </w:rPr>
        <w:t xml:space="preserve">facilities are able to </w:t>
      </w:r>
      <w:r w:rsidR="00EB7B26">
        <w:rPr>
          <w:rFonts w:cs="Segoe UI"/>
        </w:rPr>
        <w:t xml:space="preserve">report and verify </w:t>
      </w:r>
      <w:r w:rsidR="7E2712F1" w:rsidRPr="11357084">
        <w:rPr>
          <w:rFonts w:cs="Segoe UI"/>
        </w:rPr>
        <w:t>their emissions</w:t>
      </w:r>
      <w:r w:rsidR="394E784C" w:rsidRPr="11357084">
        <w:rPr>
          <w:rFonts w:cs="Segoe UI"/>
        </w:rPr>
        <w:t>.</w:t>
      </w:r>
      <w:r w:rsidR="6437E2F5" w:rsidRPr="11357084">
        <w:rPr>
          <w:rFonts w:cs="Segoe UI"/>
        </w:rPr>
        <w:t xml:space="preserve"> If that is not the case, facilities will be subject to </w:t>
      </w:r>
      <w:r w:rsidR="00622072">
        <w:rPr>
          <w:rFonts w:cs="Segoe UI"/>
        </w:rPr>
        <w:t xml:space="preserve">disadvantageous </w:t>
      </w:r>
      <w:r w:rsidR="6437E2F5" w:rsidRPr="11357084">
        <w:rPr>
          <w:rFonts w:cs="Segoe UI"/>
        </w:rPr>
        <w:t xml:space="preserve">default values </w:t>
      </w:r>
      <w:r w:rsidR="3FF1C147" w:rsidRPr="11357084">
        <w:rPr>
          <w:rFonts w:cs="Segoe UI"/>
        </w:rPr>
        <w:t>set by the EU.</w:t>
      </w:r>
      <w:r w:rsidR="394E784C" w:rsidRPr="11357084">
        <w:rPr>
          <w:rFonts w:cs="Segoe UI"/>
        </w:rPr>
        <w:t xml:space="preserve"> </w:t>
      </w:r>
      <w:r w:rsidR="007202A7">
        <w:rPr>
          <w:rFonts w:cs="Segoe UI"/>
        </w:rPr>
        <w:t>Given that many more firms are engaged in CBAM product trade than have major primary manufacturing facil</w:t>
      </w:r>
      <w:r w:rsidR="00C816F3">
        <w:rPr>
          <w:rFonts w:cs="Segoe UI"/>
        </w:rPr>
        <w:t>i</w:t>
      </w:r>
      <w:r w:rsidR="007202A7">
        <w:rPr>
          <w:rFonts w:cs="Segoe UI"/>
        </w:rPr>
        <w:t>ties, t</w:t>
      </w:r>
      <w:r w:rsidR="00436104">
        <w:rPr>
          <w:rFonts w:cs="Segoe UI"/>
        </w:rPr>
        <w:t>he bigger question</w:t>
      </w:r>
      <w:r w:rsidR="00E81AC8">
        <w:rPr>
          <w:rFonts w:cs="Segoe UI"/>
        </w:rPr>
        <w:t xml:space="preserve"> regards smaller downstream producers of covered metal product</w:t>
      </w:r>
      <w:r w:rsidR="007202A7">
        <w:rPr>
          <w:rFonts w:cs="Segoe UI"/>
        </w:rPr>
        <w:t>s</w:t>
      </w:r>
      <w:r w:rsidR="00C816F3">
        <w:rPr>
          <w:rFonts w:cs="Segoe UI"/>
        </w:rPr>
        <w:t xml:space="preserve"> and whether they will be able to cost-effectively report their emissions and those of</w:t>
      </w:r>
      <w:r w:rsidR="005A6B6E">
        <w:rPr>
          <w:rFonts w:cs="Segoe UI"/>
        </w:rPr>
        <w:t xml:space="preserve"> the precursor inputs</w:t>
      </w:r>
      <w:r w:rsidR="00A20531">
        <w:rPr>
          <w:rFonts w:cs="Segoe UI"/>
        </w:rPr>
        <w:t>.</w:t>
      </w:r>
      <w:r w:rsidR="005E0FFD">
        <w:rPr>
          <w:rFonts w:cs="Segoe UI"/>
        </w:rPr>
        <w:t xml:space="preserve"> </w:t>
      </w:r>
      <w:r w:rsidR="394E784C" w:rsidRPr="11357084">
        <w:rPr>
          <w:rFonts w:cs="Segoe UI"/>
        </w:rPr>
        <w:t xml:space="preserve"> </w:t>
      </w:r>
    </w:p>
    <w:p w14:paraId="03C0E6EC" w14:textId="29235D9F" w:rsidR="001E46A6" w:rsidRDefault="008B364D" w:rsidP="00990F60">
      <w:pPr>
        <w:spacing w:line="278" w:lineRule="auto"/>
        <w:rPr>
          <w:rFonts w:cs="Segoe UI"/>
          <w:szCs w:val="20"/>
        </w:rPr>
      </w:pPr>
      <w:r>
        <w:rPr>
          <w:rFonts w:cs="Segoe UI"/>
          <w:b/>
          <w:bCs/>
        </w:rPr>
        <w:t xml:space="preserve">While </w:t>
      </w:r>
      <w:r w:rsidR="009E37E5">
        <w:rPr>
          <w:rFonts w:cs="Segoe UI"/>
          <w:b/>
          <w:bCs/>
        </w:rPr>
        <w:t xml:space="preserve">CBAM </w:t>
      </w:r>
      <w:r>
        <w:rPr>
          <w:rFonts w:cs="Segoe UI"/>
          <w:b/>
          <w:bCs/>
        </w:rPr>
        <w:t xml:space="preserve">may have significant </w:t>
      </w:r>
      <w:r w:rsidR="00477DCF">
        <w:rPr>
          <w:rFonts w:cs="Segoe UI"/>
          <w:b/>
          <w:bCs/>
        </w:rPr>
        <w:t xml:space="preserve">implications for </w:t>
      </w:r>
      <w:r w:rsidR="009E37E5">
        <w:rPr>
          <w:rFonts w:cs="Segoe UI"/>
          <w:b/>
          <w:bCs/>
        </w:rPr>
        <w:t xml:space="preserve">particular </w:t>
      </w:r>
      <w:r w:rsidR="00893B8B">
        <w:rPr>
          <w:rFonts w:cs="Segoe UI"/>
          <w:b/>
          <w:bCs/>
        </w:rPr>
        <w:t xml:space="preserve">firms in </w:t>
      </w:r>
      <w:r w:rsidR="009E37E5">
        <w:rPr>
          <w:rFonts w:cs="Segoe UI"/>
          <w:b/>
          <w:bCs/>
        </w:rPr>
        <w:t xml:space="preserve">the affected </w:t>
      </w:r>
      <w:r w:rsidR="00DB7995">
        <w:rPr>
          <w:rFonts w:cs="Segoe UI"/>
          <w:b/>
          <w:bCs/>
        </w:rPr>
        <w:t>sectors</w:t>
      </w:r>
      <w:r w:rsidR="00DC0A15" w:rsidRPr="00EC7D7C">
        <w:rPr>
          <w:rFonts w:cs="Segoe UI"/>
          <w:b/>
          <w:bCs/>
        </w:rPr>
        <w:t>,</w:t>
      </w:r>
      <w:r w:rsidR="00DB7995">
        <w:rPr>
          <w:rFonts w:cs="Segoe UI"/>
          <w:b/>
          <w:bCs/>
        </w:rPr>
        <w:t xml:space="preserve"> </w:t>
      </w:r>
      <w:r w:rsidR="00DC0A15" w:rsidRPr="00EC7D7C">
        <w:rPr>
          <w:rFonts w:cs="Segoe UI"/>
          <w:b/>
          <w:bCs/>
        </w:rPr>
        <w:t>the</w:t>
      </w:r>
      <w:r w:rsidR="00AF1C95" w:rsidRPr="00EC7D7C">
        <w:rPr>
          <w:rFonts w:cs="Segoe UI"/>
          <w:b/>
        </w:rPr>
        <w:t xml:space="preserve"> overall impact on Egypt's economy is expected to be </w:t>
      </w:r>
      <w:r w:rsidR="00C31E8B">
        <w:rPr>
          <w:rFonts w:cs="Segoe UI"/>
          <w:b/>
        </w:rPr>
        <w:t>limited</w:t>
      </w:r>
      <w:r w:rsidR="00DC0A15">
        <w:rPr>
          <w:rFonts w:cs="Segoe UI"/>
        </w:rPr>
        <w:t xml:space="preserve">. </w:t>
      </w:r>
      <w:r w:rsidR="007474C6">
        <w:rPr>
          <w:rFonts w:cs="Segoe UI"/>
        </w:rPr>
        <w:t xml:space="preserve">First, </w:t>
      </w:r>
      <w:r w:rsidR="00903875">
        <w:rPr>
          <w:rFonts w:cs="Segoe UI"/>
        </w:rPr>
        <w:t>w</w:t>
      </w:r>
      <w:r w:rsidR="00990F60" w:rsidRPr="00990F60">
        <w:rPr>
          <w:rFonts w:cs="Segoe UI"/>
        </w:rPr>
        <w:t xml:space="preserve">ith current trade patterns, </w:t>
      </w:r>
      <w:r w:rsidR="00903875">
        <w:rPr>
          <w:rFonts w:cs="Segoe UI"/>
        </w:rPr>
        <w:t xml:space="preserve">the </w:t>
      </w:r>
      <w:r w:rsidR="00990F60" w:rsidRPr="00990F60">
        <w:rPr>
          <w:rFonts w:cs="Segoe UI"/>
        </w:rPr>
        <w:t>total value of CBAM certificates</w:t>
      </w:r>
      <w:r w:rsidR="00394AF5">
        <w:rPr>
          <w:rFonts w:cs="Segoe UI"/>
        </w:rPr>
        <w:t xml:space="preserve"> in play</w:t>
      </w:r>
      <w:r w:rsidR="00A51715">
        <w:rPr>
          <w:rFonts w:cs="Segoe UI"/>
        </w:rPr>
        <w:t xml:space="preserve"> would amount to roughly </w:t>
      </w:r>
      <w:r w:rsidR="00990F60" w:rsidRPr="00990F60">
        <w:rPr>
          <w:rFonts w:cs="Segoe UI"/>
        </w:rPr>
        <w:t>0.2</w:t>
      </w:r>
      <w:r w:rsidR="007D02C4">
        <w:rPr>
          <w:rFonts w:cs="Segoe UI"/>
        </w:rPr>
        <w:t>8</w:t>
      </w:r>
      <w:r w:rsidR="00990F60" w:rsidRPr="00990F60">
        <w:rPr>
          <w:rFonts w:cs="Segoe UI"/>
        </w:rPr>
        <w:t xml:space="preserve">% of Egyptian GDP </w:t>
      </w:r>
      <w:r w:rsidR="00A51715" w:rsidRPr="00990F60">
        <w:rPr>
          <w:rFonts w:cs="Segoe UI"/>
        </w:rPr>
        <w:t>when fully phased in</w:t>
      </w:r>
      <w:r w:rsidR="00A51715">
        <w:rPr>
          <w:rFonts w:cs="Segoe UI"/>
        </w:rPr>
        <w:t xml:space="preserve">. </w:t>
      </w:r>
      <w:r w:rsidR="00994037">
        <w:rPr>
          <w:rFonts w:cs="Segoe UI"/>
        </w:rPr>
        <w:t>Second, the e</w:t>
      </w:r>
      <w:r w:rsidR="00990F60" w:rsidRPr="00990F60">
        <w:rPr>
          <w:rFonts w:cs="Segoe UI"/>
        </w:rPr>
        <w:t xml:space="preserve">xcess carbon payments (above average EU producer costs) </w:t>
      </w:r>
      <w:r w:rsidR="00994037">
        <w:rPr>
          <w:rFonts w:cs="Segoe UI"/>
        </w:rPr>
        <w:t xml:space="preserve">would equal only </w:t>
      </w:r>
      <w:r w:rsidR="00990F60" w:rsidRPr="00990F60">
        <w:rPr>
          <w:rFonts w:cs="Segoe UI"/>
        </w:rPr>
        <w:t>0.01% of GDP (and may be negative if Egyptian producers can document them)</w:t>
      </w:r>
      <w:r w:rsidR="00394AF5">
        <w:rPr>
          <w:rFonts w:cs="Segoe UI"/>
        </w:rPr>
        <w:t xml:space="preserve">. </w:t>
      </w:r>
      <w:r w:rsidR="00AA50A1">
        <w:rPr>
          <w:rFonts w:cs="Segoe UI"/>
        </w:rPr>
        <w:t>Third, the larger macroeconomic effects</w:t>
      </w:r>
      <w:r w:rsidR="005724BD">
        <w:rPr>
          <w:rFonts w:cs="Segoe UI"/>
        </w:rPr>
        <w:t xml:space="preserve"> may arise from the global implementation, particularly through c</w:t>
      </w:r>
      <w:r w:rsidR="00990F60" w:rsidRPr="00990F60">
        <w:rPr>
          <w:rFonts w:cs="Segoe UI"/>
        </w:rPr>
        <w:t xml:space="preserve">hanges in global fossil fuel </w:t>
      </w:r>
      <w:r w:rsidR="00F625CD">
        <w:rPr>
          <w:rFonts w:cs="Segoe UI"/>
        </w:rPr>
        <w:t xml:space="preserve">prices, but these </w:t>
      </w:r>
      <w:r w:rsidR="00990F60" w:rsidRPr="00990F60">
        <w:rPr>
          <w:rFonts w:cs="Segoe UI"/>
        </w:rPr>
        <w:t xml:space="preserve">markets </w:t>
      </w:r>
      <w:r w:rsidR="00F625CD">
        <w:rPr>
          <w:rFonts w:cs="Segoe UI"/>
        </w:rPr>
        <w:t xml:space="preserve">are expected to </w:t>
      </w:r>
      <w:r w:rsidR="00990F60" w:rsidRPr="00990F60">
        <w:rPr>
          <w:rFonts w:cs="Segoe UI"/>
        </w:rPr>
        <w:t>have stronger impacts on other countries</w:t>
      </w:r>
      <w:r w:rsidR="00F625CD">
        <w:rPr>
          <w:rFonts w:cs="Segoe UI"/>
        </w:rPr>
        <w:t xml:space="preserve">, since Egypt is </w:t>
      </w:r>
      <w:r w:rsidR="00F34B11">
        <w:rPr>
          <w:rFonts w:cs="Segoe UI"/>
        </w:rPr>
        <w:t>no longer</w:t>
      </w:r>
      <w:r w:rsidR="00F37919">
        <w:rPr>
          <w:rFonts w:cs="Segoe UI"/>
        </w:rPr>
        <w:t xml:space="preserve"> a significant net exporter of oil and gas. </w:t>
      </w:r>
      <w:r w:rsidR="007B2538">
        <w:rPr>
          <w:rFonts w:cs="Segoe UI"/>
        </w:rPr>
        <w:t>The other factor is that</w:t>
      </w:r>
      <w:r w:rsidR="00AE0E94">
        <w:rPr>
          <w:rFonts w:cs="Segoe UI"/>
        </w:rPr>
        <w:t xml:space="preserve"> r</w:t>
      </w:r>
      <w:r w:rsidR="00990F60" w:rsidRPr="00990F60">
        <w:rPr>
          <w:rFonts w:cs="Segoe UI"/>
        </w:rPr>
        <w:t xml:space="preserve">eliance on Europe </w:t>
      </w:r>
      <w:r w:rsidR="00AE0E94">
        <w:rPr>
          <w:rFonts w:cs="Segoe UI"/>
        </w:rPr>
        <w:t xml:space="preserve">as a trade partner </w:t>
      </w:r>
      <w:r w:rsidR="00990F60" w:rsidRPr="00990F60">
        <w:rPr>
          <w:rFonts w:cs="Segoe UI"/>
        </w:rPr>
        <w:t xml:space="preserve">means </w:t>
      </w:r>
      <w:r w:rsidR="00AE0E94">
        <w:rPr>
          <w:rFonts w:cs="Segoe UI"/>
        </w:rPr>
        <w:t xml:space="preserve">stronger </w:t>
      </w:r>
      <w:r w:rsidR="00990F60" w:rsidRPr="00990F60">
        <w:rPr>
          <w:rFonts w:cs="Segoe UI"/>
        </w:rPr>
        <w:t>ties to their</w:t>
      </w:r>
      <w:r w:rsidR="00AE0E94">
        <w:rPr>
          <w:rFonts w:cs="Segoe UI"/>
        </w:rPr>
        <w:t xml:space="preserve"> own</w:t>
      </w:r>
      <w:r w:rsidR="00990F60" w:rsidRPr="00990F60">
        <w:rPr>
          <w:rFonts w:cs="Segoe UI"/>
        </w:rPr>
        <w:t xml:space="preserve"> economic outcomes</w:t>
      </w:r>
      <w:r w:rsidR="00AE0E94">
        <w:rPr>
          <w:rFonts w:cs="Segoe UI"/>
        </w:rPr>
        <w:t>; to the extent that the</w:t>
      </w:r>
      <w:r w:rsidR="003371DC">
        <w:rPr>
          <w:rFonts w:cs="Segoe UI"/>
        </w:rPr>
        <w:t xml:space="preserve"> EU’s climate policy reforms with CBAM decrease European</w:t>
      </w:r>
      <w:r w:rsidR="00B538AE">
        <w:rPr>
          <w:rFonts w:cs="Segoe UI"/>
        </w:rPr>
        <w:t xml:space="preserve"> economic output, that may drive some decreased demand for </w:t>
      </w:r>
      <w:r w:rsidR="000311B6">
        <w:rPr>
          <w:rFonts w:cs="Segoe UI"/>
        </w:rPr>
        <w:t xml:space="preserve">imports from </w:t>
      </w:r>
      <w:r w:rsidR="00B538AE">
        <w:rPr>
          <w:rFonts w:cs="Segoe UI"/>
        </w:rPr>
        <w:t>Egypt</w:t>
      </w:r>
      <w:r w:rsidR="000311B6">
        <w:rPr>
          <w:rFonts w:cs="Segoe UI"/>
        </w:rPr>
        <w:t xml:space="preserve">. </w:t>
      </w:r>
      <w:r w:rsidR="00BF003D">
        <w:rPr>
          <w:rFonts w:cs="Segoe UI"/>
        </w:rPr>
        <w:t>The reason for this is that the value of affected</w:t>
      </w:r>
      <w:r w:rsidR="00AF1C95" w:rsidRPr="00AF1C95">
        <w:rPr>
          <w:rFonts w:cs="Segoe UI"/>
        </w:rPr>
        <w:t xml:space="preserve"> exports </w:t>
      </w:r>
      <w:r w:rsidR="00BF003D">
        <w:rPr>
          <w:rFonts w:cs="Segoe UI"/>
        </w:rPr>
        <w:t xml:space="preserve">to the EU </w:t>
      </w:r>
      <w:r w:rsidR="00AF1C95" w:rsidRPr="00AF1C95">
        <w:rPr>
          <w:rFonts w:cs="Segoe UI"/>
        </w:rPr>
        <w:t>represent</w:t>
      </w:r>
      <w:r w:rsidR="00BF003D">
        <w:rPr>
          <w:rFonts w:cs="Segoe UI"/>
        </w:rPr>
        <w:t>s</w:t>
      </w:r>
      <w:r w:rsidR="00AF1C95" w:rsidRPr="00AF1C95">
        <w:rPr>
          <w:rFonts w:cs="Segoe UI"/>
        </w:rPr>
        <w:t xml:space="preserve"> only 0.7% of GDP. </w:t>
      </w:r>
      <w:r w:rsidR="002034A8" w:rsidRPr="002034A8">
        <w:rPr>
          <w:rFonts w:cs="Segoe UI"/>
        </w:rPr>
        <w:t>According to the CGE modeling, t</w:t>
      </w:r>
      <w:r w:rsidR="007E2EF6" w:rsidRPr="000D3921">
        <w:rPr>
          <w:rFonts w:eastAsia="Aptos" w:cs="Segoe UI"/>
          <w:szCs w:val="20"/>
        </w:rPr>
        <w:t xml:space="preserve">he </w:t>
      </w:r>
      <w:r w:rsidR="00C9105B">
        <w:rPr>
          <w:rFonts w:eastAsia="Aptos" w:cs="Segoe UI"/>
          <w:szCs w:val="20"/>
        </w:rPr>
        <w:t xml:space="preserve">overall </w:t>
      </w:r>
      <w:r w:rsidR="007E2EF6" w:rsidRPr="000D3921">
        <w:rPr>
          <w:rFonts w:eastAsia="Aptos" w:cs="Segoe UI"/>
          <w:szCs w:val="20"/>
        </w:rPr>
        <w:t xml:space="preserve">impact of CBAM on Egypt’s GDP is </w:t>
      </w:r>
      <w:r w:rsidR="00C9105B">
        <w:rPr>
          <w:rFonts w:eastAsia="Aptos" w:cs="Segoe UI"/>
          <w:szCs w:val="20"/>
        </w:rPr>
        <w:t xml:space="preserve">a </w:t>
      </w:r>
      <w:r w:rsidR="00835C8C" w:rsidRPr="00835C8C">
        <w:rPr>
          <w:rFonts w:eastAsia="Aptos" w:cs="Segoe UI"/>
          <w:szCs w:val="20"/>
        </w:rPr>
        <w:t>roughly 0.2% decrease in Egyptian GDP</w:t>
      </w:r>
      <w:r w:rsidR="002034A8" w:rsidRPr="002034A8">
        <w:rPr>
          <w:rFonts w:cs="Segoe UI"/>
          <w:szCs w:val="20"/>
        </w:rPr>
        <w:t>.</w:t>
      </w:r>
    </w:p>
    <w:p w14:paraId="1E706635" w14:textId="147DA063" w:rsidR="00DB7995" w:rsidRDefault="00DB7995" w:rsidP="00DB7995">
      <w:commentRangeStart w:id="79"/>
      <w:r w:rsidRPr="00EC7D7C">
        <w:rPr>
          <w:rFonts w:cs="Segoe UI"/>
          <w:b/>
          <w:bCs/>
        </w:rPr>
        <w:t>Implementing a domestic</w:t>
      </w:r>
      <w:r>
        <w:rPr>
          <w:rFonts w:cs="Segoe UI"/>
          <w:b/>
        </w:rPr>
        <w:t xml:space="preserve"> carbon price mechanism </w:t>
      </w:r>
      <w:r w:rsidRPr="00EC7D7C">
        <w:rPr>
          <w:rFonts w:cs="Segoe UI"/>
          <w:b/>
          <w:bCs/>
        </w:rPr>
        <w:t xml:space="preserve">in Egypt </w:t>
      </w:r>
      <w:commentRangeEnd w:id="79"/>
      <w:r w:rsidR="005245E6" w:rsidRPr="00EC7D7C">
        <w:rPr>
          <w:rStyle w:val="CommentReference"/>
          <w:rFonts w:cs="Segoe UI"/>
          <w:b/>
          <w:bCs/>
          <w:sz w:val="22"/>
          <w:szCs w:val="22"/>
        </w:rPr>
        <w:commentReference w:id="79"/>
      </w:r>
      <w:r w:rsidRPr="00EC7D7C">
        <w:rPr>
          <w:rFonts w:cs="Segoe UI"/>
          <w:b/>
          <w:bCs/>
        </w:rPr>
        <w:t>would</w:t>
      </w:r>
      <w:r>
        <w:rPr>
          <w:rFonts w:cs="Segoe UI"/>
          <w:b/>
        </w:rPr>
        <w:t xml:space="preserve"> </w:t>
      </w:r>
      <w:r w:rsidRPr="00EC7D7C">
        <w:rPr>
          <w:rFonts w:cs="Segoe UI"/>
          <w:b/>
          <w:bCs/>
        </w:rPr>
        <w:t xml:space="preserve">enable </w:t>
      </w:r>
      <w:r>
        <w:rPr>
          <w:rFonts w:cs="Segoe UI"/>
          <w:b/>
          <w:bCs/>
        </w:rPr>
        <w:t xml:space="preserve">it </w:t>
      </w:r>
      <w:r w:rsidRPr="00EC7D7C">
        <w:rPr>
          <w:rFonts w:cs="Segoe UI"/>
          <w:b/>
          <w:bCs/>
        </w:rPr>
        <w:t>to retain domestically a sizeable amount of carbon payments that would otherwise be paid to the EU</w:t>
      </w:r>
      <w:r>
        <w:rPr>
          <w:rFonts w:cs="Segoe UI"/>
        </w:rPr>
        <w:t>.</w:t>
      </w:r>
      <w:r w:rsidRPr="00AF1C95">
        <w:rPr>
          <w:rFonts w:cs="Segoe UI"/>
        </w:rPr>
        <w:t xml:space="preserve"> </w:t>
      </w:r>
      <w:r>
        <w:t>E</w:t>
      </w:r>
      <w:r w:rsidRPr="00ED3A93">
        <w:t>stimates based on historical export and tax revenue data suggest that</w:t>
      </w:r>
      <w:r>
        <w:t xml:space="preserve">, in the absence of a domestic carbon </w:t>
      </w:r>
      <w:r w:rsidR="00861495">
        <w:t>price</w:t>
      </w:r>
      <w:r>
        <w:t>,</w:t>
      </w:r>
      <w:r w:rsidRPr="00ED3A93">
        <w:t xml:space="preserve"> </w:t>
      </w:r>
      <w:r>
        <w:t xml:space="preserve">importers of </w:t>
      </w:r>
      <w:r w:rsidRPr="00ED3A93">
        <w:t xml:space="preserve">Egyptian </w:t>
      </w:r>
      <w:r>
        <w:t>CBAM affected products</w:t>
      </w:r>
      <w:r w:rsidRPr="00ED3A93">
        <w:t xml:space="preserve"> could </w:t>
      </w:r>
      <w:r>
        <w:t>transfer carbon revenue</w:t>
      </w:r>
      <w:r w:rsidRPr="00ED3A93">
        <w:t xml:space="preserve"> in the order of USD </w:t>
      </w:r>
      <w:r>
        <w:t>200-4</w:t>
      </w:r>
      <w:r w:rsidRPr="00ED3A93">
        <w:t xml:space="preserve">00 million per year to the EU by 2034. </w:t>
      </w:r>
      <w:r w:rsidR="005E18C0">
        <w:t>While a high price on emissions embedded in CBAM goods would be needed to retain all of these values, t</w:t>
      </w:r>
      <w:r w:rsidR="00A12AD5">
        <w:t>he opportunity to reduce CBAM obligations</w:t>
      </w:r>
      <w:r w:rsidR="000536CC">
        <w:t xml:space="preserve"> via domestic carbon pricing in effect lowers the cost of </w:t>
      </w:r>
      <w:r w:rsidR="00840CCE">
        <w:t xml:space="preserve">any </w:t>
      </w:r>
      <w:r w:rsidR="000536CC">
        <w:t xml:space="preserve">domestic </w:t>
      </w:r>
      <w:r w:rsidR="00840CCE">
        <w:t xml:space="preserve">carbon pricing </w:t>
      </w:r>
      <w:r w:rsidR="000536CC">
        <w:t>action</w:t>
      </w:r>
      <w:r w:rsidR="00840CCE">
        <w:t xml:space="preserve"> affecting these sectors</w:t>
      </w:r>
      <w:r w:rsidR="000536CC">
        <w:t>.</w:t>
      </w:r>
      <w:r w:rsidR="00BC5080">
        <w:t xml:space="preserve"> </w:t>
      </w:r>
      <w:r w:rsidR="006F0216">
        <w:t>A</w:t>
      </w:r>
      <w:r w:rsidR="00EB7A06">
        <w:t xml:space="preserve"> broad carbon pricing</w:t>
      </w:r>
      <w:r w:rsidR="00AB5104">
        <w:t xml:space="preserve"> system </w:t>
      </w:r>
      <w:r w:rsidR="0002700E">
        <w:t>at</w:t>
      </w:r>
      <w:r w:rsidR="003A37FB">
        <w:t xml:space="preserve"> a modest rate </w:t>
      </w:r>
      <w:r w:rsidR="00AB5104">
        <w:t>could raise substantially more revenues to fund domestic priorities while</w:t>
      </w:r>
      <w:r w:rsidR="00DC7158">
        <w:t xml:space="preserve"> supporting the achievement of NDC objectives and </w:t>
      </w:r>
      <w:r w:rsidR="00F825B6">
        <w:t>also reducing</w:t>
      </w:r>
      <w:r w:rsidR="00B542B7">
        <w:t xml:space="preserve"> CBAM revenue transfers.</w:t>
      </w:r>
    </w:p>
    <w:p w14:paraId="590DB13B" w14:textId="2010A200" w:rsidR="00DB7995" w:rsidRDefault="00DB7995" w:rsidP="00DB7995">
      <w:pPr>
        <w:rPr>
          <w:lang w:val="en-GB"/>
        </w:rPr>
      </w:pPr>
      <w:r w:rsidRPr="11357084">
        <w:rPr>
          <w:b/>
          <w:bCs/>
        </w:rPr>
        <w:t xml:space="preserve">A phased approach is suggested in implementing a carbon </w:t>
      </w:r>
      <w:r w:rsidR="001A23A9">
        <w:rPr>
          <w:b/>
          <w:bCs/>
        </w:rPr>
        <w:t>levy</w:t>
      </w:r>
      <w:r w:rsidRPr="11357084">
        <w:rPr>
          <w:b/>
          <w:bCs/>
        </w:rPr>
        <w:t>, which could drive multiple benefits</w:t>
      </w:r>
      <w:r>
        <w:t xml:space="preserve">. In the short run an upstream carbon tax could be applied. The fastest and simplest </w:t>
      </w:r>
      <w:r>
        <w:lastRenderedPageBreak/>
        <w:t xml:space="preserve">approach, with lowest administrative cost, would be to reclassify existing </w:t>
      </w:r>
      <w:r w:rsidR="00E01411">
        <w:t xml:space="preserve">forms of </w:t>
      </w:r>
      <w:r>
        <w:t>fuel excise taxes</w:t>
      </w:r>
      <w:r w:rsidR="00E01411">
        <w:t xml:space="preserve"> </w:t>
      </w:r>
      <w:r>
        <w:t xml:space="preserve">into a direct carbon tax. To align with CBAM requirements, the tax could be “converted” and modified to cover fuels used in CBAM goods production and ensure rates reflect each fuel's carbon content. </w:t>
      </w:r>
      <w:r w:rsidRPr="11357084">
        <w:rPr>
          <w:lang w:val="en-GB"/>
        </w:rPr>
        <w:t xml:space="preserve">An upstream carbon </w:t>
      </w:r>
      <w:r w:rsidR="00861495">
        <w:rPr>
          <w:lang w:val="en-GB"/>
        </w:rPr>
        <w:t>levy</w:t>
      </w:r>
      <w:r w:rsidRPr="11357084">
        <w:rPr>
          <w:lang w:val="en-GB"/>
        </w:rPr>
        <w:t xml:space="preserve"> administration implies few points of regulation, limiting the number of entities responsible for collecting and delivering the tax due to the Government. </w:t>
      </w:r>
      <w:r>
        <w:t xml:space="preserve">This policy could generate substantial fiscal revenues at lower cost to output and employment than other conventional taxes. </w:t>
      </w:r>
      <w:r w:rsidR="003139F3">
        <w:t>The fiscal benefits</w:t>
      </w:r>
      <w:r w:rsidR="00814ADA">
        <w:t xml:space="preserve"> are further enhanced </w:t>
      </w:r>
      <w:r w:rsidR="00C81966">
        <w:t>in interaction with residual fossil fuel subsidies:</w:t>
      </w:r>
      <w:r w:rsidR="00814ADA">
        <w:t xml:space="preserve"> </w:t>
      </w:r>
      <w:r w:rsidR="000C446C">
        <w:t>by incentivizing fuel economy and conservation, the carbon levy can reduce costly outlays</w:t>
      </w:r>
      <w:r w:rsidR="005F1C98">
        <w:t xml:space="preserve"> </w:t>
      </w:r>
      <w:r w:rsidR="00D63B6C">
        <w:t xml:space="preserve">when </w:t>
      </w:r>
      <w:r w:rsidR="005F1C98">
        <w:t>fuel prices</w:t>
      </w:r>
      <w:r w:rsidR="00D63B6C">
        <w:t xml:space="preserve"> do not fully recover costs</w:t>
      </w:r>
      <w:r w:rsidR="00A77B12">
        <w:t>.</w:t>
      </w:r>
      <w:r w:rsidR="000C446C">
        <w:t xml:space="preserve"> </w:t>
      </w:r>
      <w:r>
        <w:t xml:space="preserve">Moreover, </w:t>
      </w:r>
      <w:r w:rsidR="00D63B6C">
        <w:t>the carbon levy w</w:t>
      </w:r>
      <w:r>
        <w:t>ould enhance international competitiveness by lowering embedded emissions and deliver local co-benefits such as improved air quality, reduced road accidents, and mitigated congestion.</w:t>
      </w:r>
      <w:r w:rsidR="0035524C">
        <w:t xml:space="preserve"> </w:t>
      </w:r>
    </w:p>
    <w:p w14:paraId="7D550430" w14:textId="691699B7" w:rsidR="00DB7995" w:rsidRDefault="00DB7995" w:rsidP="00DB7995">
      <w:r w:rsidRPr="11357084">
        <w:rPr>
          <w:b/>
          <w:bCs/>
        </w:rPr>
        <w:t>Gradually implementing a broad-based carbon</w:t>
      </w:r>
      <w:r>
        <w:rPr>
          <w:b/>
          <w:bCs/>
        </w:rPr>
        <w:t xml:space="preserve"> fuel</w:t>
      </w:r>
      <w:r w:rsidRPr="11357084">
        <w:rPr>
          <w:b/>
          <w:bCs/>
        </w:rPr>
        <w:t xml:space="preserve"> </w:t>
      </w:r>
      <w:r w:rsidR="00861495">
        <w:rPr>
          <w:b/>
          <w:bCs/>
        </w:rPr>
        <w:t xml:space="preserve">levy </w:t>
      </w:r>
      <w:r w:rsidRPr="11357084">
        <w:rPr>
          <w:b/>
          <w:bCs/>
        </w:rPr>
        <w:t>could yield significant tax revenues</w:t>
      </w:r>
      <w:r>
        <w:t xml:space="preserve">. </w:t>
      </w:r>
      <w:r w:rsidR="00747726">
        <w:t xml:space="preserve">An </w:t>
      </w:r>
      <w:r>
        <w:t xml:space="preserve">upstream carbon </w:t>
      </w:r>
      <w:r w:rsidR="008B1D06">
        <w:t>levy</w:t>
      </w:r>
      <w:r>
        <w:t xml:space="preserve"> on fuels </w:t>
      </w:r>
      <w:r w:rsidR="00747726">
        <w:t>reaching $20/tCO2e in 2030</w:t>
      </w:r>
      <w:r w:rsidR="006E1368">
        <w:t xml:space="preserve"> could bring in just over $5 billion that year</w:t>
      </w:r>
      <w:r w:rsidR="00B36925">
        <w:t xml:space="preserve"> while reducing </w:t>
      </w:r>
      <w:r w:rsidR="00E4780E">
        <w:t xml:space="preserve">national emissions by 40 </w:t>
      </w:r>
      <w:r w:rsidR="00D46EA1">
        <w:t xml:space="preserve">MtCO2e and </w:t>
      </w:r>
      <w:r w:rsidR="00B36925">
        <w:t>CBAM obligations by 14%</w:t>
      </w:r>
      <w:r w:rsidR="006E1368">
        <w:t xml:space="preserve">. </w:t>
      </w:r>
    </w:p>
    <w:p w14:paraId="418EAAE3" w14:textId="1FA72F29" w:rsidR="00DB7995" w:rsidRPr="00AF4B96" w:rsidRDefault="00DB7995" w:rsidP="00DB7995">
      <w:r>
        <w:rPr>
          <w:b/>
          <w:bCs/>
          <w:lang w:val="en-GB"/>
        </w:rPr>
        <w:t>To ensure the coverage of all types of emissions</w:t>
      </w:r>
      <w:r w:rsidRPr="11357084">
        <w:rPr>
          <w:b/>
          <w:bCs/>
          <w:lang w:val="en-GB"/>
        </w:rPr>
        <w:t xml:space="preserve">, </w:t>
      </w:r>
      <w:r w:rsidRPr="11357084">
        <w:rPr>
          <w:b/>
          <w:bCs/>
        </w:rPr>
        <w:t xml:space="preserve">the introduction of a supplementary downstream </w:t>
      </w:r>
      <w:r w:rsidR="00D46EA1">
        <w:rPr>
          <w:b/>
          <w:bCs/>
        </w:rPr>
        <w:t xml:space="preserve">carbon price </w:t>
      </w:r>
      <w:r>
        <w:rPr>
          <w:b/>
          <w:bCs/>
        </w:rPr>
        <w:t xml:space="preserve">could </w:t>
      </w:r>
      <w:r w:rsidR="009F7CF6">
        <w:rPr>
          <w:b/>
          <w:bCs/>
        </w:rPr>
        <w:t xml:space="preserve">ultimately </w:t>
      </w:r>
      <w:r>
        <w:rPr>
          <w:b/>
          <w:bCs/>
        </w:rPr>
        <w:t>complement an upstream carbon tax and cover</w:t>
      </w:r>
      <w:r w:rsidRPr="11357084">
        <w:rPr>
          <w:b/>
          <w:bCs/>
        </w:rPr>
        <w:t xml:space="preserve"> </w:t>
      </w:r>
      <w:r w:rsidR="00ED36A2">
        <w:rPr>
          <w:b/>
          <w:bCs/>
        </w:rPr>
        <w:t xml:space="preserve">process as well as combustion </w:t>
      </w:r>
      <w:r w:rsidRPr="11357084">
        <w:rPr>
          <w:b/>
          <w:bCs/>
        </w:rPr>
        <w:t xml:space="preserve">emissions in </w:t>
      </w:r>
      <w:r w:rsidR="002D2360">
        <w:rPr>
          <w:b/>
          <w:bCs/>
        </w:rPr>
        <w:t xml:space="preserve">industrial </w:t>
      </w:r>
      <w:r w:rsidRPr="11357084">
        <w:rPr>
          <w:b/>
          <w:bCs/>
        </w:rPr>
        <w:t xml:space="preserve">sectors. </w:t>
      </w:r>
      <w:r>
        <w:t xml:space="preserve">The introduction of this downstream carbon </w:t>
      </w:r>
      <w:r w:rsidR="0079233E">
        <w:t>levy</w:t>
      </w:r>
      <w:r>
        <w:t xml:space="preserve"> allowing for default values would not necessarily require</w:t>
      </w:r>
      <w:r w:rsidR="00C669DE">
        <w:t xml:space="preserve"> a</w:t>
      </w:r>
      <w:r>
        <w:t xml:space="preserve"> MRV system</w:t>
      </w:r>
      <w:r w:rsidR="0079233E">
        <w:t>,</w:t>
      </w:r>
      <w:r>
        <w:t xml:space="preserve"> although </w:t>
      </w:r>
      <w:r w:rsidR="0079233E">
        <w:t xml:space="preserve">an </w:t>
      </w:r>
      <w:r>
        <w:t>MRV system could be phased over time</w:t>
      </w:r>
      <w:r w:rsidR="005562E4">
        <w:t xml:space="preserve"> to provide more accurate emissions data</w:t>
      </w:r>
      <w:r>
        <w:t xml:space="preserve">. A downstream carbon </w:t>
      </w:r>
      <w:r w:rsidR="005562E4">
        <w:t>levy</w:t>
      </w:r>
      <w:r>
        <w:t xml:space="preserve"> for industrial sectors could complement an upstream carbon </w:t>
      </w:r>
      <w:r w:rsidR="00DA784A">
        <w:t xml:space="preserve">levy on </w:t>
      </w:r>
      <w:r>
        <w:t>fuel</w:t>
      </w:r>
      <w:r w:rsidR="00DA784A">
        <w:t>s</w:t>
      </w:r>
      <w:r>
        <w:t xml:space="preserve"> </w:t>
      </w:r>
      <w:r w:rsidR="00302F84">
        <w:t xml:space="preserve">by </w:t>
      </w:r>
      <w:r>
        <w:t>cover</w:t>
      </w:r>
      <w:r w:rsidR="00302F84">
        <w:t>ing</w:t>
      </w:r>
      <w:r>
        <w:t xml:space="preserve"> </w:t>
      </w:r>
      <w:r w:rsidR="00C20FEB">
        <w:t xml:space="preserve">only industrial </w:t>
      </w:r>
      <w:r>
        <w:t>process emissions</w:t>
      </w:r>
      <w:r w:rsidR="00C20FEB">
        <w:t>,</w:t>
      </w:r>
      <w:r w:rsidR="00302F84">
        <w:t xml:space="preserve"> </w:t>
      </w:r>
      <w:r>
        <w:t xml:space="preserve">or </w:t>
      </w:r>
      <w:r w:rsidR="00C20FEB">
        <w:t xml:space="preserve">it could </w:t>
      </w:r>
      <w:r>
        <w:t xml:space="preserve">cover all emissions in high emitting </w:t>
      </w:r>
      <w:r w:rsidR="007E0B6E">
        <w:t xml:space="preserve">industries and exempting </w:t>
      </w:r>
      <w:r w:rsidR="005163C4">
        <w:t>downstream emitters</w:t>
      </w:r>
      <w:r w:rsidR="00C20FEB">
        <w:t xml:space="preserve"> </w:t>
      </w:r>
      <w:r w:rsidR="007E0B6E">
        <w:t>from the upstream carbon levy</w:t>
      </w:r>
      <w:r>
        <w:t>.</w:t>
      </w:r>
    </w:p>
    <w:p w14:paraId="357F1E17" w14:textId="77777777" w:rsidR="006D39BC" w:rsidRPr="0072132D" w:rsidRDefault="006D39BC" w:rsidP="006D39BC">
      <w:pPr>
        <w:rPr>
          <w:rFonts w:cs="Segoe UI"/>
        </w:rPr>
      </w:pPr>
      <w:r w:rsidRPr="11357084">
        <w:rPr>
          <w:rFonts w:cs="Segoe UI"/>
          <w:b/>
          <w:bCs/>
        </w:rPr>
        <w:t>Additionally, pursuing fossil fuel subsidy reforms can encourage efficiency and discourage overconsumption</w:t>
      </w:r>
      <w:r w:rsidRPr="11357084">
        <w:rPr>
          <w:rFonts w:cs="Segoe UI"/>
        </w:rPr>
        <w:t xml:space="preserve">. Under an IMF-backed program, Egypt has committed to reducing untargeted fossil fuel subsidies by restoring energy prices to cost-recovery levels. The phase-out of subsidies will promote energy efficiency, encourage investment in cleaner production methods, and reduce the carbon intensity of exports. This will help lower CBAM-related payments, keeping more export revenues domestically rather than transferring them to the EU. </w:t>
      </w:r>
    </w:p>
    <w:p w14:paraId="62B32BFE" w14:textId="41628B2A" w:rsidR="004173EE" w:rsidRPr="004173EE" w:rsidRDefault="004173EE" w:rsidP="004173EE">
      <w:pPr>
        <w:rPr>
          <w:rFonts w:cs="Segoe UI"/>
        </w:rPr>
      </w:pPr>
      <w:r w:rsidRPr="11357084">
        <w:rPr>
          <w:rFonts w:cs="Segoe UI"/>
          <w:b/>
          <w:bCs/>
        </w:rPr>
        <w:t xml:space="preserve">The Egyptian government can help affected firms mitigate the impact of the EU CBAM and capitalize on market opportunities by </w:t>
      </w:r>
      <w:r w:rsidR="00DD422A" w:rsidRPr="11357084">
        <w:rPr>
          <w:rFonts w:cs="Segoe UI"/>
          <w:b/>
          <w:bCs/>
        </w:rPr>
        <w:t xml:space="preserve">undertaking several actions to </w:t>
      </w:r>
      <w:r w:rsidRPr="11357084">
        <w:rPr>
          <w:rFonts w:cs="Segoe UI"/>
          <w:b/>
          <w:bCs/>
        </w:rPr>
        <w:t>improv</w:t>
      </w:r>
      <w:r w:rsidR="00DD422A" w:rsidRPr="11357084">
        <w:rPr>
          <w:rFonts w:cs="Segoe UI"/>
          <w:b/>
          <w:bCs/>
        </w:rPr>
        <w:t>e</w:t>
      </w:r>
      <w:r w:rsidRPr="11357084">
        <w:rPr>
          <w:rFonts w:cs="Segoe UI"/>
          <w:b/>
          <w:bCs/>
        </w:rPr>
        <w:t xml:space="preserve"> their carbon competitiveness in the EU market</w:t>
      </w:r>
      <w:r w:rsidR="00A8563F" w:rsidRPr="11357084">
        <w:rPr>
          <w:rFonts w:cs="Segoe UI"/>
        </w:rPr>
        <w:t xml:space="preserve">. </w:t>
      </w:r>
      <w:r w:rsidR="0061121A">
        <w:rPr>
          <w:rFonts w:cs="Segoe UI"/>
        </w:rPr>
        <w:t>The f</w:t>
      </w:r>
      <w:r w:rsidR="00B31EAC" w:rsidRPr="11357084">
        <w:rPr>
          <w:rFonts w:cs="Segoe UI"/>
        </w:rPr>
        <w:t>irst</w:t>
      </w:r>
      <w:r w:rsidR="0061121A">
        <w:rPr>
          <w:rFonts w:cs="Segoe UI"/>
        </w:rPr>
        <w:t xml:space="preserve"> step is to </w:t>
      </w:r>
      <w:commentRangeStart w:id="80"/>
      <w:r w:rsidR="00F144AB" w:rsidRPr="11357084">
        <w:rPr>
          <w:rFonts w:cs="Segoe UI"/>
        </w:rPr>
        <w:t xml:space="preserve">raise carbon standards and </w:t>
      </w:r>
      <w:r w:rsidR="00F144AB">
        <w:rPr>
          <w:rFonts w:cs="Segoe UI"/>
        </w:rPr>
        <w:t xml:space="preserve">complete the </w:t>
      </w:r>
      <w:r w:rsidR="00F144AB" w:rsidRPr="11357084">
        <w:rPr>
          <w:rFonts w:cs="Segoe UI"/>
        </w:rPr>
        <w:t>develop</w:t>
      </w:r>
      <w:r w:rsidR="00F144AB">
        <w:rPr>
          <w:rFonts w:cs="Segoe UI"/>
        </w:rPr>
        <w:t>ment of an</w:t>
      </w:r>
      <w:r w:rsidR="00F144AB" w:rsidRPr="11357084">
        <w:rPr>
          <w:rFonts w:cs="Segoe UI"/>
        </w:rPr>
        <w:t xml:space="preserve"> MRV system to trace and certify carbon content of exports so that CBAM payments are based on actual carbon emissions of firms rather than on higher default values. </w:t>
      </w:r>
      <w:commentRangeEnd w:id="80"/>
      <w:r w:rsidR="00F144AB">
        <w:rPr>
          <w:rStyle w:val="CommentReference"/>
          <w:rFonts w:cs="Segoe UI"/>
          <w:sz w:val="22"/>
          <w:szCs w:val="22"/>
        </w:rPr>
        <w:commentReference w:id="80"/>
      </w:r>
      <w:r w:rsidR="00AC16B2">
        <w:rPr>
          <w:rFonts w:cs="Segoe UI"/>
        </w:rPr>
        <w:t xml:space="preserve">Second, </w:t>
      </w:r>
      <w:r w:rsidR="00BB16FC" w:rsidRPr="11357084">
        <w:rPr>
          <w:rFonts w:cs="Segoe UI"/>
        </w:rPr>
        <w:t>implement</w:t>
      </w:r>
      <w:r w:rsidR="00AC16B2">
        <w:rPr>
          <w:rFonts w:cs="Segoe UI"/>
        </w:rPr>
        <w:t>ing</w:t>
      </w:r>
      <w:r w:rsidR="00BB16FC" w:rsidRPr="11357084">
        <w:rPr>
          <w:rFonts w:cs="Segoe UI"/>
        </w:rPr>
        <w:t xml:space="preserve"> </w:t>
      </w:r>
      <w:r w:rsidR="002505BC">
        <w:rPr>
          <w:rFonts w:cs="Segoe UI"/>
        </w:rPr>
        <w:t>planned</w:t>
      </w:r>
      <w:r w:rsidR="0050552B">
        <w:rPr>
          <w:rFonts w:cs="Segoe UI"/>
        </w:rPr>
        <w:t xml:space="preserve"> </w:t>
      </w:r>
      <w:r w:rsidRPr="11357084">
        <w:rPr>
          <w:rFonts w:cs="Segoe UI"/>
        </w:rPr>
        <w:t>mitigation policies</w:t>
      </w:r>
      <w:r w:rsidR="00BB16FC" w:rsidRPr="11357084">
        <w:rPr>
          <w:rFonts w:cs="Segoe UI"/>
        </w:rPr>
        <w:t xml:space="preserve"> </w:t>
      </w:r>
      <w:r w:rsidR="0050552B">
        <w:rPr>
          <w:rFonts w:cs="Segoe UI"/>
        </w:rPr>
        <w:t xml:space="preserve">will </w:t>
      </w:r>
      <w:r w:rsidR="00BB16FC" w:rsidRPr="11357084">
        <w:rPr>
          <w:rFonts w:cs="Segoe UI"/>
        </w:rPr>
        <w:t>help meet NDC commitments and facilitate the transition to lower greenhouse gas emissions</w:t>
      </w:r>
      <w:r w:rsidR="00750F73" w:rsidRPr="11357084">
        <w:rPr>
          <w:rFonts w:cs="Segoe UI"/>
        </w:rPr>
        <w:t xml:space="preserve"> and</w:t>
      </w:r>
      <w:r w:rsidR="00BB16FC" w:rsidRPr="11357084">
        <w:rPr>
          <w:rFonts w:cs="Segoe UI"/>
        </w:rPr>
        <w:t xml:space="preserve"> promote renewable energy</w:t>
      </w:r>
      <w:r w:rsidR="00AF6C45" w:rsidRPr="11357084">
        <w:rPr>
          <w:rFonts w:cs="Segoe UI"/>
        </w:rPr>
        <w:t xml:space="preserve">. </w:t>
      </w:r>
      <w:r w:rsidR="008535EC">
        <w:rPr>
          <w:rFonts w:cs="Segoe UI"/>
        </w:rPr>
        <w:t>Third, p</w:t>
      </w:r>
      <w:r w:rsidR="00C42EE4">
        <w:rPr>
          <w:rFonts w:cs="Segoe UI"/>
        </w:rPr>
        <w:t xml:space="preserve">hasing in carbon pricing will </w:t>
      </w:r>
      <w:r w:rsidR="001D462C">
        <w:rPr>
          <w:rFonts w:cs="Segoe UI"/>
        </w:rPr>
        <w:t xml:space="preserve">reinforce the benefits and </w:t>
      </w:r>
      <w:r w:rsidR="009047D4">
        <w:rPr>
          <w:rFonts w:cs="Segoe UI"/>
        </w:rPr>
        <w:t xml:space="preserve">accelerate uptake of </w:t>
      </w:r>
      <w:r w:rsidR="009F222A">
        <w:rPr>
          <w:rFonts w:cs="Segoe UI"/>
        </w:rPr>
        <w:t xml:space="preserve">these investments while also providing </w:t>
      </w:r>
      <w:r w:rsidR="00C2081E">
        <w:rPr>
          <w:rFonts w:cs="Segoe UI"/>
        </w:rPr>
        <w:t xml:space="preserve">a reliable domestic source of revenue for them. </w:t>
      </w:r>
      <w:r w:rsidR="00606018" w:rsidRPr="11357084">
        <w:rPr>
          <w:rFonts w:cs="Segoe UI"/>
        </w:rPr>
        <w:t>Last, s</w:t>
      </w:r>
      <w:r w:rsidR="006D0799" w:rsidRPr="11357084">
        <w:rPr>
          <w:rFonts w:cs="Segoe UI"/>
        </w:rPr>
        <w:t xml:space="preserve">pecial attention should be given </w:t>
      </w:r>
      <w:r w:rsidR="006D0799" w:rsidRPr="11357084">
        <w:rPr>
          <w:rFonts w:cs="Segoe UI"/>
        </w:rPr>
        <w:lastRenderedPageBreak/>
        <w:t xml:space="preserve">to </w:t>
      </w:r>
      <w:r w:rsidR="0033279F" w:rsidRPr="11357084">
        <w:rPr>
          <w:rFonts w:cs="Segoe UI"/>
        </w:rPr>
        <w:t xml:space="preserve">SMEs </w:t>
      </w:r>
      <w:r w:rsidR="00084B8E" w:rsidRPr="11357084">
        <w:rPr>
          <w:rFonts w:cs="Segoe UI"/>
        </w:rPr>
        <w:t xml:space="preserve">to </w:t>
      </w:r>
      <w:r w:rsidR="00E86344" w:rsidRPr="11357084">
        <w:rPr>
          <w:rFonts w:cs="Segoe UI"/>
        </w:rPr>
        <w:t xml:space="preserve">support them </w:t>
      </w:r>
      <w:r w:rsidR="009F660D" w:rsidRPr="11357084">
        <w:rPr>
          <w:rFonts w:cs="Segoe UI"/>
        </w:rPr>
        <w:t>in their adoption of green technologies</w:t>
      </w:r>
      <w:r w:rsidR="002B4687" w:rsidRPr="11357084">
        <w:rPr>
          <w:rFonts w:cs="Segoe UI"/>
        </w:rPr>
        <w:t xml:space="preserve"> and </w:t>
      </w:r>
      <w:r w:rsidR="00CF4878" w:rsidRPr="11357084">
        <w:rPr>
          <w:rFonts w:cs="Segoe UI"/>
        </w:rPr>
        <w:t>in</w:t>
      </w:r>
      <w:r w:rsidR="00931781" w:rsidRPr="11357084">
        <w:rPr>
          <w:rFonts w:cs="Segoe UI"/>
        </w:rPr>
        <w:t xml:space="preserve"> lower</w:t>
      </w:r>
      <w:r w:rsidR="00CF4878" w:rsidRPr="11357084">
        <w:rPr>
          <w:rFonts w:cs="Segoe UI"/>
        </w:rPr>
        <w:t>ing</w:t>
      </w:r>
      <w:r w:rsidR="00931781" w:rsidRPr="11357084">
        <w:rPr>
          <w:rFonts w:cs="Segoe UI"/>
        </w:rPr>
        <w:t xml:space="preserve"> their compliance costs</w:t>
      </w:r>
      <w:r w:rsidR="00F45CC3" w:rsidRPr="11357084">
        <w:rPr>
          <w:rFonts w:cs="Segoe UI"/>
        </w:rPr>
        <w:t xml:space="preserve">, as well as to </w:t>
      </w:r>
      <w:r w:rsidR="00CF4878" w:rsidRPr="11357084">
        <w:rPr>
          <w:rFonts w:cs="Segoe UI"/>
        </w:rPr>
        <w:t xml:space="preserve">affected </w:t>
      </w:r>
      <w:r w:rsidR="006D0799" w:rsidRPr="11357084">
        <w:rPr>
          <w:rFonts w:cs="Segoe UI"/>
        </w:rPr>
        <w:t xml:space="preserve">workers </w:t>
      </w:r>
      <w:r w:rsidR="00CF4878" w:rsidRPr="11357084">
        <w:rPr>
          <w:rFonts w:cs="Segoe UI"/>
        </w:rPr>
        <w:t>to help them transition to new jobs.</w:t>
      </w:r>
    </w:p>
    <w:p w14:paraId="36FF5E62" w14:textId="0ED3BAC8" w:rsidR="005B386B" w:rsidRDefault="58499122" w:rsidP="004173EE">
      <w:pPr>
        <w:rPr>
          <w:rFonts w:cs="Segoe UI"/>
        </w:rPr>
      </w:pPr>
      <w:commentRangeStart w:id="81"/>
      <w:r w:rsidRPr="11357084">
        <w:rPr>
          <w:rFonts w:cs="Segoe UI"/>
          <w:b/>
          <w:bCs/>
        </w:rPr>
        <w:t xml:space="preserve">Measures can be </w:t>
      </w:r>
      <w:r w:rsidR="7560E0B2" w:rsidRPr="11357084">
        <w:rPr>
          <w:rFonts w:cs="Segoe UI"/>
          <w:b/>
          <w:bCs/>
        </w:rPr>
        <w:t>undertaken</w:t>
      </w:r>
      <w:r w:rsidRPr="11357084">
        <w:rPr>
          <w:rFonts w:cs="Segoe UI"/>
          <w:b/>
          <w:bCs/>
        </w:rPr>
        <w:t xml:space="preserve"> </w:t>
      </w:r>
      <w:r w:rsidR="6F686E70" w:rsidRPr="11357084">
        <w:rPr>
          <w:rFonts w:cs="Segoe UI"/>
          <w:b/>
          <w:bCs/>
        </w:rPr>
        <w:t xml:space="preserve">to </w:t>
      </w:r>
      <w:r w:rsidR="004173EE" w:rsidRPr="11357084">
        <w:rPr>
          <w:rFonts w:cs="Segoe UI"/>
          <w:b/>
          <w:bCs/>
        </w:rPr>
        <w:t xml:space="preserve">attract FDI </w:t>
      </w:r>
      <w:r w:rsidR="7AE5510F" w:rsidRPr="11357084">
        <w:rPr>
          <w:rFonts w:cs="Segoe UI"/>
          <w:b/>
          <w:bCs/>
        </w:rPr>
        <w:t xml:space="preserve">to </w:t>
      </w:r>
      <w:r w:rsidR="516D27B6" w:rsidRPr="11357084">
        <w:rPr>
          <w:rFonts w:cs="Segoe UI"/>
          <w:b/>
          <w:bCs/>
        </w:rPr>
        <w:t>help</w:t>
      </w:r>
      <w:r w:rsidR="7AE5510F" w:rsidRPr="11357084">
        <w:rPr>
          <w:rFonts w:cs="Segoe UI"/>
          <w:b/>
          <w:bCs/>
        </w:rPr>
        <w:t xml:space="preserve"> </w:t>
      </w:r>
      <w:r w:rsidR="004173EE" w:rsidRPr="11357084">
        <w:rPr>
          <w:rFonts w:cs="Segoe UI"/>
          <w:b/>
          <w:bCs/>
        </w:rPr>
        <w:t xml:space="preserve">sectors adopt </w:t>
      </w:r>
      <w:r w:rsidR="7AE5510F" w:rsidRPr="11357084">
        <w:rPr>
          <w:rFonts w:cs="Segoe UI"/>
          <w:b/>
          <w:bCs/>
        </w:rPr>
        <w:t>new</w:t>
      </w:r>
      <w:r w:rsidR="004173EE" w:rsidRPr="11357084">
        <w:rPr>
          <w:rFonts w:cs="Segoe UI"/>
          <w:b/>
          <w:bCs/>
        </w:rPr>
        <w:t xml:space="preserve"> technologies</w:t>
      </w:r>
      <w:r w:rsidR="00F73B6D">
        <w:rPr>
          <w:rFonts w:cs="Segoe UI"/>
          <w:b/>
          <w:bCs/>
        </w:rPr>
        <w:t>,</w:t>
      </w:r>
      <w:r w:rsidR="004173EE" w:rsidRPr="11357084">
        <w:rPr>
          <w:rFonts w:cs="Segoe UI"/>
          <w:b/>
          <w:bCs/>
        </w:rPr>
        <w:t xml:space="preserve"> </w:t>
      </w:r>
      <w:r w:rsidR="642305B0" w:rsidRPr="11357084">
        <w:rPr>
          <w:rFonts w:cs="Segoe UI"/>
          <w:b/>
          <w:bCs/>
        </w:rPr>
        <w:t>reduce</w:t>
      </w:r>
      <w:r w:rsidR="004173EE" w:rsidRPr="11357084">
        <w:rPr>
          <w:rFonts w:cs="Segoe UI"/>
          <w:b/>
          <w:bCs/>
        </w:rPr>
        <w:t xml:space="preserve"> </w:t>
      </w:r>
      <w:r w:rsidR="7AE5510F" w:rsidRPr="11357084">
        <w:rPr>
          <w:rFonts w:cs="Segoe UI"/>
          <w:b/>
          <w:bCs/>
        </w:rPr>
        <w:t>emissions</w:t>
      </w:r>
      <w:r w:rsidR="00F73B6D">
        <w:rPr>
          <w:rFonts w:cs="Segoe UI"/>
          <w:b/>
          <w:bCs/>
        </w:rPr>
        <w:t>, and</w:t>
      </w:r>
      <w:r w:rsidR="003C6F2E">
        <w:rPr>
          <w:rFonts w:cs="Segoe UI"/>
          <w:b/>
          <w:bCs/>
        </w:rPr>
        <w:t xml:space="preserve"> produce low-carbon goods</w:t>
      </w:r>
      <w:r w:rsidR="00D917F6">
        <w:rPr>
          <w:rFonts w:cs="Segoe UI"/>
          <w:b/>
          <w:bCs/>
        </w:rPr>
        <w:t xml:space="preserve"> to serve the demand being created by EU </w:t>
      </w:r>
      <w:r w:rsidR="00AD7476">
        <w:rPr>
          <w:rFonts w:cs="Segoe UI"/>
          <w:b/>
          <w:bCs/>
        </w:rPr>
        <w:t xml:space="preserve">and international </w:t>
      </w:r>
      <w:r w:rsidR="00D917F6">
        <w:rPr>
          <w:rFonts w:cs="Segoe UI"/>
          <w:b/>
          <w:bCs/>
        </w:rPr>
        <w:t>climate policy</w:t>
      </w:r>
      <w:r w:rsidR="00701C47">
        <w:rPr>
          <w:rFonts w:cs="Segoe UI"/>
          <w:b/>
          <w:bCs/>
        </w:rPr>
        <w:t xml:space="preserve"> packages</w:t>
      </w:r>
      <w:r w:rsidR="7AE5510F" w:rsidRPr="11357084">
        <w:rPr>
          <w:rFonts w:cs="Segoe UI"/>
        </w:rPr>
        <w:t>.</w:t>
      </w:r>
      <w:r w:rsidR="004173EE" w:rsidRPr="11357084">
        <w:rPr>
          <w:rFonts w:cs="Segoe UI"/>
        </w:rPr>
        <w:t xml:space="preserve"> </w:t>
      </w:r>
      <w:r w:rsidR="0013617F">
        <w:rPr>
          <w:rFonts w:cs="Segoe UI"/>
        </w:rPr>
        <w:t>Relevant markets are not only CBAM goods but also</w:t>
      </w:r>
      <w:r w:rsidR="002077B4">
        <w:rPr>
          <w:rFonts w:cs="Segoe UI"/>
        </w:rPr>
        <w:t xml:space="preserve"> renewable electricity</w:t>
      </w:r>
      <w:r w:rsidR="00360EDD">
        <w:rPr>
          <w:rFonts w:cs="Segoe UI"/>
        </w:rPr>
        <w:t xml:space="preserve"> and </w:t>
      </w:r>
      <w:r w:rsidR="002077B4">
        <w:rPr>
          <w:rFonts w:cs="Segoe UI"/>
        </w:rPr>
        <w:t>green hydrogen</w:t>
      </w:r>
      <w:r w:rsidR="009C1840">
        <w:rPr>
          <w:rFonts w:cs="Segoe UI"/>
        </w:rPr>
        <w:t>, and Egypt can capitalize on its proximity to EU markets</w:t>
      </w:r>
      <w:r w:rsidR="00360EDD">
        <w:rPr>
          <w:rFonts w:cs="Segoe UI"/>
        </w:rPr>
        <w:t xml:space="preserve">. </w:t>
      </w:r>
      <w:r w:rsidR="004173EE" w:rsidRPr="11357084">
        <w:rPr>
          <w:rFonts w:cs="Segoe UI"/>
        </w:rPr>
        <w:t>The investment climate can be improved by adopting an integrated approach that reduces restrictions on FDI, enhance</w:t>
      </w:r>
      <w:r w:rsidR="00B96893">
        <w:rPr>
          <w:rFonts w:cs="Segoe UI"/>
        </w:rPr>
        <w:t>d</w:t>
      </w:r>
      <w:r w:rsidR="004173EE" w:rsidRPr="11357084">
        <w:rPr>
          <w:rFonts w:cs="Segoe UI"/>
        </w:rPr>
        <w:t xml:space="preserve"> trade facilitation to lower costs, and fosters public-private dialogue to identify barriers to the modernization of sectors. </w:t>
      </w:r>
      <w:r w:rsidR="00B96893">
        <w:rPr>
          <w:rFonts w:cs="Segoe UI"/>
        </w:rPr>
        <w:t>R</w:t>
      </w:r>
      <w:r w:rsidR="00B96893" w:rsidRPr="11357084">
        <w:rPr>
          <w:rFonts w:cs="Segoe UI"/>
        </w:rPr>
        <w:t>educ</w:t>
      </w:r>
      <w:r w:rsidR="00B96893">
        <w:rPr>
          <w:rFonts w:cs="Segoe UI"/>
        </w:rPr>
        <w:t>ing trade barriers—</w:t>
      </w:r>
      <w:r w:rsidR="00B96893" w:rsidRPr="11357084">
        <w:rPr>
          <w:rFonts w:cs="Segoe UI"/>
        </w:rPr>
        <w:t>tariffs and non-tariff measures, VAT, and withhold</w:t>
      </w:r>
      <w:r w:rsidR="00B96893">
        <w:rPr>
          <w:rFonts w:cs="Segoe UI"/>
        </w:rPr>
        <w:t>ing</w:t>
      </w:r>
      <w:r w:rsidR="00B96893" w:rsidRPr="11357084">
        <w:rPr>
          <w:rFonts w:cs="Segoe UI"/>
        </w:rPr>
        <w:t xml:space="preserve"> taxes</w:t>
      </w:r>
      <w:r w:rsidR="00B96893">
        <w:rPr>
          <w:rFonts w:cs="Segoe UI"/>
        </w:rPr>
        <w:t>—</w:t>
      </w:r>
      <w:r w:rsidR="00B96893" w:rsidRPr="11357084">
        <w:rPr>
          <w:rFonts w:cs="Segoe UI"/>
        </w:rPr>
        <w:t xml:space="preserve">on imports of </w:t>
      </w:r>
      <w:r w:rsidR="00B96893">
        <w:rPr>
          <w:rFonts w:cs="Segoe UI"/>
        </w:rPr>
        <w:t xml:space="preserve">green </w:t>
      </w:r>
      <w:r w:rsidR="00B96893" w:rsidRPr="11357084">
        <w:rPr>
          <w:rFonts w:cs="Segoe UI"/>
        </w:rPr>
        <w:t xml:space="preserve">goods and services </w:t>
      </w:r>
      <w:r w:rsidR="00B96893">
        <w:rPr>
          <w:rFonts w:cs="Segoe UI"/>
        </w:rPr>
        <w:t xml:space="preserve">would </w:t>
      </w:r>
      <w:r w:rsidR="008C00E3">
        <w:rPr>
          <w:rFonts w:cs="Segoe UI"/>
        </w:rPr>
        <w:t xml:space="preserve">further </w:t>
      </w:r>
      <w:r w:rsidR="00B96893" w:rsidRPr="11357084">
        <w:rPr>
          <w:rFonts w:cs="Segoe UI"/>
        </w:rPr>
        <w:t xml:space="preserve">enhance </w:t>
      </w:r>
      <w:r w:rsidR="00B96893">
        <w:rPr>
          <w:rFonts w:cs="Segoe UI"/>
        </w:rPr>
        <w:t xml:space="preserve">industrial </w:t>
      </w:r>
      <w:r w:rsidR="00B96893" w:rsidRPr="11357084">
        <w:rPr>
          <w:rFonts w:cs="Segoe UI"/>
        </w:rPr>
        <w:t xml:space="preserve">carbon competitiveness. </w:t>
      </w:r>
      <w:r w:rsidR="4A299D1E" w:rsidRPr="4E716FBD">
        <w:rPr>
          <w:rFonts w:cs="Segoe UI"/>
        </w:rPr>
        <w:t xml:space="preserve">Investment promotion efforts should also </w:t>
      </w:r>
      <w:r w:rsidR="00144994">
        <w:rPr>
          <w:rFonts w:cs="Segoe UI"/>
        </w:rPr>
        <w:t xml:space="preserve">include a </w:t>
      </w:r>
      <w:r w:rsidR="4A299D1E" w:rsidRPr="4E716FBD">
        <w:rPr>
          <w:rFonts w:cs="Segoe UI"/>
        </w:rPr>
        <w:t>focus on attracting “green” FDI to decarbonize hard</w:t>
      </w:r>
      <w:r w:rsidR="00193DB8">
        <w:rPr>
          <w:rFonts w:cs="Segoe UI"/>
        </w:rPr>
        <w:t>-</w:t>
      </w:r>
      <w:r w:rsidR="4A299D1E" w:rsidRPr="4E716FBD">
        <w:rPr>
          <w:rFonts w:cs="Segoe UI"/>
        </w:rPr>
        <w:t>to</w:t>
      </w:r>
      <w:r w:rsidR="00193DB8">
        <w:rPr>
          <w:rFonts w:cs="Segoe UI"/>
        </w:rPr>
        <w:t>-</w:t>
      </w:r>
      <w:r w:rsidR="4A299D1E" w:rsidRPr="4E716FBD">
        <w:rPr>
          <w:rFonts w:cs="Segoe UI"/>
        </w:rPr>
        <w:t xml:space="preserve">abate </w:t>
      </w:r>
      <w:r w:rsidR="00B9396C">
        <w:rPr>
          <w:rFonts w:cs="Segoe UI"/>
        </w:rPr>
        <w:t xml:space="preserve">industrial </w:t>
      </w:r>
      <w:r w:rsidR="4A299D1E" w:rsidRPr="4E716FBD">
        <w:rPr>
          <w:rFonts w:cs="Segoe UI"/>
        </w:rPr>
        <w:t>sectors</w:t>
      </w:r>
      <w:r w:rsidR="4AA16A35" w:rsidRPr="4E716FBD">
        <w:rPr>
          <w:rFonts w:cs="Segoe UI"/>
        </w:rPr>
        <w:t xml:space="preserve">. </w:t>
      </w:r>
      <w:commentRangeEnd w:id="81"/>
      <w:r w:rsidR="000967C2">
        <w:rPr>
          <w:rStyle w:val="CommentReference"/>
          <w:rFonts w:cs="Segoe UI"/>
          <w:sz w:val="22"/>
          <w:szCs w:val="22"/>
        </w:rPr>
        <w:commentReference w:id="81"/>
      </w:r>
    </w:p>
    <w:p w14:paraId="03DA8822" w14:textId="10A6319D" w:rsidR="00052918" w:rsidRDefault="001E46A6" w:rsidP="00777C16">
      <w:pPr>
        <w:spacing w:line="240" w:lineRule="auto"/>
        <w:rPr>
          <w:rFonts w:cs="Segoe UI"/>
        </w:rPr>
      </w:pPr>
      <w:r w:rsidRPr="11357084">
        <w:rPr>
          <w:rFonts w:cs="Segoe UI"/>
          <w:b/>
          <w:bCs/>
        </w:rPr>
        <w:t>I</w:t>
      </w:r>
      <w:r w:rsidR="00AF1C95" w:rsidRPr="11357084">
        <w:rPr>
          <w:rFonts w:cs="Segoe UI"/>
          <w:b/>
          <w:bCs/>
        </w:rPr>
        <w:t xml:space="preserve">n conclusion, while the EU CBAM poses challenges for some Egyptian </w:t>
      </w:r>
      <w:r w:rsidR="003F58FD">
        <w:rPr>
          <w:rFonts w:cs="Segoe UI"/>
          <w:b/>
          <w:bCs/>
        </w:rPr>
        <w:t>firm</w:t>
      </w:r>
      <w:r w:rsidR="003F58FD" w:rsidRPr="11357084">
        <w:rPr>
          <w:rFonts w:cs="Segoe UI"/>
          <w:b/>
          <w:bCs/>
        </w:rPr>
        <w:t>s</w:t>
      </w:r>
      <w:r w:rsidR="00AF1C95" w:rsidRPr="11357084">
        <w:rPr>
          <w:rFonts w:cs="Segoe UI"/>
          <w:b/>
          <w:bCs/>
        </w:rPr>
        <w:t>, it also presents opportunities for others</w:t>
      </w:r>
      <w:r w:rsidR="00AF1C95" w:rsidRPr="11357084">
        <w:rPr>
          <w:rFonts w:cs="Segoe UI"/>
        </w:rPr>
        <w:t xml:space="preserve">. </w:t>
      </w:r>
      <w:r w:rsidR="0085713F">
        <w:rPr>
          <w:rFonts w:cs="Segoe UI"/>
        </w:rPr>
        <w:t>Proactive measures by the</w:t>
      </w:r>
      <w:r w:rsidR="00AF1C95" w:rsidRPr="11357084">
        <w:rPr>
          <w:rFonts w:cs="Segoe UI"/>
        </w:rPr>
        <w:t xml:space="preserve"> Egyptian government and private sector to enhance carbon competitiveness, introduce a direct carbon pricing mechanism, and support affected </w:t>
      </w:r>
      <w:r w:rsidR="00562F6B">
        <w:rPr>
          <w:rFonts w:cs="Segoe UI"/>
        </w:rPr>
        <w:t>firm</w:t>
      </w:r>
      <w:r w:rsidR="00562F6B" w:rsidRPr="11357084">
        <w:rPr>
          <w:rFonts w:cs="Segoe UI"/>
        </w:rPr>
        <w:t xml:space="preserve">s </w:t>
      </w:r>
      <w:r w:rsidR="00AF1C95" w:rsidRPr="11357084">
        <w:rPr>
          <w:rFonts w:cs="Segoe UI"/>
        </w:rPr>
        <w:t xml:space="preserve">and workers </w:t>
      </w:r>
      <w:r w:rsidR="00912A6C">
        <w:rPr>
          <w:rFonts w:cs="Segoe UI"/>
        </w:rPr>
        <w:t xml:space="preserve">will help </w:t>
      </w:r>
      <w:r w:rsidR="00AF1C95" w:rsidRPr="11357084">
        <w:rPr>
          <w:rFonts w:cs="Segoe UI"/>
        </w:rPr>
        <w:t xml:space="preserve">mitigate the impact of CBAM and capitalize on </w:t>
      </w:r>
      <w:r w:rsidR="005F42A9" w:rsidRPr="11357084">
        <w:rPr>
          <w:rFonts w:cs="Segoe UI"/>
        </w:rPr>
        <w:t xml:space="preserve">its </w:t>
      </w:r>
      <w:r w:rsidR="00AF1C95" w:rsidRPr="11357084">
        <w:rPr>
          <w:rFonts w:cs="Segoe UI"/>
        </w:rPr>
        <w:t>potential benefits</w:t>
      </w:r>
      <w:r w:rsidR="005F42A9" w:rsidRPr="11357084">
        <w:rPr>
          <w:rFonts w:cs="Segoe UI"/>
        </w:rPr>
        <w:t>.</w:t>
      </w:r>
    </w:p>
    <w:p w14:paraId="6C3C280F" w14:textId="02E115F4" w:rsidR="00305D39" w:rsidRDefault="00305D39">
      <w:pPr>
        <w:jc w:val="left"/>
        <w:rPr>
          <w:rFonts w:cs="Segoe UI"/>
        </w:rPr>
      </w:pPr>
      <w:r>
        <w:rPr>
          <w:rFonts w:cs="Segoe UI"/>
        </w:rPr>
        <w:br w:type="page"/>
      </w:r>
    </w:p>
    <w:p w14:paraId="1013E39F" w14:textId="4B327135" w:rsidR="00305D39" w:rsidRDefault="00305D39" w:rsidP="001B7DC3">
      <w:pPr>
        <w:pStyle w:val="Heading1"/>
      </w:pPr>
      <w:bookmarkStart w:id="82" w:name="_Toc234844396"/>
      <w:commentRangeStart w:id="83"/>
      <w:r>
        <w:lastRenderedPageBreak/>
        <w:t>Supplemental</w:t>
      </w:r>
      <w:r w:rsidR="001B7DC3">
        <w:t xml:space="preserve"> information</w:t>
      </w:r>
      <w:bookmarkEnd w:id="82"/>
      <w:commentRangeEnd w:id="83"/>
      <w:r w:rsidR="0066788C">
        <w:rPr>
          <w:rStyle w:val="CommentReference"/>
          <w:sz w:val="28"/>
          <w:szCs w:val="40"/>
        </w:rPr>
        <w:commentReference w:id="83"/>
      </w:r>
    </w:p>
    <w:p w14:paraId="6DB73DCF" w14:textId="77777777" w:rsidR="00F805FC" w:rsidRDefault="00F805FC" w:rsidP="00F805FC">
      <w:pPr>
        <w:pStyle w:val="Heading2"/>
      </w:pPr>
      <w:bookmarkStart w:id="84" w:name="_Toc234844397"/>
      <w:r w:rsidRPr="00080EF2">
        <w:t>Global experience with carbon pricing</w:t>
      </w:r>
      <w:bookmarkEnd w:id="84"/>
      <w:r w:rsidRPr="00F805FC">
        <w:t xml:space="preserve"> </w:t>
      </w:r>
    </w:p>
    <w:p w14:paraId="5882D897" w14:textId="502964E8" w:rsidR="0049504F" w:rsidRDefault="004F2596" w:rsidP="0049504F">
      <w:pPr>
        <w:rPr>
          <w:b/>
          <w:bCs/>
          <w:szCs w:val="20"/>
        </w:rPr>
      </w:pPr>
      <w:r>
        <w:t xml:space="preserve">Versions of the </w:t>
      </w:r>
      <w:r w:rsidR="0049504F" w:rsidRPr="00F805FC">
        <w:t>carbon pricing approaches</w:t>
      </w:r>
      <w:r>
        <w:t xml:space="preserve"> modeled in this report for Egypt have been</w:t>
      </w:r>
      <w:r w:rsidR="008B5B7B">
        <w:t xml:space="preserve"> implemented in different jurisdictions around the world</w:t>
      </w:r>
      <w:r w:rsidR="0049504F" w:rsidRPr="00F805FC">
        <w:t>.</w:t>
      </w:r>
      <w:r w:rsidR="0049504F">
        <w:t xml:space="preserve"> </w:t>
      </w:r>
      <w:r w:rsidR="008B5B7B">
        <w:t>This section</w:t>
      </w:r>
      <w:r w:rsidR="00921F87">
        <w:t xml:space="preserve"> summarizes some of these experiences with designing, implementing, and evolving carbon pricing instruments in </w:t>
      </w:r>
      <w:r w:rsidR="00166790">
        <w:t>local contexts.</w:t>
      </w:r>
    </w:p>
    <w:p w14:paraId="2EBBFEAF" w14:textId="6ADEE66A" w:rsidR="0049504F" w:rsidRDefault="00367670" w:rsidP="004350DA">
      <w:pPr>
        <w:pStyle w:val="Heading3"/>
      </w:pPr>
      <w:r>
        <w:t>British Columbia</w:t>
      </w:r>
      <w:r w:rsidR="00E25B0E">
        <w:t>’s</w:t>
      </w:r>
      <w:r w:rsidR="00003CBC">
        <w:t xml:space="preserve"> comprehensive upstream carbon tax</w:t>
      </w:r>
    </w:p>
    <w:p w14:paraId="4263B323" w14:textId="1F0F73BE" w:rsidR="0049504F" w:rsidRDefault="0049504F" w:rsidP="0049504F">
      <w:r>
        <w:t>British Columbia's carbon tax, launched on July 1, 2008, was the first broad-based, economy-wide</w:t>
      </w:r>
      <w:r w:rsidR="00367670">
        <w:t xml:space="preserve"> upstream</w:t>
      </w:r>
      <w:r>
        <w:t xml:space="preserve"> carbon price in North America and is widely regarded as a textbook example of carbon tax design. Its defining feature was strict revenue neutrality: every dollar collected was required by law to be returned to British Columbians through reductions in other taxes. Revenue was recycled through reductions in the bottom two personal income tax rates (by 5%), cuts to the general corporate income tax rate (from 12% to 11%), reductions in the small business rate (from 4.5% to 2.5%), and a Low Income Climate Action Tax Credit (Can$115.50 per adult and Can$34.50 per child) designed to more than fully offset the carbon tax burden for lower-income households. A one-time Can$100 Climate Action Dividend was also issued to every BC resident when the tax launched. The revenue-neutrality commitment was central to securing public and business support—and was key to distinguishing the BC tax politically from other carbon pricing regimes that had faced backlash elsewhere. </w:t>
      </w:r>
    </w:p>
    <w:p w14:paraId="05DC2999" w14:textId="77777777" w:rsidR="0049504F" w:rsidRDefault="0049504F" w:rsidP="0049504F">
      <w:r>
        <w:t>The tax was designed with the broadest possible base, applying uniformly to virtually all fossil fuels purchased or used in the province—gasoline, diesel, natural gas, propane, coal, fuel oil, and peat and tires combusted for energy—covering approximately 70% of the province's total GHG emissions. It was collected upstream at the fuel distributor level, leveraging the same administrative infrastructure as existing motor fuel taxes, which allowed it to be implemented rapidly and at low administrative cos</w:t>
      </w:r>
      <w:r>
        <w:rPr>
          <w:rFonts w:hint="eastAsia"/>
        </w:rPr>
        <w:t>t. The rate was deliberately set low and increased gradually: starting at Can$10/tCO</w:t>
      </w:r>
      <w:r>
        <w:rPr>
          <w:rFonts w:hint="eastAsia"/>
        </w:rPr>
        <w:t>₂</w:t>
      </w:r>
      <w:r>
        <w:rPr>
          <w:rFonts w:hint="eastAsia"/>
        </w:rPr>
        <w:t>e in 2008 and rising by Can$5/tCO</w:t>
      </w:r>
      <w:r>
        <w:rPr>
          <w:rFonts w:hint="eastAsia"/>
        </w:rPr>
        <w:t>₂</w:t>
      </w:r>
      <w:r>
        <w:rPr>
          <w:rFonts w:hint="eastAsia"/>
        </w:rPr>
        <w:t>e each year until reaching Can$30/tCO</w:t>
      </w:r>
      <w:r>
        <w:rPr>
          <w:rFonts w:hint="eastAsia"/>
        </w:rPr>
        <w:t>₂</w:t>
      </w:r>
      <w:r>
        <w:rPr>
          <w:rFonts w:hint="eastAsia"/>
        </w:rPr>
        <w:t>e in 2012</w:t>
      </w:r>
      <w:r>
        <w:rPr>
          <w:rFonts w:hint="eastAsia"/>
        </w:rPr>
        <w:t>—</w:t>
      </w:r>
      <w:r>
        <w:rPr>
          <w:rFonts w:hint="eastAsia"/>
        </w:rPr>
        <w:t>equivalent to about 7 cents per litre of gasoline at its peak. This pre-announced, legi</w:t>
      </w:r>
      <w:r>
        <w:t xml:space="preserve">slated escalation path was a critical design element, providing households and businesses with long-term price certainty and a credible investment signal while minimizing political friction at each step. A five-year freeze at Can$30 was subsequently introduced in 2013 following political pressure, before the rate resumed climbing. No sector-specific exemptions were granted to energy-intensive industries—a notable contrast to many other carbon pricing regimes—though limited exemptions existed for fuels exported from BC, certain industrial process uses, and marine diesel in interjurisdictional transport. </w:t>
      </w:r>
    </w:p>
    <w:p w14:paraId="300747DC" w14:textId="0FCBE6D1" w:rsidR="00404971" w:rsidRDefault="00404971" w:rsidP="004350DA">
      <w:pPr>
        <w:pStyle w:val="Heading3"/>
      </w:pPr>
      <w:r>
        <w:lastRenderedPageBreak/>
        <w:t>South Africa</w:t>
      </w:r>
      <w:r w:rsidR="00092586">
        <w:t xml:space="preserve">’s comprehensive </w:t>
      </w:r>
      <w:r w:rsidR="00003CBC">
        <w:t xml:space="preserve">downstream </w:t>
      </w:r>
      <w:r w:rsidR="00E25B0E">
        <w:t>carbon tax</w:t>
      </w:r>
    </w:p>
    <w:p w14:paraId="6A348AED" w14:textId="77777777" w:rsidR="0049504F" w:rsidRDefault="0049504F" w:rsidP="0049504F">
      <w:r>
        <w:t xml:space="preserve">Among emerging economies, the first example of a comprehensive carbon pricing approach is South Africa's carbon tax. It was enacted through the Carbon Tax Act No. 15 of 2019 and came into effect on 1 June 2019. It applies to stationary and some non-stationary sources with a thermal design capacity of 10 MW or more, spanning industry, buildings, and transport (excluding public transport). It covers approximately 80–90% of the country's total GHG emissions. </w:t>
      </w:r>
    </w:p>
    <w:p w14:paraId="7CC296B6" w14:textId="77777777" w:rsidR="0049504F" w:rsidRPr="00952B58" w:rsidRDefault="0049504F" w:rsidP="0049504F">
      <w:r>
        <w:t xml:space="preserve">The carbon tax is South Africa's primary instrument for meeting its NDC commitments. It was chosen over an emissions trading system partly because the concentrated, oligopolistic structure of South Africa's energy sector (dominated by Eskom) would have produced insufficient market liquidity for a functioning ETS. </w:t>
      </w:r>
    </w:p>
    <w:p w14:paraId="501CC48B" w14:textId="77777777" w:rsidR="0049504F" w:rsidRDefault="0049504F" w:rsidP="0049504F">
      <w:r>
        <w:rPr>
          <w:rFonts w:hint="eastAsia"/>
        </w:rPr>
        <w:t>The initial rate was set at R120/tCO</w:t>
      </w:r>
      <w:r>
        <w:rPr>
          <w:rFonts w:hint="eastAsia"/>
        </w:rPr>
        <w:t>₂</w:t>
      </w:r>
      <w:r>
        <w:rPr>
          <w:rFonts w:hint="eastAsia"/>
        </w:rPr>
        <w:t>e (approximately US$8/tCO</w:t>
      </w:r>
      <w:r>
        <w:rPr>
          <w:rFonts w:hint="eastAsia"/>
        </w:rPr>
        <w:t>₂</w:t>
      </w:r>
      <w:r>
        <w:rPr>
          <w:rFonts w:hint="eastAsia"/>
        </w:rPr>
        <w:t>e) in 2019. During Phase 1 (2019</w:t>
      </w:r>
      <w:r>
        <w:rPr>
          <w:rFonts w:hint="eastAsia"/>
        </w:rPr>
        <w:t>–</w:t>
      </w:r>
      <w:r>
        <w:rPr>
          <w:rFonts w:hint="eastAsia"/>
        </w:rPr>
        <w:t>2025), the rate increased annually by CPI inflation plus 2%. By 2024 it had reached R190/tCO</w:t>
      </w:r>
      <w:r>
        <w:rPr>
          <w:rFonts w:hint="eastAsia"/>
        </w:rPr>
        <w:t>₂</w:t>
      </w:r>
      <w:r>
        <w:rPr>
          <w:rFonts w:hint="eastAsia"/>
        </w:rPr>
        <w:t>e, rising further to R236/tCO</w:t>
      </w:r>
      <w:r>
        <w:rPr>
          <w:rFonts w:hint="eastAsia"/>
        </w:rPr>
        <w:t>₂</w:t>
      </w:r>
      <w:r>
        <w:rPr>
          <w:rFonts w:hint="eastAsia"/>
        </w:rPr>
        <w:t>e in 2025. The government's longer-term trajectory targets at least US$20/tCO</w:t>
      </w:r>
      <w:r>
        <w:rPr>
          <w:rFonts w:hint="eastAsia"/>
        </w:rPr>
        <w:t>₂</w:t>
      </w:r>
      <w:r>
        <w:rPr>
          <w:rFonts w:hint="eastAsia"/>
        </w:rPr>
        <w:t>e by 2026, US$30/tCO</w:t>
      </w:r>
      <w:r>
        <w:rPr>
          <w:rFonts w:hint="eastAsia"/>
        </w:rPr>
        <w:t>₂</w:t>
      </w:r>
      <w:r>
        <w:rPr>
          <w:rFonts w:hint="eastAsia"/>
        </w:rPr>
        <w:t>e by 2030, and up to US$120/tCO</w:t>
      </w:r>
      <w:r>
        <w:rPr>
          <w:rFonts w:hint="eastAsia"/>
        </w:rPr>
        <w:t>₂</w:t>
      </w:r>
      <w:r>
        <w:rPr>
          <w:rFonts w:hint="eastAsia"/>
        </w:rPr>
        <w:t xml:space="preserve">e by 2050. </w:t>
      </w:r>
    </w:p>
    <w:p w14:paraId="7AACEF38" w14:textId="77777777" w:rsidR="0049504F" w:rsidRDefault="0049504F" w:rsidP="0049504F">
      <w:r>
        <w:t>A central design feature of the tax is a generous allowance structure intended to ease the transition, particularly during Phase 1. These include a basic 60% tax-free allowance for all activities; an additional 10% for process and fugitive emissions; up to 10% for trade-exposed sectors; up to 5% for companies meeting emissions intensity benchmarks (a performance allowance); and a 5% allowance for companies participating in the voluntary carbon budget reporting system. Combined, these allowances could reduce</w:t>
      </w:r>
      <w:r>
        <w:rPr>
          <w:rFonts w:hint="eastAsia"/>
        </w:rPr>
        <w:t xml:space="preserve"> a company's effective tax liability by up to 95%, bringing the real effective rate as low as R6</w:t>
      </w:r>
      <w:r>
        <w:rPr>
          <w:rFonts w:hint="eastAsia"/>
        </w:rPr>
        <w:t>–</w:t>
      </w:r>
      <w:r>
        <w:rPr>
          <w:rFonts w:hint="eastAsia"/>
        </w:rPr>
        <w:t>48/tCO</w:t>
      </w:r>
      <w:r>
        <w:rPr>
          <w:rFonts w:hint="eastAsia"/>
        </w:rPr>
        <w:t>₂</w:t>
      </w:r>
      <w:r>
        <w:rPr>
          <w:rFonts w:hint="eastAsia"/>
        </w:rPr>
        <w:t xml:space="preserve">e in early years. </w:t>
      </w:r>
    </w:p>
    <w:p w14:paraId="576238AB" w14:textId="77777777" w:rsidR="0049504F" w:rsidRDefault="0049504F" w:rsidP="0049504F">
      <w:r>
        <w:t xml:space="preserve">Companies can use carbon offsets to meet up to 5–10% of their tax liability, depending on the sector. Eligible offsets must come from sectors not covered by the tax (e.g., waste, agriculture, forestry, public transport) and must be certified under the CDM, Verified Carbon Standard, or Gold Standard. Offsets must be transferred through South Africa's Carbon Offset Administration System (COAS). </w:t>
      </w:r>
    </w:p>
    <w:p w14:paraId="6E24E5BD" w14:textId="77777777" w:rsidR="0049504F" w:rsidRDefault="0049504F" w:rsidP="0049504F">
      <w:r>
        <w:t xml:space="preserve">To avoid double-taxation of electricity generators, the tax allows fossil fuel generators to offset their carbon tax liability against the existing electricity levy (3.5 cents/kWh) and the renewable energy premium built into tariffs. In practice, this arrangement effectively zeroed out Eskom's net carbon tax liability during Phase 1. </w:t>
      </w:r>
    </w:p>
    <w:p w14:paraId="188E79E6" w14:textId="77777777" w:rsidR="0049504F" w:rsidRDefault="0049504F" w:rsidP="0049504F">
      <w:r>
        <w:t xml:space="preserve">South Africa applies a strict non-earmarking rule for fiscal revenues. However, soft recycling options have been discussed and implemented in parallel, including an energy efficiency tax incentive, support for solar water heaters, improved free basic energy for low-income households, and shifts from road freight to rail. Revenues flow to the National Revenue Fund and are reinvested in low-carbon programs. </w:t>
      </w:r>
    </w:p>
    <w:p w14:paraId="2CE7384F" w14:textId="77777777" w:rsidR="0049504F" w:rsidRDefault="0049504F" w:rsidP="0049504F">
      <w:r>
        <w:lastRenderedPageBreak/>
        <w:t xml:space="preserve">Future plans are for the generous basic allowances to be gradually phased out, which would enhance the effective carbon price. The carbon offset allowance will increase by 5%, as the tax rate trajectory steepens. Crucially, a mandatory carbon budget system, as established under the Climate Change Act signed in July 2024, is to be aligned with the carbon tax, setting binding emissions limits for covered companies. </w:t>
      </w:r>
    </w:p>
    <w:p w14:paraId="240C9875" w14:textId="2326F11F" w:rsidR="00C94821" w:rsidRDefault="00C94821" w:rsidP="00C94821">
      <w:pPr>
        <w:pStyle w:val="Heading3"/>
      </w:pPr>
      <w:r>
        <w:t>California’s comprehensive cap-and-trade system</w:t>
      </w:r>
    </w:p>
    <w:p w14:paraId="3ABB06D3" w14:textId="2374BD9E" w:rsidR="005F2E38" w:rsidRDefault="005F2E38" w:rsidP="005F2E38">
      <w:r>
        <w:t>California's Cap-and-Trade program, administered by the California Air Resources Board (CARB), is one of the largest multi-sectoral emissions trading systems in the world. Launched in 2013, it sets an annual declining cap on total greenhouse gas emissions from regulated entities</w:t>
      </w:r>
      <w:r w:rsidR="004D240C">
        <w:t>—</w:t>
      </w:r>
      <w:r>
        <w:t xml:space="preserve">covering approximately 85% of the state's GHG emissions and around 450 businesses, including power plants, industrial facilities, and fuel distributors. Covered entities must hold allowances equal to their emissions, which they acquire through a combination of free allocations and quarterly auctions. The cap declined by 3% annually through 2020 and accelerated to 5% per year from 2021 to 2030. </w:t>
      </w:r>
    </w:p>
    <w:p w14:paraId="77D7428B" w14:textId="69D90563" w:rsidR="005F2E38" w:rsidRDefault="005F2E38" w:rsidP="005F2E38">
      <w:r>
        <w:t>Auction revenues are deposited into the state's Greenhouse Gas Reduction Fund and reinvested in emission-reduction programs, with at least 35% legally directed to disadvantaged and low-income communities. Since inception, the program has generated over $34 billion in cumulative revenue. Firms can also use carbon offsets to meet up to a capped share of their compliance obligations (6% during 2026–2030). The program has contributed to meaningful emissions reductions</w:t>
      </w:r>
      <w:r w:rsidR="004D240C">
        <w:t>—</w:t>
      </w:r>
      <w:r>
        <w:t xml:space="preserve">California's GHG emissions fell 5.3% between 2013 and 2017—while the state's economy continued to grow. </w:t>
      </w:r>
      <w:r w:rsidR="009925D3">
        <w:t>The system is linked with Quebec's cap-and-trade program under the Western Climate Initiative, allowing cross-border allowance trading. In 2025, the program was extended through 2045 and rebranded as "Cap-and-Invest."</w:t>
      </w:r>
    </w:p>
    <w:p w14:paraId="5CC2AF42" w14:textId="206F6352" w:rsidR="00620803" w:rsidRDefault="00620803" w:rsidP="00620803">
      <w:r>
        <w:t>California's Cap-and-Trade program provides free allowance allocations to industrial emitters primarily to address the risk of carbon leakage</w:t>
      </w:r>
      <w:r w:rsidR="004D240C">
        <w:t>—</w:t>
      </w:r>
      <w:r>
        <w:t>the concern that stricter California regulations could push emissions-intensive industries to relocate production to less-regulated jurisdictions, achieving no net global emissions reduction while harming the state's economy. To be eligible, a facility must operate in an activity listed in Table 8-1 of the regulation and comply with all mandatory reporting requirements. The annual free allocation each facility receives is calculated using a formula that multiplies four components together: a product-based benchmark (the GHG emissions intensity per unit of output, set at or near best-in-class performance among California facilities), the facility's actual annual output, a cap adjustment factor (which declines annually in step with the overall program cap, at 4% per year from 2021 to 2030), and an assistance factor reflecting leakage risk. Benchmarks cover over 98% of industrial allocations and are product-specific, meaning facilities are rewarded for efficient production relative to sector peers, not for their historical emissions levels—this preserves an incentive to reduce emissions intensity per unit.</w:t>
      </w:r>
    </w:p>
    <w:p w14:paraId="33CA547D" w14:textId="77777777" w:rsidR="00620803" w:rsidRDefault="00620803" w:rsidP="00620803"/>
    <w:p w14:paraId="74180D42" w14:textId="77777777" w:rsidR="00620803" w:rsidRDefault="00620803" w:rsidP="00620803"/>
    <w:p w14:paraId="64C276C1" w14:textId="3972A44E" w:rsidR="00620803" w:rsidRDefault="00620803" w:rsidP="00620803">
      <w:r>
        <w:t>The assistance factor is the key policy lever determining how generous free allocations are. It can range from 0% to 100%, where 100% implies a facility receives allowances equivalent to what a best-in-class facility would need to cover all its production-related emissions. Assembly Bill 398 (AB 398, 2017) mandated that assistance factors be set at 100% for all industrial sectors deemed at leakage risk from 2021 onward, effectively shielding those sectors from having to purchase allowances at auction. This has drawn criticism from environmental groups, who argue it weakens the carbon price signal for a large slice of industrial emissions and amounts to a substantial subsidy. Allowances are distributed in two tranches: an initial allocation at the start of the compliance period and a true-up after actual output is verified. Critically, even with a 100% assistance factor, facilities producing at below-benchmark efficiency will not receive enough free allowances to cover all their actual emissions and must still reduce on-site emissions or purchase additional allowances or offsets</w:t>
      </w:r>
      <w:r w:rsidR="004D240C">
        <w:t>—</w:t>
      </w:r>
      <w:r>
        <w:t>so the performance-based design preserves some abatement incentive even for the most generously treated emitters.</w:t>
      </w:r>
    </w:p>
    <w:p w14:paraId="3D67FAAD" w14:textId="3AD3FF09" w:rsidR="0049504F" w:rsidRDefault="00404971" w:rsidP="0049504F">
      <w:pPr>
        <w:pStyle w:val="Heading3"/>
        <w:spacing w:before="240"/>
      </w:pPr>
      <w:r>
        <w:t>Colombia</w:t>
      </w:r>
      <w:r w:rsidR="00092586">
        <w:t>’s upstream fuel tax</w:t>
      </w:r>
    </w:p>
    <w:p w14:paraId="3AE49D74" w14:textId="77777777" w:rsidR="0049504F" w:rsidRDefault="0049504F" w:rsidP="0049504F">
      <w:r>
        <w:t>Colombia introduced its carbon tax in December 2016 under Law 1819, with the tax taking effect in May 2017. It is an upstream fuel tax, applied to producers and importers of fossil fuels—primarily liquid fuels (gasoline, diesel, kerosene, jet fuel, fuel oil) and natural gas used in petrochemical plants and refineries. Coal was initially exempt, but that exemption has since been reversed: a 25% rate applied to coal in 2025, rising to full application by 2028 under existing law,</w:t>
      </w:r>
      <w:r>
        <w:rPr>
          <w:rFonts w:hint="eastAsia"/>
        </w:rPr>
        <w:t>. The tax covers approximately 24</w:t>
      </w:r>
      <w:r>
        <w:rPr>
          <w:rFonts w:hint="eastAsia"/>
        </w:rPr>
        <w:t>–</w:t>
      </w:r>
      <w:r>
        <w:rPr>
          <w:rFonts w:hint="eastAsia"/>
        </w:rPr>
        <w:t>32% of Colombia's total GHG emissions. The initial rate was US$5/tCO</w:t>
      </w:r>
      <w:r>
        <w:rPr>
          <w:rFonts w:hint="eastAsia"/>
        </w:rPr>
        <w:t>₂</w:t>
      </w:r>
      <w:r>
        <w:rPr>
          <w:rFonts w:hint="eastAsia"/>
        </w:rPr>
        <w:t>e, with annual adjustments for inflation; by 2025 the rate stood at approximately US$6.90/tCO</w:t>
      </w:r>
      <w:r>
        <w:rPr>
          <w:rFonts w:hint="eastAsia"/>
        </w:rPr>
        <w:t>₂</w:t>
      </w:r>
      <w:r>
        <w:rPr>
          <w:rFonts w:hint="eastAsia"/>
        </w:rPr>
        <w:t>e</w:t>
      </w:r>
      <w:r>
        <w:t>. The Government has on a couple of occasions put forward</w:t>
      </w:r>
      <w:r>
        <w:rPr>
          <w:rFonts w:hint="eastAsia"/>
        </w:rPr>
        <w:t xml:space="preserve"> proposed legislation </w:t>
      </w:r>
      <w:r>
        <w:t xml:space="preserve">that </w:t>
      </w:r>
      <w:r>
        <w:rPr>
          <w:rFonts w:hint="eastAsia"/>
        </w:rPr>
        <w:t>would raise it substantially</w:t>
      </w:r>
      <w:r>
        <w:rPr>
          <w:rFonts w:hint="eastAsia"/>
        </w:rPr>
        <w:t>—</w:t>
      </w:r>
      <w:r>
        <w:rPr>
          <w:rFonts w:hint="eastAsia"/>
        </w:rPr>
        <w:t>to around US$19/tCO</w:t>
      </w:r>
      <w:r>
        <w:rPr>
          <w:rFonts w:hint="eastAsia"/>
        </w:rPr>
        <w:t>₂</w:t>
      </w:r>
      <w:r>
        <w:rPr>
          <w:rFonts w:hint="eastAsia"/>
        </w:rPr>
        <w:t>e</w:t>
      </w:r>
      <w:r>
        <w:rPr>
          <w:rFonts w:hint="eastAsia"/>
        </w:rPr>
        <w:t>—</w:t>
      </w:r>
      <w:r>
        <w:rPr>
          <w:rFonts w:hint="eastAsia"/>
        </w:rPr>
        <w:t xml:space="preserve">to better align with NDC ambitions. </w:t>
      </w:r>
      <w:r>
        <w:t xml:space="preserve">However, these proposals, lastly in December 2025, have not met with the approval of the Colombian Parliament. </w:t>
      </w:r>
      <w:r>
        <w:rPr>
          <w:rFonts w:hint="eastAsia"/>
        </w:rPr>
        <w:t>A notable design feature is the carbon offset mechanism, which allows companies to avoid a portion of their tax li</w:t>
      </w:r>
      <w:r>
        <w:t xml:space="preserve">ability entirely by purchasing verified domestic carbon credits, primarily from forestry projects. This offset allowance was originally set at 100% of liability but was capped at 50% under a 2022 reform, with further reductions under discussion. </w:t>
      </w:r>
    </w:p>
    <w:p w14:paraId="6F7940C8" w14:textId="77777777" w:rsidR="0049504F" w:rsidRDefault="0049504F" w:rsidP="0049504F">
      <w:r>
        <w:t xml:space="preserve">Revenue from the tax is earmarked rather than entering the general budget—funds flow through the "Colombia in Peace" Fund (previously the Fund for Environmental Sustainability and Sustainable Rural Development) to finance adaptation, ecosystem preservation, and post-conflict rural development, with 70% directed to post-conflict solutions. This earmarking was a deliberate political choice that helped secure passage of the tax by tying climate policy to the national peace agenda. Revenue has underperformed initial projections, partly because the generous offset mechanism significantly reduced actual tax payments. Looking ahead, Colombia's 2018 Climate Action Law mandates the creation of a complementary emissions trading system (ETS) by 2030, </w:t>
      </w:r>
      <w:r>
        <w:lastRenderedPageBreak/>
        <w:t xml:space="preserve">with a potential trial phase starting in 2026. The planned ETS is intended to cover a broader share of emissions (up to 45%) than the fuel tax and would provide a dual price signal, though its design—including how it interacts with the existing carbon tax—is still being finalized. </w:t>
      </w:r>
    </w:p>
    <w:p w14:paraId="19B72A1A" w14:textId="77777777" w:rsidR="0049504F" w:rsidRDefault="0049504F" w:rsidP="0049504F">
      <w:r>
        <w:t>Upstream carbon fuel excise taxes are common in several other jurisdictions, notably in Europe where the Nordic countries have had such taxes in force since the 1990’s.</w:t>
      </w:r>
      <w:r>
        <w:rPr>
          <w:rStyle w:val="FootnoteReference"/>
        </w:rPr>
        <w:footnoteReference w:id="30"/>
      </w:r>
      <w:r>
        <w:t xml:space="preserve">  Other European countries have since followed suit, with EU countries applying carbon fuel excise taxes under the EU Energy Taxation Directive, for sectors outside the EU ETS. Other examples outside Europe include, in the Americas, Argentina, Mexico and Uruguay with scope of fuel types and covered sectors introduced gradually. </w:t>
      </w:r>
    </w:p>
    <w:p w14:paraId="11D55AD9" w14:textId="065ACE5F" w:rsidR="0049504F" w:rsidRDefault="004350DA" w:rsidP="000521A8">
      <w:pPr>
        <w:pStyle w:val="Heading3"/>
      </w:pPr>
      <w:r>
        <w:t>Chile</w:t>
      </w:r>
      <w:r w:rsidR="00003CBC">
        <w:t>’s</w:t>
      </w:r>
      <w:r w:rsidR="003044F8">
        <w:t xml:space="preserve"> downstream carbon tax</w:t>
      </w:r>
    </w:p>
    <w:p w14:paraId="410AFD31" w14:textId="77777777" w:rsidR="0049504F" w:rsidRDefault="0049504F" w:rsidP="0049504F">
      <w:r>
        <w:t>Chile's carbon tax, formally known as the "green tax" (impuesto verde), was the first downstream carbon tax in Latin America. It was established as part of Chile's General Tax Reform of 2014, which had a combination of goals: raising revenues to fund education and health reforms, addressing severe urban air quality problems (particularly in Santiago), and reducing GHG emissions in line with Chile's climate commitments. In addition to CO</w:t>
      </w:r>
      <w:r>
        <w:rPr>
          <w:rFonts w:hint="eastAsia"/>
        </w:rPr>
        <w:t>₂</w:t>
      </w:r>
      <w:r>
        <w:t>, the law also taxes local air pollutants from the same sources—sulfur dioxide (SO</w:t>
      </w:r>
      <w:r>
        <w:rPr>
          <w:rFonts w:hint="eastAsia"/>
        </w:rPr>
        <w:t>₂</w:t>
      </w:r>
      <w:r>
        <w:t xml:space="preserve">), nitrogen oxides (NOₓ), and particulate matter (PM)—making it a dual-purpose environmental instrument targeting both climate and public health.  </w:t>
      </w:r>
    </w:p>
    <w:p w14:paraId="5DA009C8" w14:textId="77777777" w:rsidR="0049504F" w:rsidRDefault="0049504F" w:rsidP="0049504F">
      <w:r>
        <w:t xml:space="preserve">Entering into force in January 2017, the tax first </w:t>
      </w:r>
      <w:r>
        <w:rPr>
          <w:rFonts w:hint="eastAsia"/>
        </w:rPr>
        <w:t>applied to stationary sources</w:t>
      </w:r>
      <w:r>
        <w:t xml:space="preserve">, that is, </w:t>
      </w:r>
      <w:r>
        <w:rPr>
          <w:rFonts w:hint="eastAsia"/>
        </w:rPr>
        <w:t>boilers and turbines</w:t>
      </w:r>
      <w:r>
        <w:t>,</w:t>
      </w:r>
      <w:r>
        <w:rPr>
          <w:rFonts w:hint="eastAsia"/>
        </w:rPr>
        <w:t xml:space="preserve"> with a combined thermal capacity of 50 MW or more. </w:t>
      </w:r>
      <w:r>
        <w:t xml:space="preserve">Notably, Chile's regulated entities had already built emissions MRV capacity to comply with air quality standards adopted between 2011 and 2013, which made implementation of the carbon tax relatively straightforward. </w:t>
      </w:r>
      <w:r>
        <w:rPr>
          <w:rFonts w:hint="eastAsia"/>
        </w:rPr>
        <w:t>A 2020 reform broadened the coverage: installations are now subject to the tax if they emit 25,000 tCO</w:t>
      </w:r>
      <w:r>
        <w:rPr>
          <w:rFonts w:hint="eastAsia"/>
        </w:rPr>
        <w:t>₂</w:t>
      </w:r>
      <w:r>
        <w:rPr>
          <w:rFonts w:hint="eastAsia"/>
        </w:rPr>
        <w:t xml:space="preserve"> or more annually</w:t>
      </w:r>
      <w:r>
        <w:t xml:space="preserve">, or release more than 100 tons of particulate matter per year. This shift from a capacity-based to an emissions-based threshold brought in additional emitters. The tax currently covers approximately 33% of Chile's total GHG emissions, with liability falling primarily on the power sector and large industry. </w:t>
      </w:r>
    </w:p>
    <w:p w14:paraId="5FA41459" w14:textId="77777777" w:rsidR="0049504F" w:rsidRDefault="0049504F" w:rsidP="0049504F">
      <w:r>
        <w:rPr>
          <w:rFonts w:hint="eastAsia"/>
        </w:rPr>
        <w:t>The rate has remained fixed at US$5 per tCO</w:t>
      </w:r>
      <w:r>
        <w:rPr>
          <w:rFonts w:hint="eastAsia"/>
        </w:rPr>
        <w:t>₂</w:t>
      </w:r>
      <w:r>
        <w:rPr>
          <w:rFonts w:hint="eastAsia"/>
        </w:rPr>
        <w:t>e since the tax's inception, a level deliberately set low to secure industry acceptance and political feasibility. The rate was benchmarked loosely to international carbon market prices (specifically EU ETS allowances) rather than a formal social cost of carbon calculation. Analysts and stakeholders have widely acknowledged that at US$5/tCO</w:t>
      </w:r>
      <w:r>
        <w:rPr>
          <w:rFonts w:hint="eastAsia"/>
        </w:rPr>
        <w:t>₂</w:t>
      </w:r>
      <w:r>
        <w:rPr>
          <w:rFonts w:hint="eastAsia"/>
        </w:rPr>
        <w:t xml:space="preserve">, the tax has had little observable impact on fuel switching or the composition of the energy mix. </w:t>
      </w:r>
    </w:p>
    <w:p w14:paraId="34AD7A3E" w14:textId="77777777" w:rsidR="0049504F" w:rsidRDefault="0049504F" w:rsidP="0049504F">
      <w:r>
        <w:lastRenderedPageBreak/>
        <w:t xml:space="preserve">A 2020 reform added an offset mechanism: regulated entities can submit certified domestic emissions reduction or capture credits in lieu of direct tax payment, providing a degree of flexibility and potentially stimulating domestic carbon project development. </w:t>
      </w:r>
    </w:p>
    <w:p w14:paraId="7E37632D" w14:textId="77777777" w:rsidR="0049504F" w:rsidRDefault="0049504F" w:rsidP="0049504F">
      <w:r>
        <w:t xml:space="preserve">Chile's constitution prohibits earmarking of tax revenues, so all carbon tax proceeds flow into the general national budget. This aspect ensures that carbon tax payments would be fully recoverable under the CBAM draft rules. Revenues reached approximately US$165–168 million per year in the first years of implementation, contributing to the broader tax reform’s goals of funding expanded public education and health expenditures. </w:t>
      </w:r>
      <w:r>
        <w:rPr>
          <w:rFonts w:hint="eastAsia"/>
        </w:rPr>
        <w:t>Chile has signaled ambitions to raise the carbon price to US$35/tCO</w:t>
      </w:r>
      <w:r>
        <w:rPr>
          <w:rFonts w:hint="eastAsia"/>
        </w:rPr>
        <w:t>₂</w:t>
      </w:r>
      <w:r>
        <w:rPr>
          <w:rFonts w:hint="eastAsia"/>
        </w:rPr>
        <w:t>e by 2030 and potentially US$80/tCO</w:t>
      </w:r>
      <w:r>
        <w:rPr>
          <w:rFonts w:hint="eastAsia"/>
        </w:rPr>
        <w:t>₂</w:t>
      </w:r>
      <w:r>
        <w:rPr>
          <w:rFonts w:hint="eastAsia"/>
        </w:rPr>
        <w:t>e by 2040, though these targets have not ye</w:t>
      </w:r>
      <w:r>
        <w:t xml:space="preserve">t been enshrined in legislation. </w:t>
      </w:r>
    </w:p>
    <w:p w14:paraId="2DE4C091" w14:textId="072F08CC" w:rsidR="0049504F" w:rsidRDefault="003044F8" w:rsidP="00285456">
      <w:pPr>
        <w:pStyle w:val="Heading3"/>
      </w:pPr>
      <w:r>
        <w:t>China’s intensity-based ETS</w:t>
      </w:r>
    </w:p>
    <w:p w14:paraId="4017BF40" w14:textId="497BF0B7" w:rsidR="0049504F" w:rsidRDefault="0049504F" w:rsidP="0049504F">
      <w:r>
        <w:t>China's national ETS</w:t>
      </w:r>
      <w:r w:rsidR="00B81B0D">
        <w:t xml:space="preserve"> </w:t>
      </w:r>
      <w:r>
        <w:t xml:space="preserve">grew out of experience with emissions trading from eight subnational pilot schemes launched between 2011 and 2016 in cities and provinces including Beijing, Shanghai, Shenzhen, Guangdong, and Hubei. The national system was formally launched in December 2017 and became fully operational for compliance purposes in February 2021. </w:t>
      </w:r>
    </w:p>
    <w:p w14:paraId="6A10D0F1" w14:textId="77777777" w:rsidR="0049504F" w:rsidRDefault="0049504F" w:rsidP="0049504F">
      <w:r>
        <w:t>When it launched, China's ETS immediately became the world's largest carbon market, covering more than 2,000 entities in the power sector with annual emissions exceeding 26,000 tCO2. It regulates over 4,000 MtCO2 annually—roughly 32% of China's national emissions, or about 9% of global emissions. From March 2025, the system officially extended to the cement, steel, and aluminum sectors. This brought in approximately 1,500 more companies and added around 3 billion tonnes of covered emissions, pushing total coverage to roughly 5% of global emissions. Plans are in place to further expand to chemicals, petrochemicals, civil aviation, and pulp and paper, with the goal of covering most major industrial sectors by 2027–2030.</w:t>
      </w:r>
    </w:p>
    <w:p w14:paraId="222C8D76" w14:textId="77777777" w:rsidR="0049504F" w:rsidRDefault="0049504F" w:rsidP="0049504F">
      <w:r>
        <w:t>The system embeds free, output-based allocation by using a collection of carbon-intensity benchmarks tied to actual production levels, meaning the cap adjusts with output. The policy in that way partly mirrors the intensity-based targets in China’s NDC. For the power sector, four benchmarks are used (measured in tCO2/MWh), differentiated by generation type: conventional coal above 300 MW (0.877), conventional coal below 300 MW (0.979), unconventional coal (1.146), and natural gas (0.392). Compliance obligations are capped at 20% above verified emissions, limiting the financial exposure of regulated entities. For the transition year in 2024, companies in the newly added industrial sectors received 100% free allowances based on verified emissions, transitioning to a more performance-differentiated approach in 2025. Auctioning has not yet been introduced but is envisioned as the market matures.</w:t>
      </w:r>
    </w:p>
    <w:p w14:paraId="223BAE87" w14:textId="77777777" w:rsidR="0049504F" w:rsidRDefault="0049504F" w:rsidP="0049504F">
      <w:r>
        <w:t xml:space="preserve">Recent China Emissions Allowance (CEA) prices have been approximately 80 yuan (~$12), with expectations of a gradual rise. Trading volumes and market value have been increasing as the system matures. However, no revenues are collected, since allowances are allocated for free. </w:t>
      </w:r>
    </w:p>
    <w:p w14:paraId="66A32F88" w14:textId="0B430E9C" w:rsidR="0049504F" w:rsidRDefault="0049504F" w:rsidP="0049504F">
      <w:r w:rsidRPr="00010941">
        <w:lastRenderedPageBreak/>
        <w:t>The benchmarking allocation system falls under the types of rebates that the draft CBAM rules deem would offset carbon pricing effectively paid, meaning little or no net carbon price would be recognized for reducing CBAM obligations.</w:t>
      </w:r>
      <w:r>
        <w:t xml:space="preserve"> In part for these reasons</w:t>
      </w:r>
      <w:r w:rsidR="00010941">
        <w:t>—a</w:t>
      </w:r>
      <w:r>
        <w:t xml:space="preserve">nd to allow for increasing ambition </w:t>
      </w:r>
      <w:r w:rsidR="00010941">
        <w:t xml:space="preserve">and certainty </w:t>
      </w:r>
      <w:r>
        <w:t>in emissions reductions</w:t>
      </w:r>
      <w:r w:rsidR="00010941">
        <w:t>—</w:t>
      </w:r>
      <w:r>
        <w:t>a roadmap toward an absolute emissions cap (replacing the current intensity-based approach) is expected by 2027 or shortly thereafter, further facilitating more auctioning and net effective carbon pricing on embodied emissions.</w:t>
      </w:r>
    </w:p>
    <w:p w14:paraId="1D6360FB" w14:textId="2A8A9B26" w:rsidR="0049504F" w:rsidRDefault="00C16C49" w:rsidP="008B755A">
      <w:pPr>
        <w:pStyle w:val="Heading3"/>
      </w:pPr>
      <w:r>
        <w:t xml:space="preserve">Alberta’s </w:t>
      </w:r>
      <w:r w:rsidR="00706C52">
        <w:t xml:space="preserve">ETS with </w:t>
      </w:r>
      <w:r>
        <w:t xml:space="preserve">fund </w:t>
      </w:r>
      <w:r w:rsidR="0049504F">
        <w:t>for industrial abatement</w:t>
      </w:r>
    </w:p>
    <w:p w14:paraId="088C383B" w14:textId="2783BE15" w:rsidR="0049504F" w:rsidRDefault="0049504F" w:rsidP="0049504F">
      <w:r>
        <w:t>Alberta</w:t>
      </w:r>
      <w:r w:rsidR="00102941">
        <w:t xml:space="preserve"> began pricing carbon for industrial facilities with a</w:t>
      </w:r>
      <w:r>
        <w:t xml:space="preserve"> Specified Gas Emitters Regulation (SGER), which came into effect on July 1, 2007, was the first carbon pricing program in North America and a significant milestone in industrial climate policy. It applied to large industrial facilities emitting m</w:t>
      </w:r>
      <w:r>
        <w:rPr>
          <w:rFonts w:hint="eastAsia"/>
        </w:rPr>
        <w:t>ore than 100,000 tCO</w:t>
      </w:r>
      <w:r>
        <w:rPr>
          <w:rFonts w:hint="eastAsia"/>
        </w:rPr>
        <w:t>₂</w:t>
      </w:r>
      <w:r>
        <w:rPr>
          <w:rFonts w:hint="eastAsia"/>
        </w:rPr>
        <w:t>e per year, covering approximately 50% of Alberta's total GHG emissions</w:t>
      </w:r>
      <w:r>
        <w:rPr>
          <w:rFonts w:hint="eastAsia"/>
        </w:rPr>
        <w:t>—</w:t>
      </w:r>
      <w:r>
        <w:rPr>
          <w:rFonts w:hint="eastAsia"/>
        </w:rPr>
        <w:t>primarily oil sands, electricity generation, cement, and other heavy industry. Its defining structural feature was that it was an emissions intensity-based syste</w:t>
      </w:r>
      <w:r>
        <w:t xml:space="preserve">m rather than an absolute cap: regulated facilities were required to reduce their emissions intensity (emissions per unit of output) by 12% below their 2003–2005 baseline average, not their total emissions. This design was a deliberate concession to the province's resource-dependent economy, allowing total emissions to rise as long as carbon efficiency improved. New facilities received a more gradual ramp-in, with a 2% annual reduction obligation beginning in their fourth year of operation, scaling up to 12% over time. The stringency was subsequently tightened: a 2015 amendment raised the required intensity reduction to 15% in 2016 and 20% in 2017 before the SGER was replaced entirely. </w:t>
      </w:r>
    </w:p>
    <w:p w14:paraId="0655E802" w14:textId="4B537325" w:rsidR="0049504F" w:rsidRDefault="0049504F" w:rsidP="0049504F">
      <w:r>
        <w:t>Facilities had four compliance pathways. They could make on-site operational improvements, purchase Emission Performance Credits (EPCs) generated by other regulated facilities that had exceeded their reduction targets, use approved Alberta-based offset cre</w:t>
      </w:r>
      <w:r>
        <w:rPr>
          <w:rFonts w:hint="eastAsia"/>
        </w:rPr>
        <w:t>dits from sectors outside the regulation, or pay into the Climate Change and Emissions Management Fund (CCEMC) at a fixed price</w:t>
      </w:r>
      <w:r>
        <w:rPr>
          <w:rFonts w:hint="eastAsia"/>
        </w:rPr>
        <w:t>—</w:t>
      </w:r>
      <w:r>
        <w:rPr>
          <w:rFonts w:hint="eastAsia"/>
        </w:rPr>
        <w:t>initially set at CAD$15/tCO</w:t>
      </w:r>
      <w:r>
        <w:rPr>
          <w:rFonts w:hint="eastAsia"/>
        </w:rPr>
        <w:t>₂</w:t>
      </w:r>
      <w:r>
        <w:rPr>
          <w:rFonts w:hint="eastAsia"/>
        </w:rPr>
        <w:t>e, which functioned as a de facto price ceiling and safety valve. The fund price was subsequently raised to CAD$20/tCO</w:t>
      </w:r>
      <w:r>
        <w:rPr>
          <w:rFonts w:hint="eastAsia"/>
        </w:rPr>
        <w:t>₂</w:t>
      </w:r>
      <w:r>
        <w:rPr>
          <w:rFonts w:hint="eastAsia"/>
        </w:rPr>
        <w:t>e in 2016 and CAD$30/tCO</w:t>
      </w:r>
      <w:r>
        <w:rPr>
          <w:rFonts w:hint="eastAsia"/>
        </w:rPr>
        <w:t>₂</w:t>
      </w:r>
      <w:r>
        <w:rPr>
          <w:rFonts w:hint="eastAsia"/>
        </w:rPr>
        <w:t>e in 2017. By 2015, the CCEMC had accumulated over CAD$578 million in total payments since 2008, which were reinvested in more than 100 low-carbon technology projects with a total value exceeding CAD$2.2 billio</w:t>
      </w:r>
      <w:r>
        <w:t xml:space="preserve">n when private co-investment is included. The SGER was replaced by the Carbon Competitiveness Incentive Regulation (CCIR) in January 2018, which shifted from facility-specific historical baselines to sector-wide product benchmarks—a tighter and more economically efficient design—before being further replaced by the current </w:t>
      </w:r>
      <w:r w:rsidR="005C609F" w:rsidRPr="005C609F">
        <w:t xml:space="preserve">Technology Innovation and Emissions Reduction (TIER) Regulation </w:t>
      </w:r>
      <w:r>
        <w:t xml:space="preserve">in January 2020. </w:t>
      </w:r>
    </w:p>
    <w:p w14:paraId="45BD8DBE" w14:textId="3322E3EA" w:rsidR="004C5619" w:rsidRDefault="009A10D6" w:rsidP="004C5619">
      <w:r>
        <w:t xml:space="preserve">The </w:t>
      </w:r>
      <w:r w:rsidR="004C5619">
        <w:t xml:space="preserve">province's </w:t>
      </w:r>
      <w:r>
        <w:t xml:space="preserve">current TIER regulation </w:t>
      </w:r>
      <w:r w:rsidR="00274F53">
        <w:t xml:space="preserve">still </w:t>
      </w:r>
      <w:r w:rsidR="004C5619">
        <w:rPr>
          <w:rFonts w:hint="eastAsia"/>
        </w:rPr>
        <w:t>applies mandatorily to facilities emitting at least 100,000 tonnes of CO</w:t>
      </w:r>
      <w:r w:rsidR="004C5619">
        <w:rPr>
          <w:rFonts w:hint="eastAsia"/>
        </w:rPr>
        <w:t>₂</w:t>
      </w:r>
      <w:r w:rsidR="004C5619">
        <w:rPr>
          <w:rFonts w:hint="eastAsia"/>
        </w:rPr>
        <w:t xml:space="preserve"> equivalent (tCO</w:t>
      </w:r>
      <w:r w:rsidR="004C5619">
        <w:rPr>
          <w:rFonts w:hint="eastAsia"/>
        </w:rPr>
        <w:t>₂</w:t>
      </w:r>
      <w:r w:rsidR="004C5619">
        <w:rPr>
          <w:rFonts w:hint="eastAsia"/>
        </w:rPr>
        <w:t xml:space="preserve">e) per year, with opt-in provisions for smaller facilities </w:t>
      </w:r>
      <w:r w:rsidR="004C5619">
        <w:rPr>
          <w:rFonts w:hint="eastAsia"/>
        </w:rPr>
        <w:lastRenderedPageBreak/>
        <w:t>emitting above 2,000 tCO</w:t>
      </w:r>
      <w:r w:rsidR="004C5619">
        <w:rPr>
          <w:rFonts w:hint="eastAsia"/>
        </w:rPr>
        <w:t>₂</w:t>
      </w:r>
      <w:r w:rsidR="004C5619">
        <w:rPr>
          <w:rFonts w:hint="eastAsia"/>
        </w:rPr>
        <w:t>e that compete with regulated entities or operate in emissions-intensive, trade-exposed sectors. In 202</w:t>
      </w:r>
      <w:r w:rsidR="00274F53">
        <w:t>5</w:t>
      </w:r>
      <w:r w:rsidR="004C5619">
        <w:rPr>
          <w:rFonts w:hint="eastAsia"/>
        </w:rPr>
        <w:t xml:space="preserve">, TIER covered roughly 63% of Alberta's total provincial emissions. TIER </w:t>
      </w:r>
      <w:r w:rsidR="00A02B6E">
        <w:t>remains an</w:t>
      </w:r>
      <w:r w:rsidR="004C5619">
        <w:rPr>
          <w:rFonts w:hint="eastAsia"/>
        </w:rPr>
        <w:t xml:space="preserve"> intensity-based</w:t>
      </w:r>
      <w:r w:rsidR="00A02B6E">
        <w:t xml:space="preserve"> system</w:t>
      </w:r>
      <w:r w:rsidR="004C5619">
        <w:rPr>
          <w:rFonts w:hint="eastAsia"/>
        </w:rPr>
        <w:t>: facilities must reduce their</w:t>
      </w:r>
      <w:r w:rsidR="004C5619">
        <w:t xml:space="preserve"> emissions per unit of output relative to a benchmark</w:t>
      </w:r>
      <w:r w:rsidR="004D240C">
        <w:t>—</w:t>
      </w:r>
      <w:r w:rsidR="004C5619">
        <w:t>either a facility-specific historical benchmark or a high-performance benchmark based on the most efficient facilities in a given sector. Facilities that outperform their targets earn tradeable Emission Performance Credits (EPCs), while those that fall short must comply by purchasing EPCs from others, using Alberta-based offset credits, or paying into the TIER Fund at a prescribed price per tonne.</w:t>
      </w:r>
    </w:p>
    <w:p w14:paraId="588B67B0" w14:textId="5D07969B" w:rsidR="004C5619" w:rsidRDefault="004C5619" w:rsidP="004C5619">
      <w:r>
        <w:t>The TIER Fund receives contributions from non-compliant facilities and channels that revenue into research, development, and deployment of clean technologies</w:t>
      </w:r>
      <w:r w:rsidR="004D240C">
        <w:t>—</w:t>
      </w:r>
      <w:r>
        <w:t>including carbon capture and storage, hydrogen, geothermal, energy storage, and methane reduction. The prescribed TIER Fund price has served as an effective carbon price floor, rising over time to incentivize on-site reductions over simply paying into the fund. However, in May 2025 the Alberta government froze the fund price at CAD 95/tonne, halting scheduled increases that were set to reach CAD 170/tonne by 2030, citing economic competitiveness concerns. TIER operates as Alberta's approved substitute for the federal Output-Based Pricing System (OBPS) under the Greenhouse Gas Pollution Pricing Act, meaning provincially regulated large emitters are not subject to the federal industrial carbon pricing backstop. The intensity-based design is explicitly intended to allow industrial output</w:t>
      </w:r>
      <w:r w:rsidR="004D240C">
        <w:t>—</w:t>
      </w:r>
      <w:r>
        <w:t>and Alberta's oil and gas sector in particular</w:t>
      </w:r>
      <w:r w:rsidR="004D240C">
        <w:t>—</w:t>
      </w:r>
      <w:r>
        <w:t>to continue growing, while still driving improvements in emissions efficiency, a deliberate trade-off compared to the absolute cap used in systems like California's.</w:t>
      </w:r>
    </w:p>
    <w:p w14:paraId="745A7FE4" w14:textId="176523EC" w:rsidR="00221897" w:rsidRPr="00221897" w:rsidRDefault="0049504F" w:rsidP="00864E3B">
      <w:r>
        <w:t>From a CBAM perspective, under the Alberta-style example, although the free allocation through the intensity standards would reduce the carbon price effectively paid, carbon payments made into the Fund would be deductible, and investment support to the low-carbon technology projects would not reduce that effective carbon price.</w:t>
      </w:r>
    </w:p>
    <w:p w14:paraId="68EF8BE9" w14:textId="50B421FD" w:rsidR="007F34F1" w:rsidRDefault="007F34F1" w:rsidP="007F34F1">
      <w:pPr>
        <w:pStyle w:val="Heading2"/>
      </w:pPr>
      <w:bookmarkStart w:id="85" w:name="_Toc234844398"/>
      <w:r>
        <w:t>The interplay of carbon pricing with energy taxes and subsidies</w:t>
      </w:r>
      <w:r w:rsidR="00A57916">
        <w:t xml:space="preserve"> in Egypt</w:t>
      </w:r>
      <w:bookmarkEnd w:id="85"/>
      <w:r>
        <w:t xml:space="preserve"> </w:t>
      </w:r>
    </w:p>
    <w:p w14:paraId="48D768A6" w14:textId="74B5D6FE" w:rsidR="007F34F1" w:rsidRDefault="007F34F1" w:rsidP="007F34F1">
      <w:r w:rsidRPr="00373DC0">
        <w:rPr>
          <w:b/>
          <w:bCs/>
        </w:rPr>
        <w:t>Carbon pricing can take different forms.</w:t>
      </w:r>
      <w:r>
        <w:t xml:space="preserve"> This includes direct (or explicit) carbon pricing and indirect pricing. Direct pricing includes emissions trading systems (ETSs) and carbon taxes, which</w:t>
      </w:r>
      <w:r w:rsidRPr="00912693">
        <w:rPr>
          <w:rFonts w:ascii="Merriweather" w:hAnsi="Merriweather"/>
          <w:color w:val="2A2A2A"/>
          <w:sz w:val="23"/>
          <w:szCs w:val="23"/>
          <w:shd w:val="clear" w:color="auto" w:fill="FFFFFF"/>
        </w:rPr>
        <w:t xml:space="preserve"> </w:t>
      </w:r>
      <w:r w:rsidRPr="00912693">
        <w:t>impose a cost expressed as a monetary unit per ton of carbon dioxide equivalent</w:t>
      </w:r>
      <w:r>
        <w:t xml:space="preserve"> (</w:t>
      </w:r>
      <w:r w:rsidRPr="00912693">
        <w:t>CO</w:t>
      </w:r>
      <w:r w:rsidRPr="00912693">
        <w:rPr>
          <w:vertAlign w:val="subscript"/>
        </w:rPr>
        <w:t>2</w:t>
      </w:r>
      <w:r w:rsidRPr="00912693">
        <w:t>e</w:t>
      </w:r>
      <w:r>
        <w:t>). However, upstream carbon fuel excise tax rates are based on standard emissions factors and can be recalculated and expressed in weight or volume units to facilitate tax collection and compliance costs.A carbon pricing cost</w:t>
      </w:r>
      <w:r w:rsidRPr="00912693">
        <w:t xml:space="preserve"> is then reflected </w:t>
      </w:r>
      <w:r>
        <w:t xml:space="preserve">through the supply chain </w:t>
      </w:r>
      <w:r w:rsidRPr="00912693">
        <w:t xml:space="preserve">in the relative prices of products and services. </w:t>
      </w:r>
      <w:r>
        <w:t>While  direct carbon pricing has an</w:t>
      </w:r>
      <w:r w:rsidRPr="00912693">
        <w:t xml:space="preserve"> advantage </w:t>
      </w:r>
      <w:r>
        <w:t xml:space="preserve">of </w:t>
      </w:r>
      <w:r w:rsidRPr="00912693">
        <w:t>sending a consistent price-per-ton signal across a broad range of market actors</w:t>
      </w:r>
      <w:r>
        <w:t>, carbon pricing can be also implemented “i</w:t>
      </w:r>
      <w:r w:rsidRPr="00912693">
        <w:t>ndirect</w:t>
      </w:r>
      <w:r>
        <w:t xml:space="preserve">ly” (or “implicitly”) through </w:t>
      </w:r>
      <w:r w:rsidRPr="00912693">
        <w:t xml:space="preserve">policies </w:t>
      </w:r>
      <w:r>
        <w:t xml:space="preserve">that </w:t>
      </w:r>
      <w:r w:rsidRPr="00912693">
        <w:t>impose a cost on specific carbon-containing energy source</w:t>
      </w:r>
      <w:r>
        <w:t xml:space="preserve">. For example, fuel excise taxes and fossil fuel subsidies influence the carbon price signal and the relative prices of products and services, even though they do not </w:t>
      </w:r>
      <w:r w:rsidRPr="00912693">
        <w:t xml:space="preserve">fully </w:t>
      </w:r>
      <w:r w:rsidRPr="00912693">
        <w:lastRenderedPageBreak/>
        <w:t>align</w:t>
      </w:r>
      <w:r>
        <w:t xml:space="preserve"> </w:t>
      </w:r>
      <w:r w:rsidRPr="00912693">
        <w:t xml:space="preserve">the carbon </w:t>
      </w:r>
      <w:r>
        <w:t xml:space="preserve">price </w:t>
      </w:r>
      <w:r w:rsidRPr="00912693">
        <w:t>across fuels</w:t>
      </w:r>
      <w:r>
        <w:t xml:space="preserve"> and activities (and are usually implemented for non-climate mitigation purposes).</w:t>
      </w:r>
      <w:r>
        <w:rPr>
          <w:rStyle w:val="FootnoteReference"/>
        </w:rPr>
        <w:footnoteReference w:id="31"/>
      </w:r>
      <w:r>
        <w:t xml:space="preserve"> </w:t>
      </w:r>
    </w:p>
    <w:p w14:paraId="0AD67D94" w14:textId="5A543FC2" w:rsidR="007F34F1" w:rsidRPr="000E6922" w:rsidRDefault="007F34F1" w:rsidP="007F34F1">
      <w:r w:rsidRPr="00373DC0">
        <w:rPr>
          <w:b/>
          <w:bCs/>
        </w:rPr>
        <w:t xml:space="preserve">Egypt </w:t>
      </w:r>
      <w:r>
        <w:rPr>
          <w:b/>
          <w:bCs/>
        </w:rPr>
        <w:t xml:space="preserve">has fuel tax and price interventions that represent </w:t>
      </w:r>
      <w:r w:rsidRPr="00373DC0">
        <w:rPr>
          <w:b/>
          <w:bCs/>
          <w:color w:val="000000" w:themeColor="text1"/>
        </w:rPr>
        <w:t>indirect carbon pricing.</w:t>
      </w:r>
      <w:r>
        <w:rPr>
          <w:color w:val="000000" w:themeColor="text1"/>
        </w:rPr>
        <w:t xml:space="preserve"> As documented by </w:t>
      </w:r>
      <w:r w:rsidRPr="000A00BF">
        <w:rPr>
          <w:rFonts w:cs="Segoe UI"/>
          <w:szCs w:val="18"/>
        </w:rPr>
        <w:t>Aldaz-Carroll</w:t>
      </w:r>
      <w:r>
        <w:rPr>
          <w:color w:val="000000" w:themeColor="text1"/>
        </w:rPr>
        <w:t xml:space="preserve"> et al. (2025), multiple indirect</w:t>
      </w:r>
      <w:r w:rsidRPr="00BF3901">
        <w:rPr>
          <w:color w:val="000000" w:themeColor="text1"/>
        </w:rPr>
        <w:t xml:space="preserve"> instruments are present in Egypt</w:t>
      </w:r>
      <w:r>
        <w:rPr>
          <w:color w:val="000000" w:themeColor="text1"/>
        </w:rPr>
        <w:t xml:space="preserve">, with attributes summarized in </w:t>
      </w:r>
      <w:r w:rsidRPr="001D5595">
        <w:rPr>
          <w:color w:val="000000" w:themeColor="text1"/>
        </w:rPr>
        <w:fldChar w:fldCharType="begin"/>
      </w:r>
      <w:r w:rsidRPr="001D5595">
        <w:rPr>
          <w:color w:val="000000" w:themeColor="text1"/>
        </w:rPr>
        <w:instrText xml:space="preserve"> REF _Ref193463261 \h </w:instrText>
      </w:r>
      <w:r w:rsidRPr="00815ECA">
        <w:rPr>
          <w:color w:val="000000" w:themeColor="text1"/>
        </w:rPr>
        <w:instrText xml:space="preserve"> \* MERGEFORMAT </w:instrText>
      </w:r>
      <w:r w:rsidRPr="001D5595">
        <w:rPr>
          <w:color w:val="000000" w:themeColor="text1"/>
        </w:rPr>
      </w:r>
      <w:r w:rsidRPr="001D5595">
        <w:rPr>
          <w:color w:val="000000" w:themeColor="text1"/>
        </w:rPr>
        <w:fldChar w:fldCharType="separate"/>
      </w:r>
      <w:r w:rsidRPr="00815ECA">
        <w:rPr>
          <w:szCs w:val="20"/>
        </w:rPr>
        <w:t xml:space="preserve">Table </w:t>
      </w:r>
      <w:r w:rsidRPr="00815ECA">
        <w:rPr>
          <w:noProof/>
          <w:szCs w:val="20"/>
        </w:rPr>
        <w:t>1</w:t>
      </w:r>
      <w:r w:rsidRPr="001D5595">
        <w:rPr>
          <w:color w:val="000000" w:themeColor="text1"/>
        </w:rPr>
        <w:fldChar w:fldCharType="end"/>
      </w:r>
      <w:r w:rsidRPr="00BF3901">
        <w:rPr>
          <w:color w:val="000000" w:themeColor="text1"/>
        </w:rPr>
        <w:t>.</w:t>
      </w:r>
      <w:r>
        <w:rPr>
          <w:color w:val="000000" w:themeColor="text1"/>
        </w:rPr>
        <w:t xml:space="preserve"> The country</w:t>
      </w:r>
      <w:r>
        <w:t xml:space="preserve">’s fuel excise taxes, stamp duties, and development taxes create some positive carbon price signal and can form a basis for reform into direct carbon prices. Likewise, </w:t>
      </w:r>
      <w:r>
        <w:rPr>
          <w:color w:val="000000" w:themeColor="text1"/>
        </w:rPr>
        <w:t>VAT exemptions for certain fuels and subsidies arising from price regulations undermine the carbon price signal, so that current reforms to these systems contribute to pricing carbon.</w:t>
      </w:r>
    </w:p>
    <w:p w14:paraId="619C3F00" w14:textId="08F375DB" w:rsidR="007F34F1" w:rsidRPr="00BB08AE" w:rsidRDefault="007F34F1" w:rsidP="007F34F1">
      <w:pPr>
        <w:pStyle w:val="Caption"/>
        <w:keepNext/>
        <w:rPr>
          <w:b/>
          <w:bCs/>
          <w:i w:val="0"/>
          <w:iCs w:val="0"/>
        </w:rPr>
      </w:pPr>
      <w:r w:rsidRPr="00BB08AE">
        <w:rPr>
          <w:b/>
          <w:bCs/>
          <w:i w:val="0"/>
          <w:iCs w:val="0"/>
          <w:sz w:val="20"/>
          <w:szCs w:val="20"/>
        </w:rPr>
        <w:t>Tabl</w:t>
      </w:r>
      <w:r w:rsidRPr="00C31D3C">
        <w:rPr>
          <w:b/>
          <w:bCs/>
          <w:i w:val="0"/>
          <w:iCs w:val="0"/>
          <w:sz w:val="20"/>
          <w:szCs w:val="20"/>
        </w:rPr>
        <w:t xml:space="preserve">e </w:t>
      </w:r>
      <w:r w:rsidRPr="00C31D3C">
        <w:rPr>
          <w:b/>
          <w:bCs/>
          <w:i w:val="0"/>
          <w:iCs w:val="0"/>
          <w:sz w:val="20"/>
          <w:szCs w:val="20"/>
        </w:rPr>
        <w:fldChar w:fldCharType="begin"/>
      </w:r>
      <w:r w:rsidRPr="00391C10">
        <w:rPr>
          <w:b/>
          <w:bCs/>
          <w:i w:val="0"/>
          <w:iCs w:val="0"/>
        </w:rPr>
        <w:instrText xml:space="preserve"> SEQ Table \* ARABIC </w:instrText>
      </w:r>
      <w:r w:rsidRPr="00C31D3C">
        <w:rPr>
          <w:b/>
          <w:bCs/>
          <w:i w:val="0"/>
          <w:iCs w:val="0"/>
          <w:sz w:val="20"/>
          <w:szCs w:val="20"/>
        </w:rPr>
        <w:fldChar w:fldCharType="separate"/>
      </w:r>
      <w:r w:rsidR="003E6C69">
        <w:rPr>
          <w:b/>
          <w:bCs/>
          <w:i w:val="0"/>
          <w:iCs w:val="0"/>
          <w:noProof/>
        </w:rPr>
        <w:t>2</w:t>
      </w:r>
      <w:r w:rsidRPr="00C31D3C">
        <w:rPr>
          <w:b/>
          <w:bCs/>
          <w:i w:val="0"/>
          <w:iCs w:val="0"/>
          <w:sz w:val="20"/>
          <w:szCs w:val="20"/>
        </w:rPr>
        <w:fldChar w:fldCharType="end"/>
      </w:r>
      <w:r w:rsidRPr="00BB08AE">
        <w:rPr>
          <w:b/>
          <w:bCs/>
          <w:i w:val="0"/>
          <w:iCs w:val="0"/>
          <w:sz w:val="20"/>
          <w:szCs w:val="20"/>
        </w:rPr>
        <w:t>. Brief description of applicable indirect carbon pricing instruments in Egypt</w:t>
      </w:r>
    </w:p>
    <w:tbl>
      <w:tblPr>
        <w:tblStyle w:val="PlainTable4"/>
        <w:tblW w:w="9360" w:type="dxa"/>
        <w:tblLayout w:type="fixed"/>
        <w:tblLook w:val="04A0" w:firstRow="1" w:lastRow="0" w:firstColumn="1" w:lastColumn="0" w:noHBand="0" w:noVBand="1"/>
      </w:tblPr>
      <w:tblGrid>
        <w:gridCol w:w="1260"/>
        <w:gridCol w:w="4680"/>
        <w:gridCol w:w="1800"/>
        <w:gridCol w:w="270"/>
        <w:gridCol w:w="1350"/>
      </w:tblGrid>
      <w:tr w:rsidR="007F34F1" w:rsidRPr="008E344B" w14:paraId="49CB0470" w14:textId="77777777" w:rsidTr="00AF6469">
        <w:trPr>
          <w:cnfStyle w:val="100000000000" w:firstRow="1" w:lastRow="0" w:firstColumn="0" w:lastColumn="0" w:oddVBand="0" w:evenVBand="0" w:oddHBand="0" w:evenHBand="0" w:firstRowFirstColumn="0" w:firstRowLastColumn="0" w:lastRowFirstColumn="0" w:lastRowLastColumn="0"/>
          <w:cantSplit/>
          <w:trHeight w:val="241"/>
        </w:trPr>
        <w:tc>
          <w:tcPr>
            <w:cnfStyle w:val="001000000000" w:firstRow="0" w:lastRow="0" w:firstColumn="1" w:lastColumn="0" w:oddVBand="0" w:evenVBand="0" w:oddHBand="0" w:evenHBand="0" w:firstRowFirstColumn="0" w:firstRowLastColumn="0" w:lastRowFirstColumn="0" w:lastRowLastColumn="0"/>
            <w:tcW w:w="1260" w:type="dxa"/>
            <w:tcBorders>
              <w:bottom w:val="single" w:sz="4" w:space="0" w:color="auto"/>
            </w:tcBorders>
          </w:tcPr>
          <w:p w14:paraId="4229D198" w14:textId="77777777" w:rsidR="007F34F1" w:rsidRPr="00210064" w:rsidRDefault="007F34F1">
            <w:pPr>
              <w:jc w:val="center"/>
              <w:rPr>
                <w:sz w:val="16"/>
                <w:szCs w:val="16"/>
              </w:rPr>
            </w:pPr>
            <w:r w:rsidRPr="00210064">
              <w:rPr>
                <w:sz w:val="16"/>
                <w:szCs w:val="16"/>
              </w:rPr>
              <w:t>INSTRUMENT</w:t>
            </w:r>
          </w:p>
        </w:tc>
        <w:tc>
          <w:tcPr>
            <w:tcW w:w="4680" w:type="dxa"/>
            <w:tcBorders>
              <w:bottom w:val="single" w:sz="4" w:space="0" w:color="auto"/>
            </w:tcBorders>
          </w:tcPr>
          <w:p w14:paraId="595A91F4" w14:textId="77777777" w:rsidR="007F34F1" w:rsidRPr="00210064" w:rsidRDefault="007F34F1">
            <w:pPr>
              <w:jc w:val="center"/>
              <w:cnfStyle w:val="100000000000" w:firstRow="1" w:lastRow="0" w:firstColumn="0" w:lastColumn="0" w:oddVBand="0" w:evenVBand="0" w:oddHBand="0" w:evenHBand="0" w:firstRowFirstColumn="0" w:firstRowLastColumn="0" w:lastRowFirstColumn="0" w:lastRowLastColumn="0"/>
              <w:rPr>
                <w:sz w:val="16"/>
                <w:szCs w:val="16"/>
              </w:rPr>
            </w:pPr>
            <w:r w:rsidRPr="00210064">
              <w:rPr>
                <w:sz w:val="16"/>
                <w:szCs w:val="16"/>
              </w:rPr>
              <w:t>DESCRIPTION</w:t>
            </w:r>
          </w:p>
        </w:tc>
        <w:tc>
          <w:tcPr>
            <w:tcW w:w="2070" w:type="dxa"/>
            <w:gridSpan w:val="2"/>
            <w:tcBorders>
              <w:bottom w:val="single" w:sz="4" w:space="0" w:color="auto"/>
            </w:tcBorders>
          </w:tcPr>
          <w:p w14:paraId="029E2066" w14:textId="77777777" w:rsidR="007F34F1" w:rsidRPr="00210064" w:rsidRDefault="007F34F1">
            <w:pPr>
              <w:jc w:val="center"/>
              <w:cnfStyle w:val="100000000000" w:firstRow="1" w:lastRow="0" w:firstColumn="0" w:lastColumn="0" w:oddVBand="0" w:evenVBand="0" w:oddHBand="0" w:evenHBand="0" w:firstRowFirstColumn="0" w:firstRowLastColumn="0" w:lastRowFirstColumn="0" w:lastRowLastColumn="0"/>
              <w:rPr>
                <w:sz w:val="16"/>
                <w:szCs w:val="16"/>
              </w:rPr>
            </w:pPr>
            <w:r w:rsidRPr="00210064">
              <w:rPr>
                <w:sz w:val="16"/>
                <w:szCs w:val="16"/>
              </w:rPr>
              <w:t>COVERAGE</w:t>
            </w:r>
          </w:p>
        </w:tc>
        <w:tc>
          <w:tcPr>
            <w:tcW w:w="1350" w:type="dxa"/>
            <w:tcBorders>
              <w:bottom w:val="single" w:sz="4" w:space="0" w:color="auto"/>
            </w:tcBorders>
          </w:tcPr>
          <w:p w14:paraId="074DABF8" w14:textId="77777777" w:rsidR="007F34F1" w:rsidRPr="00210064" w:rsidRDefault="007F34F1">
            <w:pPr>
              <w:jc w:val="center"/>
              <w:cnfStyle w:val="100000000000" w:firstRow="1" w:lastRow="0" w:firstColumn="0" w:lastColumn="0" w:oddVBand="0" w:evenVBand="0" w:oddHBand="0" w:evenHBand="0" w:firstRowFirstColumn="0" w:firstRowLastColumn="0" w:lastRowFirstColumn="0" w:lastRowLastColumn="0"/>
              <w:rPr>
                <w:sz w:val="16"/>
                <w:szCs w:val="16"/>
              </w:rPr>
            </w:pPr>
            <w:r w:rsidRPr="00210064">
              <w:rPr>
                <w:sz w:val="16"/>
                <w:szCs w:val="16"/>
              </w:rPr>
              <w:t>SOURCE</w:t>
            </w:r>
          </w:p>
        </w:tc>
      </w:tr>
      <w:tr w:rsidR="007F34F1" w:rsidRPr="008E344B" w14:paraId="2BEE3050" w14:textId="77777777" w:rsidTr="00AF6469">
        <w:trPr>
          <w:cantSplit/>
          <w:trHeight w:val="251"/>
        </w:trPr>
        <w:tc>
          <w:tcPr>
            <w:cnfStyle w:val="001000000000" w:firstRow="0" w:lastRow="0" w:firstColumn="1" w:lastColumn="0" w:oddVBand="0" w:evenVBand="0" w:oddHBand="0" w:evenHBand="0" w:firstRowFirstColumn="0" w:firstRowLastColumn="0" w:lastRowFirstColumn="0" w:lastRowLastColumn="0"/>
            <w:tcW w:w="9360" w:type="dxa"/>
            <w:gridSpan w:val="5"/>
            <w:tcBorders>
              <w:bottom w:val="single" w:sz="4" w:space="0" w:color="auto"/>
            </w:tcBorders>
          </w:tcPr>
          <w:p w14:paraId="0C762821" w14:textId="77777777" w:rsidR="007F34F1" w:rsidRPr="00210064" w:rsidRDefault="007F34F1">
            <w:pPr>
              <w:jc w:val="center"/>
              <w:rPr>
                <w:i/>
                <w:iCs/>
                <w:sz w:val="16"/>
                <w:szCs w:val="16"/>
              </w:rPr>
            </w:pPr>
            <w:r w:rsidRPr="00210064">
              <w:rPr>
                <w:i/>
                <w:iCs/>
                <w:sz w:val="16"/>
                <w:szCs w:val="16"/>
              </w:rPr>
              <w:t>ENERGY TAXES</w:t>
            </w:r>
          </w:p>
        </w:tc>
      </w:tr>
      <w:tr w:rsidR="007F34F1" w:rsidRPr="00F349A6" w14:paraId="667B4A00" w14:textId="77777777" w:rsidTr="00AF6469">
        <w:trPr>
          <w:cantSplit/>
          <w:trHeight w:val="1295"/>
        </w:trPr>
        <w:tc>
          <w:tcPr>
            <w:cnfStyle w:val="001000000000" w:firstRow="0" w:lastRow="0" w:firstColumn="1" w:lastColumn="0" w:oddVBand="0" w:evenVBand="0" w:oddHBand="0" w:evenHBand="0" w:firstRowFirstColumn="0" w:firstRowLastColumn="0" w:lastRowFirstColumn="0" w:lastRowLastColumn="0"/>
            <w:tcW w:w="1260" w:type="dxa"/>
            <w:tcBorders>
              <w:top w:val="single" w:sz="4" w:space="0" w:color="auto"/>
            </w:tcBorders>
          </w:tcPr>
          <w:p w14:paraId="6BC03AFC" w14:textId="35750C84" w:rsidR="007F34F1" w:rsidRPr="00210064" w:rsidRDefault="007F34F1">
            <w:pPr>
              <w:jc w:val="left"/>
              <w:rPr>
                <w:sz w:val="16"/>
                <w:szCs w:val="16"/>
              </w:rPr>
            </w:pPr>
            <w:r>
              <w:rPr>
                <w:sz w:val="16"/>
                <w:szCs w:val="16"/>
              </w:rPr>
              <w:t xml:space="preserve">Schedule </w:t>
            </w:r>
            <w:r w:rsidRPr="00210064">
              <w:rPr>
                <w:sz w:val="16"/>
                <w:szCs w:val="16"/>
              </w:rPr>
              <w:t>tax</w:t>
            </w:r>
          </w:p>
        </w:tc>
        <w:tc>
          <w:tcPr>
            <w:tcW w:w="4680" w:type="dxa"/>
            <w:tcBorders>
              <w:top w:val="single" w:sz="4" w:space="0" w:color="auto"/>
            </w:tcBorders>
          </w:tcPr>
          <w:p w14:paraId="48A3D227" w14:textId="77777777" w:rsidR="007F34F1" w:rsidRPr="00210064" w:rsidRDefault="007F34F1">
            <w:pPr>
              <w:cnfStyle w:val="000000000000" w:firstRow="0" w:lastRow="0" w:firstColumn="0" w:lastColumn="0" w:oddVBand="0" w:evenVBand="0" w:oddHBand="0" w:evenHBand="0" w:firstRowFirstColumn="0" w:firstRowLastColumn="0" w:lastRowFirstColumn="0" w:lastRowLastColumn="0"/>
              <w:rPr>
                <w:sz w:val="16"/>
                <w:szCs w:val="16"/>
              </w:rPr>
            </w:pPr>
            <w:r w:rsidRPr="00210064">
              <w:rPr>
                <w:sz w:val="16"/>
                <w:szCs w:val="16"/>
              </w:rPr>
              <w:t>Specific tax applicable per unit of fuel for petroleum products:</w:t>
            </w:r>
          </w:p>
          <w:p w14:paraId="4FC1FEB4" w14:textId="77777777" w:rsidR="007F34F1" w:rsidRPr="00210064" w:rsidRDefault="007F34F1">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sz w:val="16"/>
                <w:szCs w:val="16"/>
              </w:rPr>
            </w:pPr>
            <w:r w:rsidRPr="00210064">
              <w:rPr>
                <w:sz w:val="16"/>
                <w:szCs w:val="16"/>
              </w:rPr>
              <w:t>Diesel oil – 0.008 EGP/liter</w:t>
            </w:r>
          </w:p>
          <w:p w14:paraId="605525BE" w14:textId="77777777" w:rsidR="007F34F1" w:rsidRPr="00210064" w:rsidRDefault="007F34F1">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sz w:val="16"/>
                <w:szCs w:val="16"/>
              </w:rPr>
            </w:pPr>
            <w:r w:rsidRPr="00210064">
              <w:rPr>
                <w:sz w:val="16"/>
                <w:szCs w:val="16"/>
              </w:rPr>
              <w:t>Gasoline (various rates) – ~0.5 EGP/liter</w:t>
            </w:r>
          </w:p>
          <w:p w14:paraId="3D95C882" w14:textId="77777777" w:rsidR="007F34F1" w:rsidRPr="00210064" w:rsidRDefault="007F34F1">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sz w:val="16"/>
                <w:szCs w:val="16"/>
              </w:rPr>
            </w:pPr>
            <w:r w:rsidRPr="00210064">
              <w:rPr>
                <w:sz w:val="16"/>
                <w:szCs w:val="16"/>
              </w:rPr>
              <w:t>Kerosene – 0.36 EGP/liter</w:t>
            </w:r>
          </w:p>
          <w:p w14:paraId="3639FEF1" w14:textId="77777777" w:rsidR="007F34F1" w:rsidRPr="00210064" w:rsidRDefault="007F34F1">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sz w:val="16"/>
                <w:szCs w:val="16"/>
              </w:rPr>
            </w:pPr>
            <w:r w:rsidRPr="00210064">
              <w:rPr>
                <w:sz w:val="16"/>
                <w:szCs w:val="16"/>
              </w:rPr>
              <w:t>Fuel oil – 0.50 EGP/ton</w:t>
            </w:r>
          </w:p>
        </w:tc>
        <w:tc>
          <w:tcPr>
            <w:tcW w:w="1800" w:type="dxa"/>
            <w:tcBorders>
              <w:top w:val="single" w:sz="4" w:space="0" w:color="auto"/>
            </w:tcBorders>
          </w:tcPr>
          <w:p w14:paraId="69F6239D" w14:textId="77777777" w:rsidR="007F34F1" w:rsidRPr="00210064" w:rsidRDefault="007F34F1" w:rsidP="00AF6469">
            <w:pPr>
              <w:jc w:val="left"/>
              <w:cnfStyle w:val="000000000000" w:firstRow="0" w:lastRow="0" w:firstColumn="0" w:lastColumn="0" w:oddVBand="0" w:evenVBand="0" w:oddHBand="0" w:evenHBand="0" w:firstRowFirstColumn="0" w:firstRowLastColumn="0" w:lastRowFirstColumn="0" w:lastRowLastColumn="0"/>
              <w:rPr>
                <w:sz w:val="16"/>
                <w:szCs w:val="16"/>
              </w:rPr>
            </w:pPr>
            <w:r w:rsidRPr="00210064">
              <w:rPr>
                <w:sz w:val="16"/>
                <w:szCs w:val="16"/>
              </w:rPr>
              <w:t>These taxes are imposed in-lieu of the VAT thus indirectly leading to VAT differentials.</w:t>
            </w:r>
          </w:p>
        </w:tc>
        <w:tc>
          <w:tcPr>
            <w:tcW w:w="1620" w:type="dxa"/>
            <w:gridSpan w:val="2"/>
            <w:tcBorders>
              <w:top w:val="single" w:sz="4" w:space="0" w:color="auto"/>
            </w:tcBorders>
          </w:tcPr>
          <w:p w14:paraId="22C1237D" w14:textId="77777777" w:rsidR="007F34F1" w:rsidRPr="00210064" w:rsidRDefault="007F34F1">
            <w:pPr>
              <w:cnfStyle w:val="000000000000" w:firstRow="0" w:lastRow="0" w:firstColumn="0" w:lastColumn="0" w:oddVBand="0" w:evenVBand="0" w:oddHBand="0" w:evenHBand="0" w:firstRowFirstColumn="0" w:firstRowLastColumn="0" w:lastRowFirstColumn="0" w:lastRowLastColumn="0"/>
              <w:rPr>
                <w:sz w:val="16"/>
                <w:szCs w:val="16"/>
              </w:rPr>
            </w:pPr>
            <w:r w:rsidRPr="00210064">
              <w:rPr>
                <w:sz w:val="16"/>
                <w:szCs w:val="16"/>
              </w:rPr>
              <w:t xml:space="preserve">VAT Law No. (67) of 2016 </w:t>
            </w:r>
            <w:hyperlink r:id="rId24" w:history="1">
              <w:r w:rsidRPr="00210064">
                <w:rPr>
                  <w:rStyle w:val="Hyperlink"/>
                  <w:sz w:val="16"/>
                  <w:szCs w:val="16"/>
                </w:rPr>
                <w:t>(source)</w:t>
              </w:r>
            </w:hyperlink>
          </w:p>
        </w:tc>
      </w:tr>
      <w:tr w:rsidR="007F34F1" w:rsidRPr="00F349A6" w14:paraId="709699A9" w14:textId="77777777" w:rsidTr="00AF6469">
        <w:trPr>
          <w:cantSplit/>
          <w:trHeight w:val="1359"/>
        </w:trPr>
        <w:tc>
          <w:tcPr>
            <w:cnfStyle w:val="001000000000" w:firstRow="0" w:lastRow="0" w:firstColumn="1" w:lastColumn="0" w:oddVBand="0" w:evenVBand="0" w:oddHBand="0" w:evenHBand="0" w:firstRowFirstColumn="0" w:firstRowLastColumn="0" w:lastRowFirstColumn="0" w:lastRowLastColumn="0"/>
            <w:tcW w:w="0" w:type="dxa"/>
          </w:tcPr>
          <w:p w14:paraId="22D2C8CE" w14:textId="77777777" w:rsidR="007F34F1" w:rsidRPr="00210064" w:rsidRDefault="007F34F1">
            <w:pPr>
              <w:jc w:val="left"/>
              <w:rPr>
                <w:sz w:val="16"/>
                <w:szCs w:val="16"/>
              </w:rPr>
            </w:pPr>
            <w:r w:rsidRPr="00210064">
              <w:rPr>
                <w:sz w:val="16"/>
                <w:szCs w:val="16"/>
              </w:rPr>
              <w:t>Stamp duty</w:t>
            </w:r>
          </w:p>
        </w:tc>
        <w:tc>
          <w:tcPr>
            <w:tcW w:w="0" w:type="dxa"/>
          </w:tcPr>
          <w:p w14:paraId="0B6E4268" w14:textId="77777777" w:rsidR="007F34F1" w:rsidRPr="00210064" w:rsidRDefault="007F34F1">
            <w:pPr>
              <w:cnfStyle w:val="000000000000" w:firstRow="0" w:lastRow="0" w:firstColumn="0" w:lastColumn="0" w:oddVBand="0" w:evenVBand="0" w:oddHBand="0" w:evenHBand="0" w:firstRowFirstColumn="0" w:firstRowLastColumn="0" w:lastRowFirstColumn="0" w:lastRowLastColumn="0"/>
              <w:rPr>
                <w:sz w:val="16"/>
                <w:szCs w:val="16"/>
              </w:rPr>
            </w:pPr>
            <w:r w:rsidRPr="00210064">
              <w:rPr>
                <w:sz w:val="16"/>
                <w:szCs w:val="16"/>
              </w:rPr>
              <w:t xml:space="preserve">Applicable at specific rates for consumption of: </w:t>
            </w:r>
          </w:p>
          <w:p w14:paraId="1FF652C5" w14:textId="77777777" w:rsidR="007F34F1" w:rsidRPr="00210064" w:rsidRDefault="007F34F1">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sz w:val="16"/>
                <w:szCs w:val="16"/>
              </w:rPr>
            </w:pPr>
            <w:r w:rsidRPr="00210064">
              <w:rPr>
                <w:b/>
                <w:bCs/>
                <w:sz w:val="16"/>
                <w:szCs w:val="16"/>
              </w:rPr>
              <w:t>Electricity.</w:t>
            </w:r>
            <w:r w:rsidRPr="00210064">
              <w:rPr>
                <w:sz w:val="16"/>
                <w:szCs w:val="16"/>
              </w:rPr>
              <w:t xml:space="preserve"> Duty of 0.03 EGP/KW/H of electricity consumed for household or commercial purposes and 0.006 for each 10 KW/H of electricity consumed for industrial purposes</w:t>
            </w:r>
          </w:p>
          <w:p w14:paraId="47D211E1" w14:textId="77777777" w:rsidR="007F34F1" w:rsidRPr="00210064" w:rsidRDefault="007F34F1">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sz w:val="16"/>
                <w:szCs w:val="16"/>
              </w:rPr>
            </w:pPr>
            <w:r w:rsidRPr="00210064">
              <w:rPr>
                <w:b/>
                <w:bCs/>
                <w:sz w:val="16"/>
                <w:szCs w:val="16"/>
              </w:rPr>
              <w:t>Natural gas.</w:t>
            </w:r>
            <w:r w:rsidRPr="00210064">
              <w:rPr>
                <w:sz w:val="16"/>
                <w:szCs w:val="16"/>
              </w:rPr>
              <w:t xml:space="preserve"> Duty of 0.036 EGP on each cubit meter of gas consumed for non-industrial purposes.</w:t>
            </w:r>
          </w:p>
          <w:p w14:paraId="6104B50F" w14:textId="77777777" w:rsidR="007F34F1" w:rsidRPr="00210064" w:rsidRDefault="007F34F1">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sz w:val="16"/>
                <w:szCs w:val="16"/>
              </w:rPr>
            </w:pPr>
            <w:r w:rsidRPr="00210064">
              <w:rPr>
                <w:b/>
                <w:bCs/>
                <w:sz w:val="16"/>
                <w:szCs w:val="16"/>
              </w:rPr>
              <w:t>Butane.</w:t>
            </w:r>
            <w:r w:rsidRPr="00210064">
              <w:rPr>
                <w:sz w:val="16"/>
                <w:szCs w:val="16"/>
              </w:rPr>
              <w:t xml:space="preserve"> Duty of 0.09 EGP on each kilogram of butane gas consumed for nonindustrial purposes.</w:t>
            </w:r>
          </w:p>
          <w:p w14:paraId="0CA2F5DE" w14:textId="77777777" w:rsidR="007F34F1" w:rsidRPr="00210064" w:rsidRDefault="007F34F1">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sz w:val="16"/>
                <w:szCs w:val="16"/>
              </w:rPr>
            </w:pPr>
            <w:r w:rsidRPr="00210064">
              <w:rPr>
                <w:b/>
                <w:bCs/>
                <w:sz w:val="16"/>
                <w:szCs w:val="16"/>
              </w:rPr>
              <w:t>Natural gas and Butane.</w:t>
            </w:r>
            <w:r w:rsidRPr="00210064">
              <w:rPr>
                <w:sz w:val="16"/>
                <w:szCs w:val="16"/>
              </w:rPr>
              <w:t xml:space="preserve"> Duty of 0.03 EGP/ton of gas or butane gas consumed for industrial purposes.</w:t>
            </w:r>
          </w:p>
        </w:tc>
        <w:tc>
          <w:tcPr>
            <w:tcW w:w="0" w:type="dxa"/>
          </w:tcPr>
          <w:p w14:paraId="62BEEAF6" w14:textId="77777777" w:rsidR="007F34F1" w:rsidRPr="00210064" w:rsidRDefault="007F34F1" w:rsidP="00AF6469">
            <w:pPr>
              <w:jc w:val="left"/>
              <w:cnfStyle w:val="000000000000" w:firstRow="0" w:lastRow="0" w:firstColumn="0" w:lastColumn="0" w:oddVBand="0" w:evenVBand="0" w:oddHBand="0" w:evenHBand="0" w:firstRowFirstColumn="0" w:firstRowLastColumn="0" w:lastRowFirstColumn="0" w:lastRowLastColumn="0"/>
              <w:rPr>
                <w:sz w:val="16"/>
                <w:szCs w:val="16"/>
              </w:rPr>
            </w:pPr>
            <w:r w:rsidRPr="00210064">
              <w:rPr>
                <w:sz w:val="16"/>
                <w:szCs w:val="16"/>
              </w:rPr>
              <w:t>The Stamp Duty Law mentions numerous exemptions.</w:t>
            </w:r>
          </w:p>
        </w:tc>
        <w:tc>
          <w:tcPr>
            <w:tcW w:w="0" w:type="dxa"/>
            <w:gridSpan w:val="2"/>
          </w:tcPr>
          <w:p w14:paraId="5148CABD" w14:textId="77777777" w:rsidR="007F34F1" w:rsidRPr="00210064" w:rsidRDefault="007F34F1" w:rsidP="00AF6469">
            <w:pPr>
              <w:jc w:val="left"/>
              <w:cnfStyle w:val="000000000000" w:firstRow="0" w:lastRow="0" w:firstColumn="0" w:lastColumn="0" w:oddVBand="0" w:evenVBand="0" w:oddHBand="0" w:evenHBand="0" w:firstRowFirstColumn="0" w:firstRowLastColumn="0" w:lastRowFirstColumn="0" w:lastRowLastColumn="0"/>
              <w:rPr>
                <w:sz w:val="16"/>
                <w:szCs w:val="16"/>
              </w:rPr>
            </w:pPr>
            <w:r w:rsidRPr="00210064">
              <w:rPr>
                <w:sz w:val="16"/>
                <w:szCs w:val="16"/>
              </w:rPr>
              <w:t xml:space="preserve">Stamp Duty Law 111 of 1980 </w:t>
            </w:r>
            <w:hyperlink r:id="rId25" w:history="1">
              <w:r w:rsidRPr="00210064">
                <w:rPr>
                  <w:rStyle w:val="Hyperlink"/>
                  <w:sz w:val="16"/>
                  <w:szCs w:val="16"/>
                </w:rPr>
                <w:t>(source)</w:t>
              </w:r>
            </w:hyperlink>
          </w:p>
        </w:tc>
      </w:tr>
      <w:tr w:rsidR="007F34F1" w:rsidRPr="00F349A6" w14:paraId="44C9465B" w14:textId="77777777" w:rsidTr="00AF6469">
        <w:trPr>
          <w:cantSplit/>
          <w:trHeight w:val="1143"/>
        </w:trPr>
        <w:tc>
          <w:tcPr>
            <w:cnfStyle w:val="001000000000" w:firstRow="0" w:lastRow="0" w:firstColumn="1" w:lastColumn="0" w:oddVBand="0" w:evenVBand="0" w:oddHBand="0" w:evenHBand="0" w:firstRowFirstColumn="0" w:firstRowLastColumn="0" w:lastRowFirstColumn="0" w:lastRowLastColumn="0"/>
            <w:tcW w:w="1260" w:type="dxa"/>
            <w:tcBorders>
              <w:bottom w:val="single" w:sz="4" w:space="0" w:color="auto"/>
            </w:tcBorders>
          </w:tcPr>
          <w:p w14:paraId="5C91E2E7" w14:textId="77777777" w:rsidR="007F34F1" w:rsidRPr="00210064" w:rsidRDefault="007F34F1">
            <w:pPr>
              <w:jc w:val="left"/>
              <w:rPr>
                <w:sz w:val="16"/>
                <w:szCs w:val="16"/>
              </w:rPr>
            </w:pPr>
            <w:r w:rsidRPr="00210064">
              <w:rPr>
                <w:sz w:val="16"/>
                <w:szCs w:val="16"/>
              </w:rPr>
              <w:t>Development tax</w:t>
            </w:r>
          </w:p>
        </w:tc>
        <w:tc>
          <w:tcPr>
            <w:tcW w:w="4680" w:type="dxa"/>
            <w:tcBorders>
              <w:bottom w:val="single" w:sz="4" w:space="0" w:color="auto"/>
            </w:tcBorders>
          </w:tcPr>
          <w:p w14:paraId="63BA9128" w14:textId="77777777" w:rsidR="007F34F1" w:rsidRPr="00210064" w:rsidRDefault="007F34F1">
            <w:pPr>
              <w:cnfStyle w:val="000000000000" w:firstRow="0" w:lastRow="0" w:firstColumn="0" w:lastColumn="0" w:oddVBand="0" w:evenVBand="0" w:oddHBand="0" w:evenHBand="0" w:firstRowFirstColumn="0" w:firstRowLastColumn="0" w:lastRowFirstColumn="0" w:lastRowLastColumn="0"/>
              <w:rPr>
                <w:sz w:val="16"/>
                <w:szCs w:val="16"/>
              </w:rPr>
            </w:pPr>
            <w:r w:rsidRPr="00210064">
              <w:rPr>
                <w:sz w:val="16"/>
                <w:szCs w:val="16"/>
              </w:rPr>
              <w:t>Law passed in 2020 to raise revenues by imposing a per liter tax on specific fuels:</w:t>
            </w:r>
          </w:p>
          <w:p w14:paraId="075F9230" w14:textId="77777777" w:rsidR="007F34F1" w:rsidRPr="00210064" w:rsidRDefault="007F34F1">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sz w:val="16"/>
                <w:szCs w:val="16"/>
              </w:rPr>
            </w:pPr>
            <w:r w:rsidRPr="00210064">
              <w:rPr>
                <w:sz w:val="16"/>
                <w:szCs w:val="16"/>
              </w:rPr>
              <w:t>Gasoline – 0.30 EGP/liter</w:t>
            </w:r>
          </w:p>
          <w:p w14:paraId="7877E911" w14:textId="77777777" w:rsidR="007F34F1" w:rsidRPr="00210064" w:rsidRDefault="007F34F1">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sz w:val="16"/>
                <w:szCs w:val="16"/>
              </w:rPr>
            </w:pPr>
            <w:r w:rsidRPr="00210064">
              <w:rPr>
                <w:sz w:val="16"/>
                <w:szCs w:val="16"/>
              </w:rPr>
              <w:t>Diesel – 0.25 EGP/liter</w:t>
            </w:r>
          </w:p>
        </w:tc>
        <w:tc>
          <w:tcPr>
            <w:tcW w:w="1800" w:type="dxa"/>
            <w:tcBorders>
              <w:bottom w:val="single" w:sz="4" w:space="0" w:color="auto"/>
            </w:tcBorders>
          </w:tcPr>
          <w:p w14:paraId="2B3522C5" w14:textId="77777777" w:rsidR="007F34F1" w:rsidRPr="00210064" w:rsidRDefault="007F34F1">
            <w:pPr>
              <w:cnfStyle w:val="000000000000" w:firstRow="0" w:lastRow="0" w:firstColumn="0" w:lastColumn="0" w:oddVBand="0" w:evenVBand="0" w:oddHBand="0" w:evenHBand="0" w:firstRowFirstColumn="0" w:firstRowLastColumn="0" w:lastRowFirstColumn="0" w:lastRowLastColumn="0"/>
              <w:rPr>
                <w:sz w:val="16"/>
                <w:szCs w:val="16"/>
              </w:rPr>
            </w:pPr>
          </w:p>
        </w:tc>
        <w:tc>
          <w:tcPr>
            <w:tcW w:w="1620" w:type="dxa"/>
            <w:gridSpan w:val="2"/>
            <w:tcBorders>
              <w:bottom w:val="single" w:sz="4" w:space="0" w:color="auto"/>
            </w:tcBorders>
          </w:tcPr>
          <w:p w14:paraId="3083A121" w14:textId="77777777" w:rsidR="007F34F1" w:rsidRPr="00210064" w:rsidRDefault="007F34F1" w:rsidP="00AF6469">
            <w:pPr>
              <w:jc w:val="left"/>
              <w:cnfStyle w:val="000000000000" w:firstRow="0" w:lastRow="0" w:firstColumn="0" w:lastColumn="0" w:oddVBand="0" w:evenVBand="0" w:oddHBand="0" w:evenHBand="0" w:firstRowFirstColumn="0" w:firstRowLastColumn="0" w:lastRowFirstColumn="0" w:lastRowLastColumn="0"/>
              <w:rPr>
                <w:sz w:val="16"/>
                <w:szCs w:val="16"/>
              </w:rPr>
            </w:pPr>
            <w:r w:rsidRPr="00210064">
              <w:rPr>
                <w:sz w:val="16"/>
                <w:szCs w:val="16"/>
              </w:rPr>
              <w:t xml:space="preserve">State Development Tax Law No. 147 of 1984 with the issuance of Law No. 83 of 2020 </w:t>
            </w:r>
            <w:hyperlink r:id="rId26" w:history="1">
              <w:r w:rsidRPr="00210064">
                <w:rPr>
                  <w:rStyle w:val="Hyperlink"/>
                  <w:sz w:val="16"/>
                  <w:szCs w:val="16"/>
                </w:rPr>
                <w:t>(source)</w:t>
              </w:r>
            </w:hyperlink>
          </w:p>
        </w:tc>
      </w:tr>
      <w:tr w:rsidR="007F34F1" w:rsidRPr="008E344B" w14:paraId="35BB98F0" w14:textId="77777777" w:rsidTr="00AF6469">
        <w:trPr>
          <w:cantSplit/>
          <w:trHeight w:val="241"/>
        </w:trPr>
        <w:tc>
          <w:tcPr>
            <w:cnfStyle w:val="001000000000" w:firstRow="0" w:lastRow="0" w:firstColumn="1" w:lastColumn="0" w:oddVBand="0" w:evenVBand="0" w:oddHBand="0" w:evenHBand="0" w:firstRowFirstColumn="0" w:firstRowLastColumn="0" w:lastRowFirstColumn="0" w:lastRowLastColumn="0"/>
            <w:tcW w:w="9360" w:type="dxa"/>
            <w:gridSpan w:val="5"/>
            <w:tcBorders>
              <w:top w:val="single" w:sz="4" w:space="0" w:color="auto"/>
              <w:bottom w:val="single" w:sz="4" w:space="0" w:color="auto"/>
            </w:tcBorders>
          </w:tcPr>
          <w:p w14:paraId="789CE2F4" w14:textId="77777777" w:rsidR="007F34F1" w:rsidRPr="00210064" w:rsidRDefault="007F34F1">
            <w:pPr>
              <w:jc w:val="center"/>
              <w:rPr>
                <w:sz w:val="16"/>
                <w:szCs w:val="16"/>
              </w:rPr>
            </w:pPr>
            <w:r w:rsidRPr="00210064">
              <w:rPr>
                <w:i/>
                <w:iCs/>
                <w:sz w:val="16"/>
                <w:szCs w:val="16"/>
              </w:rPr>
              <w:t>VAT</w:t>
            </w:r>
          </w:p>
        </w:tc>
      </w:tr>
      <w:tr w:rsidR="007F34F1" w:rsidRPr="00F349A6" w14:paraId="666772D4" w14:textId="77777777" w:rsidTr="00AF6469">
        <w:trPr>
          <w:cantSplit/>
          <w:trHeight w:val="1610"/>
        </w:trPr>
        <w:tc>
          <w:tcPr>
            <w:cnfStyle w:val="001000000000" w:firstRow="0" w:lastRow="0" w:firstColumn="1" w:lastColumn="0" w:oddVBand="0" w:evenVBand="0" w:oddHBand="0" w:evenHBand="0" w:firstRowFirstColumn="0" w:firstRowLastColumn="0" w:lastRowFirstColumn="0" w:lastRowLastColumn="0"/>
            <w:tcW w:w="1260" w:type="dxa"/>
            <w:tcBorders>
              <w:top w:val="single" w:sz="4" w:space="0" w:color="auto"/>
              <w:bottom w:val="single" w:sz="4" w:space="0" w:color="auto"/>
            </w:tcBorders>
          </w:tcPr>
          <w:p w14:paraId="78E6F10C" w14:textId="77777777" w:rsidR="007F34F1" w:rsidRPr="00210064" w:rsidRDefault="007F34F1">
            <w:pPr>
              <w:jc w:val="left"/>
              <w:rPr>
                <w:sz w:val="16"/>
                <w:szCs w:val="16"/>
              </w:rPr>
            </w:pPr>
            <w:r w:rsidRPr="00210064">
              <w:rPr>
                <w:sz w:val="16"/>
                <w:szCs w:val="16"/>
              </w:rPr>
              <w:t>Value added tax (VAT) differentials</w:t>
            </w:r>
          </w:p>
        </w:tc>
        <w:tc>
          <w:tcPr>
            <w:tcW w:w="4680" w:type="dxa"/>
            <w:tcBorders>
              <w:top w:val="single" w:sz="4" w:space="0" w:color="auto"/>
              <w:bottom w:val="single" w:sz="4" w:space="0" w:color="auto"/>
            </w:tcBorders>
          </w:tcPr>
          <w:p w14:paraId="4EBA4C99" w14:textId="77777777" w:rsidR="007F34F1" w:rsidRPr="00210064" w:rsidRDefault="007F34F1">
            <w:pPr>
              <w:cnfStyle w:val="000000000000" w:firstRow="0" w:lastRow="0" w:firstColumn="0" w:lastColumn="0" w:oddVBand="0" w:evenVBand="0" w:oddHBand="0" w:evenHBand="0" w:firstRowFirstColumn="0" w:firstRowLastColumn="0" w:lastRowFirstColumn="0" w:lastRowLastColumn="0"/>
              <w:rPr>
                <w:sz w:val="16"/>
                <w:szCs w:val="16"/>
              </w:rPr>
            </w:pPr>
            <w:r w:rsidRPr="00210064">
              <w:rPr>
                <w:sz w:val="16"/>
                <w:szCs w:val="16"/>
              </w:rPr>
              <w:t>General VAT rate of 14% but reduced rate or exemptions apply to some products.</w:t>
            </w:r>
          </w:p>
        </w:tc>
        <w:tc>
          <w:tcPr>
            <w:tcW w:w="1800" w:type="dxa"/>
            <w:tcBorders>
              <w:top w:val="single" w:sz="4" w:space="0" w:color="auto"/>
              <w:bottom w:val="single" w:sz="4" w:space="0" w:color="auto"/>
            </w:tcBorders>
          </w:tcPr>
          <w:p w14:paraId="5C197182" w14:textId="77777777" w:rsidR="007F34F1" w:rsidRPr="00210064" w:rsidRDefault="007F34F1" w:rsidP="00AF6469">
            <w:pPr>
              <w:pStyle w:val="ListParagraph"/>
              <w:numPr>
                <w:ilvl w:val="0"/>
                <w:numId w:val="11"/>
              </w:numPr>
              <w:ind w:left="160" w:hanging="180"/>
              <w:jc w:val="left"/>
              <w:cnfStyle w:val="000000000000" w:firstRow="0" w:lastRow="0" w:firstColumn="0" w:lastColumn="0" w:oddVBand="0" w:evenVBand="0" w:oddHBand="0" w:evenHBand="0" w:firstRowFirstColumn="0" w:firstRowLastColumn="0" w:lastRowFirstColumn="0" w:lastRowLastColumn="0"/>
              <w:rPr>
                <w:sz w:val="16"/>
                <w:szCs w:val="16"/>
              </w:rPr>
            </w:pPr>
            <w:r w:rsidRPr="00210064">
              <w:rPr>
                <w:sz w:val="16"/>
                <w:szCs w:val="16"/>
              </w:rPr>
              <w:t xml:space="preserve">Direct exemption for natural gas, crude oil and butane. </w:t>
            </w:r>
          </w:p>
          <w:p w14:paraId="57245F98" w14:textId="77777777" w:rsidR="007F34F1" w:rsidRPr="00210064" w:rsidRDefault="007F34F1" w:rsidP="00AF6469">
            <w:pPr>
              <w:pStyle w:val="ListParagraph"/>
              <w:numPr>
                <w:ilvl w:val="0"/>
                <w:numId w:val="11"/>
              </w:numPr>
              <w:ind w:left="160" w:hanging="180"/>
              <w:jc w:val="left"/>
              <w:cnfStyle w:val="000000000000" w:firstRow="0" w:lastRow="0" w:firstColumn="0" w:lastColumn="0" w:oddVBand="0" w:evenVBand="0" w:oddHBand="0" w:evenHBand="0" w:firstRowFirstColumn="0" w:firstRowLastColumn="0" w:lastRowFirstColumn="0" w:lastRowLastColumn="0"/>
              <w:rPr>
                <w:sz w:val="16"/>
                <w:szCs w:val="16"/>
              </w:rPr>
            </w:pPr>
            <w:r w:rsidRPr="00210064">
              <w:rPr>
                <w:sz w:val="16"/>
                <w:szCs w:val="16"/>
              </w:rPr>
              <w:t>Specific taxes instead of VAT for oil products.</w:t>
            </w:r>
          </w:p>
        </w:tc>
        <w:tc>
          <w:tcPr>
            <w:tcW w:w="1620" w:type="dxa"/>
            <w:gridSpan w:val="2"/>
            <w:tcBorders>
              <w:top w:val="single" w:sz="4" w:space="0" w:color="auto"/>
              <w:bottom w:val="single" w:sz="4" w:space="0" w:color="auto"/>
            </w:tcBorders>
          </w:tcPr>
          <w:p w14:paraId="29741C1E" w14:textId="77777777" w:rsidR="007F34F1" w:rsidRPr="00210064" w:rsidRDefault="007F34F1">
            <w:pPr>
              <w:cnfStyle w:val="000000000000" w:firstRow="0" w:lastRow="0" w:firstColumn="0" w:lastColumn="0" w:oddVBand="0" w:evenVBand="0" w:oddHBand="0" w:evenHBand="0" w:firstRowFirstColumn="0" w:firstRowLastColumn="0" w:lastRowFirstColumn="0" w:lastRowLastColumn="0"/>
              <w:rPr>
                <w:sz w:val="16"/>
                <w:szCs w:val="16"/>
              </w:rPr>
            </w:pPr>
            <w:r w:rsidRPr="00210064">
              <w:rPr>
                <w:sz w:val="16"/>
                <w:szCs w:val="16"/>
              </w:rPr>
              <w:t xml:space="preserve">VAT Law No. (67) of 2016 </w:t>
            </w:r>
            <w:hyperlink r:id="rId27" w:history="1">
              <w:r w:rsidRPr="00210064">
                <w:rPr>
                  <w:rStyle w:val="Hyperlink"/>
                  <w:sz w:val="16"/>
                  <w:szCs w:val="16"/>
                </w:rPr>
                <w:t>(source)</w:t>
              </w:r>
            </w:hyperlink>
          </w:p>
        </w:tc>
      </w:tr>
      <w:tr w:rsidR="007F34F1" w:rsidRPr="008E344B" w14:paraId="70617266" w14:textId="77777777" w:rsidTr="00AF6469">
        <w:trPr>
          <w:cantSplit/>
          <w:trHeight w:val="144"/>
        </w:trPr>
        <w:tc>
          <w:tcPr>
            <w:cnfStyle w:val="001000000000" w:firstRow="0" w:lastRow="0" w:firstColumn="1" w:lastColumn="0" w:oddVBand="0" w:evenVBand="0" w:oddHBand="0" w:evenHBand="0" w:firstRowFirstColumn="0" w:firstRowLastColumn="0" w:lastRowFirstColumn="0" w:lastRowLastColumn="0"/>
            <w:tcW w:w="9360" w:type="dxa"/>
            <w:gridSpan w:val="5"/>
            <w:tcBorders>
              <w:top w:val="single" w:sz="4" w:space="0" w:color="auto"/>
              <w:bottom w:val="single" w:sz="4" w:space="0" w:color="auto"/>
            </w:tcBorders>
          </w:tcPr>
          <w:p w14:paraId="29AD173E" w14:textId="77777777" w:rsidR="007F34F1" w:rsidRPr="00210064" w:rsidRDefault="007F34F1" w:rsidP="00AF6469">
            <w:pPr>
              <w:jc w:val="left"/>
              <w:rPr>
                <w:sz w:val="16"/>
                <w:szCs w:val="16"/>
              </w:rPr>
            </w:pPr>
            <w:r w:rsidRPr="00210064">
              <w:rPr>
                <w:i/>
                <w:iCs/>
                <w:sz w:val="16"/>
                <w:szCs w:val="16"/>
              </w:rPr>
              <w:t>FUEL SUBSIDIES</w:t>
            </w:r>
          </w:p>
        </w:tc>
      </w:tr>
      <w:tr w:rsidR="007F34F1" w:rsidRPr="00F349A6" w14:paraId="458E437E" w14:textId="77777777" w:rsidTr="00AF6469">
        <w:trPr>
          <w:cantSplit/>
          <w:trHeight w:val="1169"/>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bottom w:val="single" w:sz="4" w:space="0" w:color="auto"/>
            </w:tcBorders>
          </w:tcPr>
          <w:p w14:paraId="656E9AD4" w14:textId="77777777" w:rsidR="007F34F1" w:rsidRPr="00210064" w:rsidRDefault="007F34F1">
            <w:pPr>
              <w:jc w:val="left"/>
              <w:rPr>
                <w:sz w:val="16"/>
                <w:szCs w:val="16"/>
              </w:rPr>
            </w:pPr>
            <w:r w:rsidRPr="00210064">
              <w:rPr>
                <w:sz w:val="16"/>
                <w:szCs w:val="16"/>
              </w:rPr>
              <w:lastRenderedPageBreak/>
              <w:t>Fuel subsidies</w:t>
            </w:r>
          </w:p>
        </w:tc>
        <w:tc>
          <w:tcPr>
            <w:tcW w:w="0" w:type="dxa"/>
            <w:tcBorders>
              <w:top w:val="single" w:sz="4" w:space="0" w:color="auto"/>
              <w:bottom w:val="single" w:sz="4" w:space="0" w:color="auto"/>
            </w:tcBorders>
          </w:tcPr>
          <w:p w14:paraId="5F36A6E2" w14:textId="77777777" w:rsidR="007F34F1" w:rsidRPr="00210064" w:rsidRDefault="007F34F1">
            <w:pPr>
              <w:cnfStyle w:val="000000000000" w:firstRow="0" w:lastRow="0" w:firstColumn="0" w:lastColumn="0" w:oddVBand="0" w:evenVBand="0" w:oddHBand="0" w:evenHBand="0" w:firstRowFirstColumn="0" w:firstRowLastColumn="0" w:lastRowFirstColumn="0" w:lastRowLastColumn="0"/>
              <w:rPr>
                <w:sz w:val="16"/>
                <w:szCs w:val="16"/>
              </w:rPr>
            </w:pPr>
            <w:r w:rsidRPr="00210064">
              <w:rPr>
                <w:sz w:val="16"/>
                <w:szCs w:val="16"/>
              </w:rPr>
              <w:t xml:space="preserve">Prices of fuels are ‘regulated/controlled’ by the Fuel Automatic Pricing Committee, which convenes every three months to assess and propose changes. Fluctuations cannot exceed 10% in either direction. </w:t>
            </w:r>
          </w:p>
        </w:tc>
        <w:tc>
          <w:tcPr>
            <w:tcW w:w="0" w:type="dxa"/>
            <w:tcBorders>
              <w:top w:val="single" w:sz="4" w:space="0" w:color="auto"/>
              <w:bottom w:val="single" w:sz="4" w:space="0" w:color="auto"/>
            </w:tcBorders>
          </w:tcPr>
          <w:p w14:paraId="4EAD0D35" w14:textId="77777777" w:rsidR="007F34F1" w:rsidRPr="00210064" w:rsidRDefault="007F34F1" w:rsidP="00AF6469">
            <w:pPr>
              <w:jc w:val="left"/>
              <w:cnfStyle w:val="000000000000" w:firstRow="0" w:lastRow="0" w:firstColumn="0" w:lastColumn="0" w:oddVBand="0" w:evenVBand="0" w:oddHBand="0" w:evenHBand="0" w:firstRowFirstColumn="0" w:firstRowLastColumn="0" w:lastRowFirstColumn="0" w:lastRowLastColumn="0"/>
              <w:rPr>
                <w:sz w:val="16"/>
                <w:szCs w:val="16"/>
              </w:rPr>
            </w:pPr>
            <w:r w:rsidRPr="00210064">
              <w:rPr>
                <w:sz w:val="16"/>
                <w:szCs w:val="16"/>
              </w:rPr>
              <w:t>Subsidies cover gasoline products, diesel, kerosene, LPG, natural gas, and electricity.</w:t>
            </w:r>
          </w:p>
        </w:tc>
        <w:tc>
          <w:tcPr>
            <w:tcW w:w="0" w:type="dxa"/>
            <w:gridSpan w:val="2"/>
            <w:tcBorders>
              <w:top w:val="single" w:sz="4" w:space="0" w:color="auto"/>
              <w:bottom w:val="single" w:sz="4" w:space="0" w:color="auto"/>
            </w:tcBorders>
          </w:tcPr>
          <w:p w14:paraId="5FE093AD" w14:textId="77777777" w:rsidR="007F34F1" w:rsidRPr="00210064" w:rsidRDefault="007F34F1">
            <w:pPr>
              <w:cnfStyle w:val="000000000000" w:firstRow="0" w:lastRow="0" w:firstColumn="0" w:lastColumn="0" w:oddVBand="0" w:evenVBand="0" w:oddHBand="0" w:evenHBand="0" w:firstRowFirstColumn="0" w:firstRowLastColumn="0" w:lastRowFirstColumn="0" w:lastRowLastColumn="0"/>
              <w:rPr>
                <w:sz w:val="16"/>
                <w:szCs w:val="16"/>
              </w:rPr>
            </w:pPr>
            <w:hyperlink r:id="rId28" w:history="1">
              <w:r w:rsidRPr="00210064">
                <w:rPr>
                  <w:rStyle w:val="Hyperlink"/>
                  <w:sz w:val="16"/>
                  <w:szCs w:val="16"/>
                </w:rPr>
                <w:t>Egypt Oil and gas</w:t>
              </w:r>
            </w:hyperlink>
          </w:p>
        </w:tc>
      </w:tr>
    </w:tbl>
    <w:p w14:paraId="7DC004F9" w14:textId="77777777" w:rsidR="007F34F1" w:rsidRPr="006C514A" w:rsidRDefault="007F34F1" w:rsidP="007F34F1">
      <w:pPr>
        <w:rPr>
          <w:sz w:val="18"/>
          <w:szCs w:val="18"/>
        </w:rPr>
      </w:pPr>
      <w:r w:rsidRPr="006C514A">
        <w:rPr>
          <w:i/>
          <w:sz w:val="18"/>
          <w:szCs w:val="18"/>
        </w:rPr>
        <w:t>Source</w:t>
      </w:r>
      <w:r w:rsidRPr="006C514A">
        <w:rPr>
          <w:sz w:val="18"/>
          <w:szCs w:val="18"/>
        </w:rPr>
        <w:t xml:space="preserve">: </w:t>
      </w:r>
      <w:r>
        <w:rPr>
          <w:sz w:val="18"/>
          <w:szCs w:val="18"/>
        </w:rPr>
        <w:t>Authors.</w:t>
      </w:r>
    </w:p>
    <w:p w14:paraId="4A8BBA3E" w14:textId="20E851E0" w:rsidR="007F34F1" w:rsidRDefault="007F34F1" w:rsidP="007F34F1">
      <w:r>
        <w:rPr>
          <w:b/>
          <w:bCs/>
        </w:rPr>
        <w:t>The net effect of these interventions is a carbon price signal that remains negative</w:t>
      </w:r>
      <w:r w:rsidRPr="11357084">
        <w:rPr>
          <w:b/>
          <w:bCs/>
        </w:rPr>
        <w:t>.</w:t>
      </w:r>
      <w:r>
        <w:t xml:space="preserve"> The total carbon price (</w:t>
      </w:r>
      <w:r w:rsidRPr="00F93E93">
        <w:t>TCP</w:t>
      </w:r>
      <w:r>
        <w:t>)</w:t>
      </w:r>
      <w:r w:rsidRPr="00F93E93">
        <w:t xml:space="preserve"> is defined as the effective price on carbon emissions, combining both the direct and indirect instruments, as a weighted sum by emissions.</w:t>
      </w:r>
      <w:r w:rsidRPr="000A1479">
        <w:rPr>
          <w:b/>
          <w:bCs/>
        </w:rPr>
        <w:t xml:space="preserve"> </w:t>
      </w:r>
      <w:r w:rsidRPr="000A1479">
        <w:t xml:space="preserve">The measure includes emissions from coal, natural gas, gasoline, diesel, LPG, kerosene, and other oil products across five different sectors in the </w:t>
      </w:r>
      <w:r w:rsidRPr="00AB1068">
        <w:t>economy, that is power, industry, services, transport, and residential sectors. In Egypt, the TCP combines the d</w:t>
      </w:r>
      <w:r w:rsidRPr="000A1479">
        <w:t>ifferent fuel taxes, VAT differentials, and fuel subsidies</w:t>
      </w:r>
      <w:r>
        <w:t xml:space="preserve"> as </w:t>
      </w:r>
      <w:r w:rsidRPr="00F93E93">
        <w:t>described above</w:t>
      </w:r>
      <w:r w:rsidRPr="000A1479">
        <w:t>. Although there are multiple fuel taxes in place, their rates are relatively low, resulting in a small positive price on carbon. Conversely, VAT differentials and substantial fuel subsidies create significant negative pricing pressures, culminating in an overall negative carbon price.</w:t>
      </w:r>
      <w:r>
        <w:t xml:space="preserve"> Importantly, estimates on subsidies are from the IMF energy price database, which considers opportunity costs in their calculations of subsidies. </w:t>
      </w:r>
      <w:r w:rsidRPr="00ED6B66">
        <w:t xml:space="preserve">This approach leads to higher estimated subsidies compared to just considering direct budgetary transfers, as it factors in the forgone revenue from </w:t>
      </w:r>
      <w:r>
        <w:t>selling energy domestically below a</w:t>
      </w:r>
      <w:r w:rsidRPr="00ED6B66">
        <w:t xml:space="preserve"> market-based energy price.</w:t>
      </w:r>
      <w:r>
        <w:t xml:space="preserve"> </w:t>
      </w:r>
    </w:p>
    <w:p w14:paraId="6D74CB0A" w14:textId="48F34431" w:rsidR="007F34F1" w:rsidRPr="00BB08AE" w:rsidRDefault="007F34F1" w:rsidP="007F34F1">
      <w:pPr>
        <w:pStyle w:val="Caption"/>
        <w:keepNext/>
        <w:spacing w:after="0"/>
        <w:rPr>
          <w:b/>
          <w:bCs/>
          <w:i w:val="0"/>
          <w:iCs w:val="0"/>
          <w:sz w:val="20"/>
          <w:szCs w:val="20"/>
        </w:rPr>
      </w:pPr>
      <w:r w:rsidRPr="00BB08AE">
        <w:rPr>
          <w:b/>
          <w:bCs/>
          <w:i w:val="0"/>
          <w:iCs w:val="0"/>
          <w:sz w:val="20"/>
          <w:szCs w:val="20"/>
        </w:rPr>
        <w:t xml:space="preserve">Figure </w:t>
      </w:r>
      <w:r w:rsidR="00A56AFF">
        <w:rPr>
          <w:b/>
          <w:bCs/>
          <w:i w:val="0"/>
          <w:iCs w:val="0"/>
          <w:sz w:val="20"/>
          <w:szCs w:val="20"/>
        </w:rPr>
        <w:fldChar w:fldCharType="begin"/>
      </w:r>
      <w:r w:rsidR="00A56AFF">
        <w:rPr>
          <w:b/>
          <w:bCs/>
          <w:i w:val="0"/>
          <w:iCs w:val="0"/>
          <w:sz w:val="20"/>
          <w:szCs w:val="20"/>
        </w:rPr>
        <w:instrText xml:space="preserve"> SEQ Figure \* ARABIC </w:instrText>
      </w:r>
      <w:r w:rsidR="00A56AFF">
        <w:rPr>
          <w:b/>
          <w:bCs/>
          <w:i w:val="0"/>
          <w:iCs w:val="0"/>
          <w:sz w:val="20"/>
          <w:szCs w:val="20"/>
        </w:rPr>
        <w:fldChar w:fldCharType="separate"/>
      </w:r>
      <w:r w:rsidR="00A56AFF">
        <w:rPr>
          <w:b/>
          <w:bCs/>
          <w:i w:val="0"/>
          <w:iCs w:val="0"/>
          <w:noProof/>
          <w:sz w:val="20"/>
          <w:szCs w:val="20"/>
        </w:rPr>
        <w:t>10</w:t>
      </w:r>
      <w:r w:rsidR="00A56AFF">
        <w:rPr>
          <w:b/>
          <w:bCs/>
          <w:i w:val="0"/>
          <w:iCs w:val="0"/>
          <w:sz w:val="20"/>
          <w:szCs w:val="20"/>
        </w:rPr>
        <w:fldChar w:fldCharType="end"/>
      </w:r>
      <w:r w:rsidRPr="00BB08AE">
        <w:rPr>
          <w:b/>
          <w:bCs/>
          <w:i w:val="0"/>
          <w:iCs w:val="0"/>
          <w:sz w:val="20"/>
          <w:szCs w:val="20"/>
        </w:rPr>
        <w:t xml:space="preserve">. Egypt: </w:t>
      </w:r>
      <w:commentRangeStart w:id="86"/>
      <w:commentRangeStart w:id="87"/>
      <w:r w:rsidRPr="00BB08AE">
        <w:rPr>
          <w:b/>
          <w:bCs/>
          <w:i w:val="0"/>
          <w:iCs w:val="0"/>
          <w:sz w:val="20"/>
          <w:szCs w:val="20"/>
        </w:rPr>
        <w:t xml:space="preserve">Total Carbon Price </w:t>
      </w:r>
      <w:commentRangeEnd w:id="86"/>
      <w:r w:rsidRPr="00BB08AE">
        <w:rPr>
          <w:rStyle w:val="CommentReference"/>
          <w:b/>
          <w:bCs/>
          <w:i w:val="0"/>
          <w:iCs w:val="0"/>
          <w:sz w:val="20"/>
          <w:szCs w:val="20"/>
        </w:rPr>
        <w:commentReference w:id="86"/>
      </w:r>
      <w:commentRangeEnd w:id="87"/>
      <w:r w:rsidRPr="00BB08AE">
        <w:rPr>
          <w:rStyle w:val="CommentReference"/>
          <w:b/>
          <w:bCs/>
          <w:i w:val="0"/>
          <w:iCs w:val="0"/>
          <w:sz w:val="20"/>
          <w:szCs w:val="20"/>
        </w:rPr>
        <w:commentReference w:id="87"/>
      </w:r>
      <w:r w:rsidRPr="00BB08AE">
        <w:rPr>
          <w:b/>
          <w:bCs/>
          <w:i w:val="0"/>
          <w:iCs w:val="0"/>
          <w:sz w:val="20"/>
          <w:szCs w:val="20"/>
        </w:rPr>
        <w:t xml:space="preserve">(TCP), 2016—2023 </w:t>
      </w:r>
    </w:p>
    <w:p w14:paraId="349E3BC4" w14:textId="77777777" w:rsidR="007F34F1" w:rsidRPr="003F2AE8" w:rsidRDefault="007F34F1" w:rsidP="007F34F1">
      <w:pPr>
        <w:pStyle w:val="Caption"/>
        <w:keepNext/>
        <w:spacing w:after="0"/>
        <w:rPr>
          <w:sz w:val="20"/>
          <w:szCs w:val="20"/>
        </w:rPr>
      </w:pPr>
      <w:r>
        <w:rPr>
          <w:sz w:val="20"/>
          <w:szCs w:val="20"/>
        </w:rPr>
        <w:t>(r</w:t>
      </w:r>
      <w:r w:rsidRPr="00932BDC">
        <w:rPr>
          <w:sz w:val="20"/>
          <w:szCs w:val="20"/>
        </w:rPr>
        <w:t>eal 2021 USD per ton of CO2</w:t>
      </w:r>
      <w:r>
        <w:rPr>
          <w:sz w:val="20"/>
          <w:szCs w:val="20"/>
        </w:rPr>
        <w:t>)</w:t>
      </w:r>
    </w:p>
    <w:p w14:paraId="35678EDE" w14:textId="77777777" w:rsidR="007F34F1" w:rsidRDefault="007F34F1" w:rsidP="007F34F1">
      <w:pPr>
        <w:spacing w:after="0"/>
      </w:pPr>
      <w:r>
        <w:rPr>
          <w:noProof/>
        </w:rPr>
        <w:drawing>
          <wp:inline distT="0" distB="0" distL="0" distR="0" wp14:anchorId="21F62D6D" wp14:editId="7C396524">
            <wp:extent cx="5600700" cy="2438400"/>
            <wp:effectExtent l="0" t="0" r="0" b="0"/>
            <wp:docPr id="244834998" name="Chart 1">
              <a:extLst xmlns:a="http://schemas.openxmlformats.org/drawingml/2006/main">
                <a:ext uri="{FF2B5EF4-FFF2-40B4-BE49-F238E27FC236}">
                  <a16:creationId xmlns:a16="http://schemas.microsoft.com/office/drawing/2014/main" id="{7CA3213D-D841-426E-80B5-2294E4464D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60E0AB1F" w14:textId="77777777" w:rsidR="007F34F1" w:rsidRPr="0072132D" w:rsidRDefault="007F34F1" w:rsidP="007F34F1">
      <w:pPr>
        <w:spacing w:after="0"/>
        <w:rPr>
          <w:sz w:val="16"/>
          <w:szCs w:val="16"/>
        </w:rPr>
      </w:pPr>
      <w:r w:rsidRPr="11357084">
        <w:rPr>
          <w:i/>
          <w:iCs/>
          <w:sz w:val="16"/>
          <w:szCs w:val="16"/>
        </w:rPr>
        <w:t xml:space="preserve">Source: </w:t>
      </w:r>
      <w:r w:rsidRPr="00C21EEC">
        <w:rPr>
          <w:sz w:val="16"/>
          <w:szCs w:val="16"/>
        </w:rPr>
        <w:t xml:space="preserve">IMF energy price database, WB staff estimates based on </w:t>
      </w:r>
      <w:r w:rsidRPr="00C21EEC">
        <w:rPr>
          <w:sz w:val="16"/>
          <w:szCs w:val="16"/>
        </w:rPr>
        <w:fldChar w:fldCharType="begin"/>
      </w:r>
      <w:r w:rsidRPr="00C21EEC">
        <w:rPr>
          <w:sz w:val="16"/>
          <w:szCs w:val="16"/>
        </w:rPr>
        <w:instrText xml:space="preserve"> REF _Ref179913045 \h  \* MERGEFORMAT </w:instrText>
      </w:r>
      <w:r w:rsidRPr="00C21EEC">
        <w:rPr>
          <w:sz w:val="16"/>
          <w:szCs w:val="16"/>
        </w:rPr>
      </w:r>
      <w:r w:rsidRPr="00C21EEC">
        <w:rPr>
          <w:sz w:val="16"/>
          <w:szCs w:val="16"/>
        </w:rPr>
        <w:fldChar w:fldCharType="separate"/>
      </w:r>
      <w:r w:rsidRPr="00C21EEC">
        <w:rPr>
          <w:sz w:val="16"/>
          <w:szCs w:val="16"/>
        </w:rPr>
        <w:t>Table 1</w:t>
      </w:r>
      <w:r w:rsidRPr="00C21EEC">
        <w:rPr>
          <w:sz w:val="16"/>
          <w:szCs w:val="16"/>
        </w:rPr>
        <w:fldChar w:fldCharType="end"/>
      </w:r>
      <w:r w:rsidRPr="00C21EEC">
        <w:rPr>
          <w:sz w:val="16"/>
          <w:szCs w:val="16"/>
        </w:rPr>
        <w:t>.</w:t>
      </w:r>
    </w:p>
    <w:p w14:paraId="2611A140" w14:textId="77777777" w:rsidR="007F34F1" w:rsidRPr="0072132D" w:rsidRDefault="007F34F1" w:rsidP="007F34F1">
      <w:pPr>
        <w:spacing w:after="360"/>
        <w:rPr>
          <w:sz w:val="16"/>
          <w:szCs w:val="16"/>
        </w:rPr>
      </w:pPr>
      <w:r w:rsidRPr="11357084">
        <w:rPr>
          <w:i/>
          <w:iCs/>
          <w:sz w:val="16"/>
          <w:szCs w:val="16"/>
        </w:rPr>
        <w:t>Notes:</w:t>
      </w:r>
      <w:r w:rsidRPr="00C21EEC">
        <w:rPr>
          <w:sz w:val="16"/>
          <w:szCs w:val="16"/>
        </w:rPr>
        <w:t xml:space="preserve"> The black line represents the TCP as per World Bank (2023) and </w:t>
      </w:r>
      <w:hyperlink r:id="rId30" w:history="1">
        <w:r w:rsidRPr="00C21EEC">
          <w:rPr>
            <w:rStyle w:val="Hyperlink"/>
            <w:sz w:val="16"/>
            <w:szCs w:val="16"/>
          </w:rPr>
          <w:t>PFR tool: Total Carbon Pricing 2.0</w:t>
        </w:r>
      </w:hyperlink>
      <w:r w:rsidRPr="00C21EEC">
        <w:rPr>
          <w:sz w:val="16"/>
          <w:szCs w:val="16"/>
        </w:rPr>
        <w:t xml:space="preserve">. The grey area surrounding the black line is a confidence interval, calculated based on a +/-1 standard deviation of the uncertainty score around the point estimate, and represents the uncertainty associated with the data collected as described in </w:t>
      </w:r>
      <w:hyperlink r:id="rId31" w:history="1">
        <w:r w:rsidRPr="00C21EEC">
          <w:rPr>
            <w:rStyle w:val="Hyperlink"/>
            <w:sz w:val="16"/>
            <w:szCs w:val="16"/>
          </w:rPr>
          <w:t>PFR tool: Total Carbon Pricing 2.0</w:t>
        </w:r>
      </w:hyperlink>
      <w:r w:rsidRPr="11357084">
        <w:rPr>
          <w:sz w:val="16"/>
          <w:szCs w:val="16"/>
        </w:rPr>
        <w:t xml:space="preserve">. </w:t>
      </w:r>
    </w:p>
    <w:p w14:paraId="0D63D7B0" w14:textId="0B99B500" w:rsidR="007F34F1" w:rsidRDefault="007F34F1" w:rsidP="007F34F1">
      <w:r>
        <w:t xml:space="preserve">As discussed in </w:t>
      </w:r>
      <w:r w:rsidRPr="000A00BF">
        <w:rPr>
          <w:rFonts w:cs="Segoe UI"/>
          <w:szCs w:val="18"/>
        </w:rPr>
        <w:t>Aldaz-Carroll</w:t>
      </w:r>
      <w:r>
        <w:t>, the energy subsidies are particularly sensitive to global energy markets. R</w:t>
      </w:r>
      <w:r w:rsidRPr="00204979">
        <w:t>ising international fuel prices</w:t>
      </w:r>
      <w:r>
        <w:t xml:space="preserve">—as from </w:t>
      </w:r>
      <w:r w:rsidRPr="00204979">
        <w:t>the COVID-19 pandemic</w:t>
      </w:r>
      <w:r>
        <w:t>, the Ukraine-Russia conflict</w:t>
      </w:r>
      <w:r w:rsidRPr="00204979">
        <w:t xml:space="preserve"> and, more recently,</w:t>
      </w:r>
      <w:r>
        <w:t xml:space="preserve"> </w:t>
      </w:r>
      <w:r w:rsidRPr="00204979">
        <w:t>the conflict</w:t>
      </w:r>
      <w:r>
        <w:t xml:space="preserve">s in the Middle East—drive up subsidies when domestic fuel pricing does not pass on market values. Notably, as part of an IMF-backed program, the </w:t>
      </w:r>
      <w:r>
        <w:lastRenderedPageBreak/>
        <w:t>Egyptian Government has been working to better align domestic fuel prices with their market costs</w:t>
      </w:r>
      <w:r w:rsidRPr="0009104B">
        <w:t>.</w:t>
      </w:r>
      <w:r>
        <w:t xml:space="preserve">  </w:t>
      </w:r>
    </w:p>
    <w:p w14:paraId="4A5640B2" w14:textId="77777777" w:rsidR="007F34F1" w:rsidRDefault="007F34F1" w:rsidP="007F34F1">
      <w:r w:rsidRPr="00B934FB">
        <w:rPr>
          <w:b/>
          <w:bCs/>
        </w:rPr>
        <w:t xml:space="preserve">Although </w:t>
      </w:r>
      <w:r>
        <w:rPr>
          <w:b/>
          <w:bCs/>
        </w:rPr>
        <w:t xml:space="preserve">indirect </w:t>
      </w:r>
      <w:r w:rsidRPr="00B934FB">
        <w:rPr>
          <w:b/>
          <w:bCs/>
        </w:rPr>
        <w:t>fuel pricing policies do not currently feature in the proposed EU calculation of embedded carbon pricing, CBAM policy responses do interact with fuel subsidies.</w:t>
      </w:r>
      <w:r w:rsidRPr="00B934FB">
        <w:t xml:space="preserve"> P</w:t>
      </w:r>
      <w:r>
        <w:t>olicies to reduce emissions from CBAM sectors will reduce demand for fossil fuels. To the extent that fuel price controls keep consumer prices below supply costs (or the opportunity costs of selling the fuels on global markets), reduced fuel consumption will save the government money. This forms an additional fiscal benefit of pricing carbon and addressing industrial emissions.</w:t>
      </w:r>
    </w:p>
    <w:p w14:paraId="44130F9F" w14:textId="3DE5AB4B" w:rsidR="0066788C" w:rsidRDefault="00B609E8" w:rsidP="00B609E8">
      <w:pPr>
        <w:pStyle w:val="Heading2"/>
      </w:pPr>
      <w:bookmarkStart w:id="88" w:name="_Toc234844399"/>
      <w:r>
        <w:t>Practical pathways toward carbon pricing</w:t>
      </w:r>
      <w:bookmarkEnd w:id="88"/>
    </w:p>
    <w:p w14:paraId="7C2BB750" w14:textId="311E2588" w:rsidR="006F7BCC" w:rsidRPr="006F7BCC" w:rsidRDefault="006F7BCC" w:rsidP="006F7BCC">
      <w:pPr>
        <w:pStyle w:val="Heading3"/>
      </w:pPr>
      <w:r>
        <w:t>Starting with upstream carbon pricing</w:t>
      </w:r>
      <w:r w:rsidR="000550E7">
        <w:t xml:space="preserve"> </w:t>
      </w:r>
    </w:p>
    <w:p w14:paraId="0A883EA0" w14:textId="22C57815" w:rsidR="00C061DA" w:rsidRDefault="00B609E8" w:rsidP="009646E8">
      <w:r>
        <w:rPr>
          <w:b/>
          <w:bCs/>
        </w:rPr>
        <w:t xml:space="preserve">The government can leverage existing </w:t>
      </w:r>
      <w:r w:rsidR="003B17D6">
        <w:rPr>
          <w:b/>
          <w:bCs/>
        </w:rPr>
        <w:t xml:space="preserve">fuel excise levies </w:t>
      </w:r>
      <w:r>
        <w:rPr>
          <w:b/>
          <w:bCs/>
        </w:rPr>
        <w:t>to introduce a direct carbon price instrument.</w:t>
      </w:r>
      <w:r>
        <w:rPr>
          <w:color w:val="000000" w:themeColor="text1"/>
        </w:rPr>
        <w:t xml:space="preserve"> </w:t>
      </w:r>
      <w:r w:rsidRPr="005C668E">
        <w:rPr>
          <w:color w:val="000000" w:themeColor="text1"/>
        </w:rPr>
        <w:t>Since carbon emissions are proportional to fuel</w:t>
      </w:r>
      <w:r>
        <w:rPr>
          <w:color w:val="000000" w:themeColor="text1"/>
        </w:rPr>
        <w:t>s</w:t>
      </w:r>
      <w:r w:rsidRPr="005C668E">
        <w:rPr>
          <w:color w:val="000000" w:themeColor="text1"/>
        </w:rPr>
        <w:t xml:space="preserve"> use</w:t>
      </w:r>
      <w:r>
        <w:rPr>
          <w:color w:val="000000" w:themeColor="text1"/>
        </w:rPr>
        <w:t>d for combustion</w:t>
      </w:r>
      <w:r w:rsidRPr="005C668E">
        <w:rPr>
          <w:color w:val="000000" w:themeColor="text1"/>
        </w:rPr>
        <w:t xml:space="preserve">, a tax on fuel consumption </w:t>
      </w:r>
      <w:r>
        <w:rPr>
          <w:color w:val="000000" w:themeColor="text1"/>
        </w:rPr>
        <w:t xml:space="preserve">can </w:t>
      </w:r>
      <w:r w:rsidRPr="005C668E">
        <w:rPr>
          <w:color w:val="000000" w:themeColor="text1"/>
        </w:rPr>
        <w:t>effectively serve as a carbon price.</w:t>
      </w:r>
      <w:r w:rsidR="004E7130">
        <w:rPr>
          <w:color w:val="000000" w:themeColor="text1"/>
        </w:rPr>
        <w:t xml:space="preserve"> Carbon emission</w:t>
      </w:r>
      <w:r w:rsidR="00E509F2">
        <w:rPr>
          <w:color w:val="000000" w:themeColor="text1"/>
        </w:rPr>
        <w:t>s</w:t>
      </w:r>
      <w:r w:rsidR="004E7130">
        <w:rPr>
          <w:color w:val="000000" w:themeColor="text1"/>
        </w:rPr>
        <w:t xml:space="preserve"> </w:t>
      </w:r>
      <w:r w:rsidR="00C6174D" w:rsidRPr="00C6174D">
        <w:rPr>
          <w:color w:val="000000" w:themeColor="text1"/>
        </w:rPr>
        <w:t xml:space="preserve">mainly depend on the carbon content and thus </w:t>
      </w:r>
      <w:r w:rsidR="00C6174D" w:rsidRPr="00AF6469">
        <w:rPr>
          <w:color w:val="000000" w:themeColor="text1"/>
        </w:rPr>
        <w:t>emissions can be estimated accurately on the amount of fuel combusted and the average carbon content of the fuel</w:t>
      </w:r>
      <w:r w:rsidR="00C6174D" w:rsidRPr="00C6174D">
        <w:rPr>
          <w:color w:val="000000" w:themeColor="text1"/>
        </w:rPr>
        <w:t xml:space="preserve">. </w:t>
      </w:r>
      <w:r w:rsidRPr="00444988">
        <w:t>While both carbon taxes and ETS qualify for credit under CBAM, an ETS requires years to implement fully, whereas carbon taxes can be more easily administered through existing tax systems</w:t>
      </w:r>
      <w:r>
        <w:t>, allowing for an immediate response</w:t>
      </w:r>
      <w:r w:rsidRPr="00444988">
        <w:t>.</w:t>
      </w:r>
      <w:r>
        <w:t xml:space="preserve"> As Egypt already taxes carbon indirectly through </w:t>
      </w:r>
      <w:r w:rsidR="003153B3">
        <w:t xml:space="preserve">schedule </w:t>
      </w:r>
      <w:r>
        <w:t>taxes, stamp duties, and development taxes, rec</w:t>
      </w:r>
      <w:r w:rsidR="005E1786">
        <w:t xml:space="preserve">alculating </w:t>
      </w:r>
      <w:r>
        <w:t>these charges into direct carbon tax</w:t>
      </w:r>
      <w:r w:rsidR="005E1786">
        <w:t>es</w:t>
      </w:r>
      <w:r>
        <w:t xml:space="preserve"> could present a first step to respond to CBAM. </w:t>
      </w:r>
    </w:p>
    <w:p w14:paraId="004ABAF8" w14:textId="6C0A43AE" w:rsidR="00DD4FE7" w:rsidRDefault="00B609E8" w:rsidP="001F6E65">
      <w:r w:rsidRPr="00AF6469">
        <w:rPr>
          <w:b/>
          <w:bCs/>
        </w:rPr>
        <w:t xml:space="preserve">The country could convert its indirect pricing into a direct carbon tax by modifying </w:t>
      </w:r>
      <w:r w:rsidR="00E509F2">
        <w:rPr>
          <w:b/>
          <w:bCs/>
        </w:rPr>
        <w:t xml:space="preserve">indirect </w:t>
      </w:r>
      <w:r w:rsidRPr="00AF6469">
        <w:rPr>
          <w:b/>
          <w:bCs/>
        </w:rPr>
        <w:t xml:space="preserve">fuel excise </w:t>
      </w:r>
      <w:r w:rsidR="00E509F2">
        <w:rPr>
          <w:b/>
          <w:bCs/>
        </w:rPr>
        <w:t xml:space="preserve">levies </w:t>
      </w:r>
      <w:r w:rsidRPr="00AF6469">
        <w:rPr>
          <w:b/>
          <w:bCs/>
        </w:rPr>
        <w:t xml:space="preserve">to reflect the carbon content of the fuel, </w:t>
      </w:r>
      <w:r w:rsidR="000401C0" w:rsidRPr="00AF6469">
        <w:rPr>
          <w:b/>
          <w:bCs/>
        </w:rPr>
        <w:t xml:space="preserve">aiming to </w:t>
      </w:r>
      <w:r w:rsidRPr="00AF6469">
        <w:rPr>
          <w:b/>
          <w:bCs/>
        </w:rPr>
        <w:t>qualify for credits against CBAM</w:t>
      </w:r>
      <w:r>
        <w:t xml:space="preserve">. For instance, Argentina and Uruguay introduced a carbon tax in March 2018, and January 2022, respectively, by converting their indirect carbon pricing </w:t>
      </w:r>
      <w:r w:rsidR="00875B75">
        <w:t>(fuel excise taxes</w:t>
      </w:r>
      <w:r w:rsidR="00112C86">
        <w:t xml:space="preserve">) </w:t>
      </w:r>
      <w:r>
        <w:t xml:space="preserve">to direct carbon pricing </w:t>
      </w:r>
      <w:r w:rsidR="00112C86">
        <w:t xml:space="preserve">(carbon fuel excise tax) </w:t>
      </w:r>
      <w:r>
        <w:t xml:space="preserve">for specific fuels (Rabbia, 2023). </w:t>
      </w:r>
      <w:r w:rsidR="00CD6402">
        <w:t xml:space="preserve">Albania is </w:t>
      </w:r>
      <w:r w:rsidR="00CA00FE">
        <w:t xml:space="preserve">from July 2026 </w:t>
      </w:r>
      <w:r w:rsidR="008D4E52">
        <w:t xml:space="preserve">calculating their carbon tax on coal </w:t>
      </w:r>
      <w:r w:rsidR="000401C0">
        <w:t>on the basis of carbon content</w:t>
      </w:r>
      <w:r w:rsidR="009646E8">
        <w:t xml:space="preserve">. Armenia and Uzbekistan are considering follow suit. </w:t>
      </w:r>
      <w:r w:rsidR="001F6E65">
        <w:t xml:space="preserve">While such a direct carbon tax </w:t>
      </w:r>
      <w:r w:rsidR="00623644" w:rsidRPr="00623644">
        <w:t xml:space="preserve">does not directly reduce the cost of producing exported CBAM </w:t>
      </w:r>
      <w:r w:rsidR="00A866A0">
        <w:t>goods</w:t>
      </w:r>
      <w:r w:rsidR="003D247E">
        <w:t xml:space="preserve">, it </w:t>
      </w:r>
      <w:r w:rsidR="00623644" w:rsidRPr="00623644">
        <w:t xml:space="preserve">gives Egyptian producers </w:t>
      </w:r>
      <w:r w:rsidR="003D247E">
        <w:t xml:space="preserve">an </w:t>
      </w:r>
      <w:r w:rsidR="00623644" w:rsidRPr="00623644">
        <w:t>incentive to reduce emissions</w:t>
      </w:r>
      <w:r w:rsidR="00FB7E3E">
        <w:t xml:space="preserve">, which in turns reduces the </w:t>
      </w:r>
      <w:r w:rsidR="00623644" w:rsidRPr="00623644">
        <w:t>CBAM fi</w:t>
      </w:r>
      <w:r w:rsidR="00FB7E3E">
        <w:t xml:space="preserve">nancial </w:t>
      </w:r>
      <w:r w:rsidR="00623644" w:rsidRPr="00623644">
        <w:t xml:space="preserve">obligation </w:t>
      </w:r>
      <w:r w:rsidR="001B178F">
        <w:t xml:space="preserve">and enables revenues from to be kept in Egypt rather than in the EU. </w:t>
      </w:r>
      <w:r w:rsidR="00E76D5E">
        <w:t xml:space="preserve">Properly designed, revenues can be used to </w:t>
      </w:r>
      <w:r w:rsidR="00623644" w:rsidRPr="00623644">
        <w:t xml:space="preserve">support vulnerable households or firms without undermining </w:t>
      </w:r>
      <w:r w:rsidR="00E76D5E">
        <w:t xml:space="preserve">the </w:t>
      </w:r>
      <w:r w:rsidR="00623644" w:rsidRPr="00623644">
        <w:t xml:space="preserve">low-carbon transition. </w:t>
      </w:r>
    </w:p>
    <w:p w14:paraId="0AC9B835" w14:textId="79B666C0" w:rsidR="00DE1576" w:rsidRDefault="00DD4FE7" w:rsidP="00EF2834">
      <w:pPr>
        <w:tabs>
          <w:tab w:val="num" w:pos="1440"/>
        </w:tabs>
      </w:pPr>
      <w:r w:rsidRPr="00AF6469">
        <w:rPr>
          <w:b/>
          <w:bCs/>
        </w:rPr>
        <w:t xml:space="preserve">A first step in this </w:t>
      </w:r>
      <w:r w:rsidR="00A476B9" w:rsidRPr="00AF6469">
        <w:rPr>
          <w:b/>
          <w:bCs/>
        </w:rPr>
        <w:t xml:space="preserve">process could be to simply </w:t>
      </w:r>
      <w:r w:rsidR="008B4CEC" w:rsidRPr="00AF6469">
        <w:rPr>
          <w:b/>
          <w:bCs/>
        </w:rPr>
        <w:t>recalcul</w:t>
      </w:r>
      <w:r w:rsidR="00956D76" w:rsidRPr="00AF6469">
        <w:rPr>
          <w:b/>
          <w:bCs/>
        </w:rPr>
        <w:t xml:space="preserve">ate the current </w:t>
      </w:r>
      <w:r w:rsidR="00154318" w:rsidRPr="00AF6469">
        <w:rPr>
          <w:b/>
          <w:bCs/>
        </w:rPr>
        <w:t xml:space="preserve">duty rates into carbon </w:t>
      </w:r>
      <w:r w:rsidR="000E1540" w:rsidRPr="00AF6469">
        <w:rPr>
          <w:b/>
          <w:bCs/>
        </w:rPr>
        <w:t xml:space="preserve">fuel </w:t>
      </w:r>
      <w:r w:rsidR="005F66F5">
        <w:rPr>
          <w:b/>
          <w:bCs/>
        </w:rPr>
        <w:t xml:space="preserve">excise </w:t>
      </w:r>
      <w:r w:rsidR="003C0A02">
        <w:rPr>
          <w:b/>
          <w:bCs/>
        </w:rPr>
        <w:t xml:space="preserve">levy </w:t>
      </w:r>
      <w:r w:rsidR="000E1540" w:rsidRPr="00AF6469">
        <w:rPr>
          <w:b/>
          <w:bCs/>
        </w:rPr>
        <w:t>rates</w:t>
      </w:r>
      <w:r w:rsidR="000E1540">
        <w:t xml:space="preserve"> (Table X). </w:t>
      </w:r>
      <w:r w:rsidR="003410AF">
        <w:t>To make these conversions, the Government needs to decide on standard values for emission factors (ton CO</w:t>
      </w:r>
      <w:r w:rsidR="003410AF" w:rsidRPr="00AF6469">
        <w:rPr>
          <w:vertAlign w:val="subscript"/>
        </w:rPr>
        <w:t>2</w:t>
      </w:r>
      <w:r w:rsidR="003410AF">
        <w:t xml:space="preserve"> per GJ) and net calorific values and densities (for liquid fuels). </w:t>
      </w:r>
      <w:r w:rsidR="00A050CD">
        <w:t xml:space="preserve">Values used could be </w:t>
      </w:r>
      <w:r w:rsidR="00EF2834">
        <w:t xml:space="preserve">those </w:t>
      </w:r>
      <w:r w:rsidR="00A050CD" w:rsidRPr="00A050CD">
        <w:t xml:space="preserve">used </w:t>
      </w:r>
      <w:r w:rsidR="00EF2834">
        <w:t xml:space="preserve">for statistical purposes </w:t>
      </w:r>
      <w:r w:rsidR="00A050CD" w:rsidRPr="00A050CD">
        <w:t xml:space="preserve">by the Intergovernmental Panel on Climate Change Emission Factor Database as well as </w:t>
      </w:r>
      <w:r w:rsidR="00EF2834">
        <w:t xml:space="preserve">in </w:t>
      </w:r>
      <w:r w:rsidR="00A050CD" w:rsidRPr="00A050CD">
        <w:t xml:space="preserve">the International Energy Agency </w:t>
      </w:r>
      <w:r w:rsidR="00A050CD" w:rsidRPr="00A050CD">
        <w:lastRenderedPageBreak/>
        <w:t>Energy Statistics Database. However, values may vary depending on actual composition of fuels. Thus, countries may use specific values where available info reflect specific national circumstances.</w:t>
      </w:r>
    </w:p>
    <w:p w14:paraId="4449D5D4" w14:textId="474E727C" w:rsidR="00A96FCA" w:rsidRDefault="00C77AE4" w:rsidP="006C786A">
      <w:pPr>
        <w:tabs>
          <w:tab w:val="num" w:pos="1440"/>
        </w:tabs>
        <w:jc w:val="left"/>
      </w:pPr>
      <w:r w:rsidRPr="00AF6469">
        <w:rPr>
          <w:b/>
          <w:bCs/>
        </w:rPr>
        <w:t xml:space="preserve">The legally binding levy rates </w:t>
      </w:r>
      <w:r w:rsidR="006408FD" w:rsidRPr="00AF6469">
        <w:rPr>
          <w:b/>
          <w:bCs/>
        </w:rPr>
        <w:t xml:space="preserve">would </w:t>
      </w:r>
      <w:r w:rsidRPr="00AF6469">
        <w:rPr>
          <w:b/>
          <w:bCs/>
        </w:rPr>
        <w:t>still in</w:t>
      </w:r>
      <w:r w:rsidR="006408FD" w:rsidRPr="00AF6469">
        <w:rPr>
          <w:b/>
          <w:bCs/>
        </w:rPr>
        <w:t xml:space="preserve"> the </w:t>
      </w:r>
      <w:r w:rsidR="00F268B6" w:rsidRPr="00AF6469">
        <w:rPr>
          <w:b/>
          <w:bCs/>
        </w:rPr>
        <w:t>national legislation be expressed in weight or volume units</w:t>
      </w:r>
      <w:r w:rsidR="005F66F5">
        <w:rPr>
          <w:b/>
          <w:bCs/>
        </w:rPr>
        <w:t xml:space="preserve">. </w:t>
      </w:r>
      <w:r w:rsidR="00B26B39" w:rsidRPr="00AF6469">
        <w:t>N</w:t>
      </w:r>
      <w:r w:rsidR="00D135E9" w:rsidRPr="00AF6469">
        <w:t xml:space="preserve">o </w:t>
      </w:r>
      <w:r w:rsidR="00F268B6" w:rsidRPr="00B26B39">
        <w:t>measurement of actual emissions</w:t>
      </w:r>
      <w:r w:rsidR="00B26B39">
        <w:t xml:space="preserve"> needs to be done</w:t>
      </w:r>
      <w:r w:rsidR="00B878B9" w:rsidRPr="00B26B39">
        <w:t>.</w:t>
      </w:r>
      <w:r w:rsidR="00B878B9">
        <w:t xml:space="preserve"> </w:t>
      </w:r>
      <w:r w:rsidR="007C702F">
        <w:t xml:space="preserve">This is in line with the current tax administrative system and </w:t>
      </w:r>
      <w:r w:rsidR="00B938D5">
        <w:t>keeps administrative and compliance cost</w:t>
      </w:r>
      <w:r w:rsidR="0006103C">
        <w:t>s</w:t>
      </w:r>
      <w:r w:rsidR="00B938D5">
        <w:t xml:space="preserve"> at a low level. </w:t>
      </w:r>
    </w:p>
    <w:p w14:paraId="1C0292D6" w14:textId="285ACEC3" w:rsidR="00251DAD" w:rsidRDefault="00A96FCA" w:rsidP="00AF6469">
      <w:pPr>
        <w:tabs>
          <w:tab w:val="num" w:pos="1440"/>
        </w:tabs>
        <w:jc w:val="left"/>
      </w:pPr>
      <w:r w:rsidRPr="00AF6469">
        <w:rPr>
          <w:b/>
          <w:bCs/>
        </w:rPr>
        <w:t>T</w:t>
      </w:r>
      <w:r w:rsidR="00E9170D" w:rsidRPr="00AF6469">
        <w:rPr>
          <w:b/>
          <w:bCs/>
        </w:rPr>
        <w:t xml:space="preserve">o be </w:t>
      </w:r>
      <w:r w:rsidR="0006103C" w:rsidRPr="00AF6469">
        <w:rPr>
          <w:b/>
          <w:bCs/>
        </w:rPr>
        <w:t>deductible</w:t>
      </w:r>
      <w:r w:rsidR="00E9170D" w:rsidRPr="00AF6469">
        <w:rPr>
          <w:b/>
          <w:bCs/>
        </w:rPr>
        <w:t xml:space="preserve"> under CBAM, the methodology for the </w:t>
      </w:r>
      <w:r w:rsidR="00865890" w:rsidRPr="00AF6469">
        <w:rPr>
          <w:b/>
          <w:bCs/>
        </w:rPr>
        <w:t>calculation of the carbon fuel excise levies needs to be made publicly available by the Government</w:t>
      </w:r>
      <w:r w:rsidR="00DD02F9" w:rsidRPr="00AF6469">
        <w:rPr>
          <w:b/>
          <w:bCs/>
        </w:rPr>
        <w:t xml:space="preserve">. </w:t>
      </w:r>
      <w:r w:rsidR="0043724F">
        <w:t xml:space="preserve">There are typically two ways </w:t>
      </w:r>
      <w:r w:rsidR="00863BF7">
        <w:t xml:space="preserve">to do this </w:t>
      </w:r>
      <w:r w:rsidR="0043724F">
        <w:t xml:space="preserve">in a way that ensures alignment with the CBAM: either as an annex to the tax code or in </w:t>
      </w:r>
      <w:r w:rsidR="001A1F1D">
        <w:t xml:space="preserve">secondary legislation or by presenting the </w:t>
      </w:r>
      <w:r>
        <w:t>calculation</w:t>
      </w:r>
      <w:r w:rsidR="006C786A">
        <w:t xml:space="preserve"> structure in </w:t>
      </w:r>
      <w:r w:rsidR="0043724F">
        <w:t>preparatory works of the legislation.</w:t>
      </w:r>
      <w:r w:rsidR="006C786A">
        <w:t xml:space="preserve"> </w:t>
      </w:r>
    </w:p>
    <w:p w14:paraId="080811B1" w14:textId="5AEDC54F" w:rsidR="008870A1" w:rsidRDefault="008870A1" w:rsidP="00B609E8">
      <w:r>
        <w:lastRenderedPageBreak/>
        <w:t xml:space="preserve">Table X </w:t>
      </w:r>
      <w:r w:rsidR="00C80EBE">
        <w:t xml:space="preserve">Recalculating </w:t>
      </w:r>
      <w:r w:rsidR="00915A77">
        <w:t>existing</w:t>
      </w:r>
      <w:r w:rsidR="00C80EBE">
        <w:t xml:space="preserve"> levies on fuels in Egypt into carbon fuel excise </w:t>
      </w:r>
      <w:r w:rsidR="00915A77">
        <w:t xml:space="preserve">levies </w:t>
      </w:r>
      <w:r w:rsidR="00A03AC9" w:rsidRPr="00A03AC9">
        <w:rPr>
          <w:noProof/>
        </w:rPr>
        <w:drawing>
          <wp:inline distT="0" distB="0" distL="0" distR="0" wp14:anchorId="6D4E10C1" wp14:editId="4F73AC07">
            <wp:extent cx="5715000" cy="3794760"/>
            <wp:effectExtent l="0" t="0" r="0" b="0"/>
            <wp:docPr id="9" name="Picture 8">
              <a:extLst xmlns:a="http://schemas.openxmlformats.org/drawingml/2006/main">
                <a:ext uri="{FF2B5EF4-FFF2-40B4-BE49-F238E27FC236}">
                  <a16:creationId xmlns:a16="http://schemas.microsoft.com/office/drawing/2014/main" id="{7BC30007-7721-D8FF-7782-FCC21B9AC7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BC30007-7721-D8FF-7782-FCC21B9AC723}"/>
                        </a:ext>
                      </a:extLst>
                    </pic:cNvPr>
                    <pic:cNvPicPr>
                      <a:picLocks noChangeAspect="1"/>
                    </pic:cNvPicPr>
                  </pic:nvPicPr>
                  <pic:blipFill>
                    <a:blip r:embed="rId32"/>
                    <a:stretch>
                      <a:fillRect/>
                    </a:stretch>
                  </pic:blipFill>
                  <pic:spPr>
                    <a:xfrm>
                      <a:off x="0" y="0"/>
                      <a:ext cx="5715000" cy="3794760"/>
                    </a:xfrm>
                    <a:prstGeom prst="rect">
                      <a:avLst/>
                    </a:prstGeom>
                  </pic:spPr>
                </pic:pic>
              </a:graphicData>
            </a:graphic>
          </wp:inline>
        </w:drawing>
      </w:r>
      <w:r w:rsidRPr="008870A1">
        <w:rPr>
          <w:noProof/>
        </w:rPr>
        <w:drawing>
          <wp:inline distT="0" distB="0" distL="0" distR="0" wp14:anchorId="30F072ED" wp14:editId="239B6B4D">
            <wp:extent cx="5715000" cy="3794760"/>
            <wp:effectExtent l="0" t="0" r="0" b="0"/>
            <wp:docPr id="4" name="Picture 3">
              <a:extLst xmlns:a="http://schemas.openxmlformats.org/drawingml/2006/main">
                <a:ext uri="{FF2B5EF4-FFF2-40B4-BE49-F238E27FC236}">
                  <a16:creationId xmlns:a16="http://schemas.microsoft.com/office/drawing/2014/main" id="{24B10B54-662F-6EE5-8FBB-3F18E0D053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4B10B54-662F-6EE5-8FBB-3F18E0D053F3}"/>
                        </a:ext>
                      </a:extLst>
                    </pic:cNvPr>
                    <pic:cNvPicPr>
                      <a:picLocks noChangeAspect="1"/>
                    </pic:cNvPicPr>
                  </pic:nvPicPr>
                  <pic:blipFill>
                    <a:blip r:embed="rId33"/>
                    <a:stretch>
                      <a:fillRect/>
                    </a:stretch>
                  </pic:blipFill>
                  <pic:spPr>
                    <a:xfrm>
                      <a:off x="0" y="0"/>
                      <a:ext cx="5715000" cy="3794760"/>
                    </a:xfrm>
                    <a:prstGeom prst="rect">
                      <a:avLst/>
                    </a:prstGeom>
                  </pic:spPr>
                </pic:pic>
              </a:graphicData>
            </a:graphic>
          </wp:inline>
        </w:drawing>
      </w:r>
    </w:p>
    <w:p w14:paraId="6862E0C2" w14:textId="030E7132" w:rsidR="00B609E8" w:rsidRDefault="00B609E8" w:rsidP="00B609E8">
      <w:commentRangeStart w:id="89"/>
      <w:commentRangeStart w:id="90"/>
      <w:r w:rsidRPr="00A231BA">
        <w:rPr>
          <w:b/>
          <w:bCs/>
        </w:rPr>
        <w:lastRenderedPageBreak/>
        <w:t xml:space="preserve">To align with CBAM requirements, the </w:t>
      </w:r>
      <w:r w:rsidR="006A4D66">
        <w:rPr>
          <w:b/>
          <w:bCs/>
        </w:rPr>
        <w:t>recalculated rates would need to be ex</w:t>
      </w:r>
      <w:r w:rsidR="00D10ED6">
        <w:rPr>
          <w:b/>
          <w:bCs/>
        </w:rPr>
        <w:t xml:space="preserve">tended </w:t>
      </w:r>
      <w:r w:rsidR="009C21F8">
        <w:rPr>
          <w:b/>
          <w:bCs/>
        </w:rPr>
        <w:t>t</w:t>
      </w:r>
      <w:r w:rsidRPr="60DA6623">
        <w:rPr>
          <w:b/>
          <w:bCs/>
        </w:rPr>
        <w:t xml:space="preserve">o </w:t>
      </w:r>
      <w:r w:rsidRPr="00A231BA">
        <w:rPr>
          <w:b/>
          <w:bCs/>
        </w:rPr>
        <w:t>cover fuels used in CBAM goods production.</w:t>
      </w:r>
      <w:r w:rsidRPr="009A7BAD" w:rsidDel="009A7BAD">
        <w:t xml:space="preserve"> </w:t>
      </w:r>
      <w:commentRangeEnd w:id="89"/>
      <w:r w:rsidRPr="00444988">
        <w:rPr>
          <w:rStyle w:val="CommentReference"/>
          <w:sz w:val="22"/>
          <w:szCs w:val="22"/>
        </w:rPr>
        <w:commentReference w:id="89"/>
      </w:r>
      <w:commentRangeEnd w:id="90"/>
      <w:r w:rsidRPr="00444988">
        <w:rPr>
          <w:rStyle w:val="CommentReference"/>
          <w:sz w:val="22"/>
          <w:szCs w:val="22"/>
        </w:rPr>
        <w:commentReference w:id="90"/>
      </w:r>
      <w:r w:rsidRPr="00444988">
        <w:t>Egypt's current energy taxes impose high rates primarily on diesel and gasoline</w:t>
      </w:r>
      <w:r>
        <w:t>, which are not fuels used in the production of CBAM goods and thus not covered under the EU CBAM</w:t>
      </w:r>
      <w:r w:rsidRPr="00444988">
        <w:t>.</w:t>
      </w:r>
      <w:r>
        <w:rPr>
          <w:b/>
        </w:rPr>
        <w:t xml:space="preserve"> </w:t>
      </w:r>
      <w:r w:rsidRPr="005D403C">
        <w:t>Strengthening the existing excise tax system to include an explicit carbon tax on all fuels</w:t>
      </w:r>
      <w:r>
        <w:t xml:space="preserve">, </w:t>
      </w:r>
      <w:r w:rsidRPr="005D403C">
        <w:t>such as natural gas and coal</w:t>
      </w:r>
      <w:r>
        <w:t xml:space="preserve">, </w:t>
      </w:r>
      <w:r w:rsidRPr="005D403C">
        <w:t xml:space="preserve">would </w:t>
      </w:r>
      <w:r>
        <w:t xml:space="preserve">cover fuel-related emissions and a large share of </w:t>
      </w:r>
      <w:r w:rsidRPr="005D403C">
        <w:t>CBAM</w:t>
      </w:r>
      <w:r>
        <w:t xml:space="preserve"> financial</w:t>
      </w:r>
      <w:r w:rsidRPr="005D403C">
        <w:t xml:space="preserve"> obligations, as emissions from these fuels are subject to the fi</w:t>
      </w:r>
      <w:r w:rsidR="00E9327D">
        <w:t xml:space="preserve">nancial </w:t>
      </w:r>
      <w:r w:rsidRPr="005D403C">
        <w:t>CBAM requirement. Administrative and compliance costs would remain low by leveraging existing tax collection mechanisms</w:t>
      </w:r>
      <w:r w:rsidR="002E7D5B">
        <w:t xml:space="preserve"> and could be further reduced by consolidating all three existing fuel levies </w:t>
      </w:r>
      <w:r w:rsidR="00A33754">
        <w:t>into one carbon fuel excise levy</w:t>
      </w:r>
      <w:r w:rsidRPr="005D403C">
        <w:t xml:space="preserve">. </w:t>
      </w:r>
      <w:r w:rsidRPr="00DF7990">
        <w:rPr>
          <w:lang w:val="en-GB"/>
        </w:rPr>
        <w:t xml:space="preserve">An upstream carbon tax administration </w:t>
      </w:r>
      <w:r>
        <w:rPr>
          <w:lang w:val="en-GB"/>
        </w:rPr>
        <w:t>implies</w:t>
      </w:r>
      <w:r w:rsidRPr="00DF7990">
        <w:rPr>
          <w:lang w:val="en-GB"/>
        </w:rPr>
        <w:t xml:space="preserve"> few points of regulation, limiting the number of entities responsible for collecting and delivering the tax due to the Government. </w:t>
      </w:r>
      <w:r w:rsidRPr="005D403C">
        <w:t xml:space="preserve">Given CBAM’s phased implementation, </w:t>
      </w:r>
      <w:r>
        <w:t>a</w:t>
      </w:r>
      <w:r w:rsidRPr="005D403C">
        <w:t xml:space="preserve"> gradual transition to a domestic carbon fuel tax would allow</w:t>
      </w:r>
      <w:r>
        <w:t xml:space="preserve"> a swift response to CBAM by covering </w:t>
      </w:r>
      <w:r w:rsidR="00076438">
        <w:t xml:space="preserve">fuel related </w:t>
      </w:r>
      <w:r>
        <w:t xml:space="preserve">emissions </w:t>
      </w:r>
      <w:r w:rsidRPr="005D403C">
        <w:t>.</w:t>
      </w:r>
    </w:p>
    <w:p w14:paraId="55DB6864" w14:textId="1F2BEA87" w:rsidR="00C713E1" w:rsidRDefault="00AD384F" w:rsidP="006F7BCC">
      <w:pPr>
        <w:pStyle w:val="Heading3"/>
      </w:pPr>
      <w:r>
        <w:t xml:space="preserve">Expanding coverage to </w:t>
      </w:r>
      <w:r w:rsidR="00264FFC">
        <w:t xml:space="preserve">all </w:t>
      </w:r>
      <w:r>
        <w:t xml:space="preserve">industrial </w:t>
      </w:r>
      <w:r w:rsidR="00C713E1" w:rsidRPr="11357084">
        <w:t xml:space="preserve">emissions </w:t>
      </w:r>
    </w:p>
    <w:p w14:paraId="49728290" w14:textId="5C02FC2A" w:rsidR="00D50B10" w:rsidRDefault="00D50B10" w:rsidP="00D50B10">
      <w:r w:rsidRPr="00AF6469">
        <w:rPr>
          <w:b/>
          <w:bCs/>
        </w:rPr>
        <w:t>Emissions from non-combustion use in industrial processes can be large in the CBAM related sectors, in particular from calcination of limestone in cement production.</w:t>
      </w:r>
      <w:r w:rsidRPr="00F62598">
        <w:t xml:space="preserve"> However, apart from emissions from limestone in-put, non-combustion emissions in CBAM sectors to a large extent stem from the use of fossil fuels in the industrial processes. The EU Commission’s draft implementing regulation on carbon price paid recognizes the full price paid on fuels consumed by in the relevant CBAM industrial process, independently of if the standard emission factors at combustion has been used to calculate </w:t>
      </w:r>
      <w:r w:rsidR="00755DE5">
        <w:t xml:space="preserve">the </w:t>
      </w:r>
      <w:r w:rsidRPr="00F62598">
        <w:t xml:space="preserve">fuel-based carbon </w:t>
      </w:r>
      <w:r w:rsidR="00755DE5">
        <w:t>levy</w:t>
      </w:r>
      <w:r w:rsidRPr="00F62598">
        <w:t>.</w:t>
      </w:r>
    </w:p>
    <w:p w14:paraId="41464FD6" w14:textId="59C3BEE0" w:rsidR="00F81698" w:rsidRPr="00D50B10" w:rsidRDefault="002F168A" w:rsidP="00AF6469">
      <w:pPr>
        <w:spacing w:line="257" w:lineRule="auto"/>
      </w:pPr>
      <w:r w:rsidRPr="00AF6469">
        <w:rPr>
          <w:b/>
          <w:bCs/>
        </w:rPr>
        <w:t>A downstream carbon tax could be introduced</w:t>
      </w:r>
      <w:r w:rsidR="006A457E" w:rsidRPr="00AF6469">
        <w:rPr>
          <w:b/>
          <w:bCs/>
        </w:rPr>
        <w:t>, i</w:t>
      </w:r>
      <w:r w:rsidR="009C08E4" w:rsidRPr="00AF6469">
        <w:rPr>
          <w:b/>
          <w:bCs/>
        </w:rPr>
        <w:t xml:space="preserve">f </w:t>
      </w:r>
      <w:r w:rsidR="006A695F" w:rsidRPr="00AF6469">
        <w:rPr>
          <w:b/>
          <w:bCs/>
        </w:rPr>
        <w:t>a</w:t>
      </w:r>
      <w:r w:rsidR="00A30D12" w:rsidRPr="00AF6469">
        <w:rPr>
          <w:b/>
          <w:bCs/>
        </w:rPr>
        <w:t xml:space="preserve">lso process emissions from </w:t>
      </w:r>
      <w:r w:rsidR="005E74BD" w:rsidRPr="00AF6469">
        <w:rPr>
          <w:b/>
          <w:bCs/>
        </w:rPr>
        <w:t xml:space="preserve">other forms of </w:t>
      </w:r>
      <w:r w:rsidR="00B20195" w:rsidRPr="00AF6469">
        <w:rPr>
          <w:b/>
          <w:bCs/>
        </w:rPr>
        <w:t>input</w:t>
      </w:r>
      <w:r w:rsidR="00CA70BD">
        <w:rPr>
          <w:b/>
          <w:bCs/>
        </w:rPr>
        <w:t xml:space="preserve"> than fuels</w:t>
      </w:r>
      <w:r w:rsidR="005E74BD" w:rsidRPr="00AF6469">
        <w:rPr>
          <w:b/>
          <w:bCs/>
        </w:rPr>
        <w:t xml:space="preserve">, such as limestone, </w:t>
      </w:r>
      <w:r w:rsidR="00E666BC" w:rsidRPr="00AF6469">
        <w:rPr>
          <w:b/>
          <w:bCs/>
        </w:rPr>
        <w:t xml:space="preserve">are to be </w:t>
      </w:r>
      <w:r w:rsidR="003D1F97" w:rsidRPr="00AF6469">
        <w:rPr>
          <w:b/>
          <w:bCs/>
        </w:rPr>
        <w:t xml:space="preserve">covered by a carbon pricing mechanism </w:t>
      </w:r>
      <w:r w:rsidR="00157275" w:rsidRPr="00AF6469">
        <w:rPr>
          <w:b/>
          <w:bCs/>
        </w:rPr>
        <w:t>deductible</w:t>
      </w:r>
      <w:r w:rsidR="003151C9" w:rsidRPr="00AF6469">
        <w:rPr>
          <w:b/>
          <w:bCs/>
        </w:rPr>
        <w:t xml:space="preserve"> from the CBAM financial obligation</w:t>
      </w:r>
      <w:r w:rsidR="004133A6" w:rsidRPr="00AF6469">
        <w:rPr>
          <w:b/>
          <w:bCs/>
        </w:rPr>
        <w:t>.</w:t>
      </w:r>
      <w:r w:rsidR="004133A6">
        <w:t xml:space="preserve"> Such a tax could </w:t>
      </w:r>
      <w:r w:rsidR="00166B90">
        <w:t>be paid by the operators of the installations where the relevant industrial processes occur</w:t>
      </w:r>
      <w:r w:rsidR="00E666BC">
        <w:t xml:space="preserve">. </w:t>
      </w:r>
      <w:r w:rsidR="005F11F8">
        <w:t>Different administrative designs could be envisaged</w:t>
      </w:r>
      <w:r w:rsidR="004B1813">
        <w:t xml:space="preserve"> for collecting </w:t>
      </w:r>
      <w:r w:rsidR="001525EF">
        <w:t xml:space="preserve">those revenues. </w:t>
      </w:r>
      <w:r w:rsidR="001815D9">
        <w:t xml:space="preserve">To facilitate </w:t>
      </w:r>
      <w:r w:rsidR="00166B90">
        <w:t xml:space="preserve">administrative and </w:t>
      </w:r>
      <w:r w:rsidR="00245B5B">
        <w:t>compliance costs</w:t>
      </w:r>
      <w:r w:rsidR="00166B90">
        <w:t xml:space="preserve">, </w:t>
      </w:r>
      <w:r w:rsidR="004F065A">
        <w:t xml:space="preserve">the operator </w:t>
      </w:r>
      <w:r w:rsidR="00F31B1A">
        <w:t xml:space="preserve">could be </w:t>
      </w:r>
      <w:r w:rsidR="004F065A">
        <w:t xml:space="preserve">required to pay a carbon tax on all emissions, both </w:t>
      </w:r>
      <w:r w:rsidR="00F31B1A">
        <w:t xml:space="preserve">from fuels and other </w:t>
      </w:r>
      <w:r w:rsidR="00104C94">
        <w:t>inputs</w:t>
      </w:r>
      <w:r w:rsidR="00772081">
        <w:t xml:space="preserve">. </w:t>
      </w:r>
      <w:r w:rsidR="004F065A">
        <w:t xml:space="preserve">Instead of paying the </w:t>
      </w:r>
      <w:r w:rsidR="00772081">
        <w:t xml:space="preserve">upstream carbon fuel excise </w:t>
      </w:r>
      <w:r w:rsidR="004F065A">
        <w:t xml:space="preserve">tax upfront and applying for compensation later, eligible businesses could obtain special licenses or exemptions allowing them to purchase fuel without the </w:t>
      </w:r>
      <w:r w:rsidR="00161BA5">
        <w:t xml:space="preserve">upstream </w:t>
      </w:r>
      <w:r w:rsidR="004F065A">
        <w:t xml:space="preserve">carbon </w:t>
      </w:r>
      <w:r w:rsidR="00161BA5">
        <w:t xml:space="preserve">fuel excise levy </w:t>
      </w:r>
      <w:r w:rsidR="004F065A">
        <w:t>if they demonstrate that they will pay a downstream carbon tax covering all actual emissions</w:t>
      </w:r>
      <w:r w:rsidR="005A4813">
        <w:t xml:space="preserve"> as calculated on the basis of applied MRV systems</w:t>
      </w:r>
      <w:r w:rsidR="004F065A">
        <w:t xml:space="preserve">. </w:t>
      </w:r>
    </w:p>
    <w:p w14:paraId="33ECFD70" w14:textId="42E9443F" w:rsidR="005F6FB9" w:rsidRDefault="00F81698" w:rsidP="00044B83">
      <w:r w:rsidRPr="00AF6469">
        <w:rPr>
          <w:b/>
          <w:bCs/>
        </w:rPr>
        <w:t xml:space="preserve">Default values </w:t>
      </w:r>
      <w:r w:rsidR="00100B09" w:rsidRPr="00AF6469">
        <w:rPr>
          <w:b/>
          <w:bCs/>
        </w:rPr>
        <w:t>could be used</w:t>
      </w:r>
      <w:r w:rsidR="001A63D8">
        <w:rPr>
          <w:b/>
          <w:bCs/>
        </w:rPr>
        <w:t xml:space="preserve"> to facilitate compliance</w:t>
      </w:r>
      <w:r w:rsidR="00100B09">
        <w:t xml:space="preserve">. </w:t>
      </w:r>
      <w:r w:rsidR="00C713E1">
        <w:t xml:space="preserve">Instead of requiring actual emissions calculations, the tax on these emissions could, if the operator prefers, be based on default values expressed in tons of CO₂e per ton of product (e.g., cement clinker). </w:t>
      </w:r>
      <w:r w:rsidR="00C713E1" w:rsidRPr="00D863A6">
        <w:t xml:space="preserve">Such default values are for example used by the Intergovernmental Panel on Climate Change Emission Factor Database </w:t>
      </w:r>
      <w:r w:rsidR="00C713E1" w:rsidRPr="00D863A6">
        <w:lastRenderedPageBreak/>
        <w:t>(IPCC)</w:t>
      </w:r>
      <w:r w:rsidR="00C713E1" w:rsidRPr="00D863A6">
        <w:rPr>
          <w:rStyle w:val="FootnoteReference"/>
        </w:rPr>
        <w:footnoteReference w:id="32"/>
      </w:r>
      <w:r w:rsidR="00C713E1">
        <w:t>.</w:t>
      </w:r>
      <w:r w:rsidR="00C713E1" w:rsidRPr="00D863A6">
        <w:t xml:space="preserve"> </w:t>
      </w:r>
      <w:r w:rsidR="00C713E1" w:rsidRPr="00461934">
        <w:t xml:space="preserve">Firms that establish a facility-level MRV system could report verified lower emission intensities and claim rebates if their emissions fall below the default assumptions. This approach allows for immediate implementation </w:t>
      </w:r>
      <w:r w:rsidR="00C713E1">
        <w:t xml:space="preserve">by using default values, </w:t>
      </w:r>
      <w:r w:rsidR="00C713E1" w:rsidRPr="00461934">
        <w:t>while incentivizing more accurate reporting and emissions reductions over time, with full MRV integration phased in over the medium to long term</w:t>
      </w:r>
      <w:r w:rsidR="00C713E1">
        <w:t xml:space="preserve">. </w:t>
      </w:r>
    </w:p>
    <w:p w14:paraId="10D5C763" w14:textId="282A274A" w:rsidR="00B609E8" w:rsidRPr="00B609E8" w:rsidRDefault="00930C86" w:rsidP="00044B83">
      <w:r w:rsidRPr="00AF6469">
        <w:rPr>
          <w:b/>
          <w:bCs/>
        </w:rPr>
        <w:t xml:space="preserve">A downstream carbon </w:t>
      </w:r>
      <w:r w:rsidR="005A6730">
        <w:rPr>
          <w:b/>
          <w:bCs/>
        </w:rPr>
        <w:t xml:space="preserve">levy </w:t>
      </w:r>
      <w:r w:rsidR="00614810">
        <w:rPr>
          <w:b/>
          <w:bCs/>
        </w:rPr>
        <w:t xml:space="preserve">on </w:t>
      </w:r>
      <w:r w:rsidRPr="00AF6469">
        <w:rPr>
          <w:b/>
          <w:bCs/>
        </w:rPr>
        <w:t xml:space="preserve">emissions </w:t>
      </w:r>
      <w:r w:rsidR="00614810">
        <w:rPr>
          <w:b/>
          <w:bCs/>
        </w:rPr>
        <w:t xml:space="preserve">at the facilities level </w:t>
      </w:r>
      <w:r w:rsidRPr="00AF6469">
        <w:rPr>
          <w:b/>
          <w:bCs/>
        </w:rPr>
        <w:t>could also be an option</w:t>
      </w:r>
      <w:r w:rsidR="00671EAB">
        <w:rPr>
          <w:b/>
          <w:bCs/>
        </w:rPr>
        <w:t>, when the MRV and regulatory capacity is present</w:t>
      </w:r>
      <w:r w:rsidR="00614810">
        <w:rPr>
          <w:b/>
          <w:bCs/>
        </w:rPr>
        <w:t xml:space="preserve">. </w:t>
      </w:r>
      <w:r w:rsidR="00614810">
        <w:t>In a hybrid approach accompanying an upstream carbon levy</w:t>
      </w:r>
      <w:r w:rsidR="00DB7C71">
        <w:t xml:space="preserve">, </w:t>
      </w:r>
      <w:r w:rsidR="00614810">
        <w:t>the downstream carbon pricing instrument could focus on non-fuel</w:t>
      </w:r>
      <w:r w:rsidR="00671EAB">
        <w:t xml:space="preserve"> or </w:t>
      </w:r>
      <w:r w:rsidR="00614810">
        <w:t xml:space="preserve">process </w:t>
      </w:r>
      <w:r w:rsidR="00671EAB">
        <w:t xml:space="preserve">emissions. </w:t>
      </w:r>
      <w:r w:rsidR="009A0ACE">
        <w:t xml:space="preserve">This combined approach can </w:t>
      </w:r>
      <w:r w:rsidR="00DB7C71">
        <w:t>add more complexity to the administrative system</w:t>
      </w:r>
      <w:r w:rsidR="001B2EEE">
        <w:t>,</w:t>
      </w:r>
      <w:r w:rsidR="00A84A76">
        <w:t xml:space="preserve"> </w:t>
      </w:r>
      <w:r w:rsidR="001B2EEE">
        <w:t xml:space="preserve">though, </w:t>
      </w:r>
      <w:r w:rsidR="00A84A76">
        <w:t xml:space="preserve">and </w:t>
      </w:r>
      <w:r w:rsidR="001B2EEE">
        <w:t xml:space="preserve">its success </w:t>
      </w:r>
      <w:r w:rsidR="00A84A76">
        <w:t xml:space="preserve">depends on the </w:t>
      </w:r>
      <w:r w:rsidR="0008356F">
        <w:t xml:space="preserve">emissions </w:t>
      </w:r>
      <w:r w:rsidR="00A84A76">
        <w:t xml:space="preserve">reporting </w:t>
      </w:r>
      <w:r w:rsidR="0008356F">
        <w:t xml:space="preserve">maturity of the facilities and </w:t>
      </w:r>
      <w:r w:rsidR="0000259B">
        <w:t>whether enforcement capacity</w:t>
      </w:r>
      <w:r w:rsidR="001918EE">
        <w:t xml:space="preserve"> can be leveraged from other environmental regulations</w:t>
      </w:r>
      <w:r>
        <w:t xml:space="preserve">. </w:t>
      </w:r>
    </w:p>
    <w:sectPr w:rsidR="00B609E8" w:rsidRPr="00B609E8" w:rsidSect="00FC39AB">
      <w:footerReference w:type="even" r:id="rId34"/>
      <w:footerReference w:type="default" r:id="rId35"/>
      <w:footerReference w:type="first" r:id="rId36"/>
      <w:pgSz w:w="12240" w:h="15840"/>
      <w:pgMar w:top="1440" w:right="1440" w:bottom="72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olyn Fischer" w:date="2026-05-29T22:22:00Z" w:initials="CF">
    <w:p w14:paraId="1342B8CE" w14:textId="77777777" w:rsidR="001C2453" w:rsidRDefault="001C2453" w:rsidP="001C2453">
      <w:pPr>
        <w:pStyle w:val="CommentText"/>
        <w:jc w:val="left"/>
      </w:pPr>
      <w:r>
        <w:rPr>
          <w:rStyle w:val="CommentReference"/>
        </w:rPr>
        <w:annotationRef/>
      </w:r>
      <w:r>
        <w:t>Flagging that we need to check authors and acknowledgments for this update.</w:t>
      </w:r>
    </w:p>
  </w:comment>
  <w:comment w:id="3" w:author="Carolyn Fischer" w:date="2026-05-25T17:54:00Z" w:initials="CF">
    <w:p w14:paraId="7375EE1F" w14:textId="77777777" w:rsidR="005D2AAD" w:rsidRDefault="005D2AAD" w:rsidP="005448F4">
      <w:pPr>
        <w:pStyle w:val="CommentText"/>
        <w:jc w:val="left"/>
      </w:pPr>
      <w:r>
        <w:rPr>
          <w:rStyle w:val="CommentReference"/>
        </w:rPr>
        <w:annotationRef/>
      </w:r>
      <w:r>
        <w:t>List year and source; may need updating</w:t>
      </w:r>
    </w:p>
  </w:comment>
  <w:comment w:id="4" w:author="Miguel Eduardo Sanchez Martin" w:date="2026-07-02T14:33:00Z" w:initials="MS">
    <w:p w14:paraId="4976BDFF" w14:textId="77777777" w:rsidR="00F01AB2" w:rsidRDefault="00F01AB2" w:rsidP="00F01AB2">
      <w:pPr>
        <w:pStyle w:val="CommentText"/>
        <w:jc w:val="left"/>
      </w:pPr>
      <w:r>
        <w:rPr>
          <w:rStyle w:val="CommentReference"/>
        </w:rPr>
        <w:annotationRef/>
      </w:r>
      <w:r>
        <w:t>Shall we make a brief mention to the industries that seem to be less and better placed to remain competitives (because of the lower emissions)? I recall in the presentation there was a chart placing the four industries affected in different quadrants...</w:t>
      </w:r>
    </w:p>
  </w:comment>
  <w:comment w:id="5" w:author="Miguel Eduardo Sanchez Martin" w:date="2026-07-02T14:35:00Z" w:initials="MS">
    <w:p w14:paraId="126D2EA0" w14:textId="77777777" w:rsidR="00A42D32" w:rsidRDefault="00A42D32" w:rsidP="00A42D32">
      <w:pPr>
        <w:pStyle w:val="CommentText"/>
        <w:jc w:val="left"/>
      </w:pPr>
      <w:r>
        <w:rPr>
          <w:rStyle w:val="CommentReference"/>
        </w:rPr>
        <w:annotationRef/>
      </w:r>
      <w:r>
        <w:t>To better link to the previous paragraphs, it would be helpful to add a sentence here mentioning how carbon pricing industries are taken into consideration by the EU when assessing CBAM-related charges.</w:t>
      </w:r>
    </w:p>
  </w:comment>
  <w:comment w:id="6" w:author="Miguel Eduardo Sanchez Martin" w:date="2026-07-02T14:45:00Z" w:initials="MS">
    <w:p w14:paraId="5E0F8524" w14:textId="77777777" w:rsidR="00CF1C3F" w:rsidRDefault="00CF1C3F" w:rsidP="00CF1C3F">
      <w:pPr>
        <w:pStyle w:val="CommentText"/>
        <w:jc w:val="left"/>
      </w:pPr>
      <w:r>
        <w:rPr>
          <w:rStyle w:val="CommentReference"/>
        </w:rPr>
        <w:annotationRef/>
      </w:r>
      <w:r>
        <w:t>The message in this paragraph is unclear. The bolded heading sentence talks about economic benefits and co-benefits, but then the paragraph itself talks about something different. It the focus is CBAM, maybe we could say how direct pricing instruments can help address concerns and then at the end we say that “In addition, carbon pricing brings X,Y,Z co-benefits”</w:t>
      </w:r>
    </w:p>
  </w:comment>
  <w:comment w:id="7" w:author="Susanne Alice Charlotta Aakerfeldt" w:date="2026-03-31T15:08:00Z" w:initials="SA">
    <w:p w14:paraId="45B13EFD" w14:textId="12DE11F4" w:rsidR="008D09F9" w:rsidRDefault="008D09F9" w:rsidP="008D09F9">
      <w:pPr>
        <w:pStyle w:val="CommentText"/>
        <w:jc w:val="left"/>
      </w:pPr>
      <w:r>
        <w:rPr>
          <w:rStyle w:val="CommentReference"/>
        </w:rPr>
        <w:annotationRef/>
      </w:r>
      <w:r>
        <w:t xml:space="preserve">Likely needs to be updated based on current request. </w:t>
      </w:r>
    </w:p>
  </w:comment>
  <w:comment w:id="10" w:author="Carolyn Fischer" w:date="2026-05-26T15:50:00Z" w:initials="CF">
    <w:p w14:paraId="1A29F1E9" w14:textId="34643D61" w:rsidR="00AD6A2E" w:rsidRDefault="00AD6A2E" w:rsidP="00AD6A2E">
      <w:pPr>
        <w:pStyle w:val="CommentText"/>
        <w:jc w:val="left"/>
      </w:pPr>
      <w:r>
        <w:rPr>
          <w:rStyle w:val="CommentReference"/>
        </w:rPr>
        <w:annotationRef/>
      </w:r>
      <w:r>
        <w:fldChar w:fldCharType="begin"/>
      </w:r>
      <w:r>
        <w:instrText>HYPERLINK "mailto:saakerfeldt@worldbank.org"</w:instrText>
      </w:r>
      <w:bookmarkStart w:id="12" w:name="_@_46BBC16825C141248802AE53EB09BC57Z"/>
      <w:r>
        <w:fldChar w:fldCharType="separate"/>
      </w:r>
      <w:bookmarkEnd w:id="12"/>
      <w:r w:rsidRPr="00AD6A2E">
        <w:rPr>
          <w:rStyle w:val="Mention"/>
          <w:noProof/>
        </w:rPr>
        <w:t>@Susanne Alice Charlotta Aakerfeldt</w:t>
      </w:r>
      <w:r>
        <w:fldChar w:fldCharType="end"/>
      </w:r>
      <w:r>
        <w:t xml:space="preserve"> : could we please verify whether indirect emissions are included for hydrogen? This document indicates they are: </w:t>
      </w:r>
      <w:hyperlink r:id="rId1" w:history="1">
        <w:r w:rsidRPr="00C153C8">
          <w:rPr>
            <w:rStyle w:val="Hyperlink"/>
          </w:rPr>
          <w:t>https://op.europa.eu/en/publication-detail/-/publication/3baf5e41-9e1e-11ee-b164-01aa75ed71a1/language-en</w:t>
        </w:r>
      </w:hyperlink>
      <w:r>
        <w:br/>
        <w:t>I don’t think it’s a holdover from the reporting period, since the version for aluminum does not have indirect emissions.</w:t>
      </w:r>
    </w:p>
  </w:comment>
  <w:comment w:id="11" w:author="Susanne Alice Charlotta Aakerfeldt" w:date="2026-05-26T16:00:00Z" w:initials="SA">
    <w:p w14:paraId="1AAD40B6" w14:textId="651EC148" w:rsidR="0033601C" w:rsidRDefault="0033601C">
      <w:pPr>
        <w:pStyle w:val="CommentText"/>
      </w:pPr>
      <w:r>
        <w:rPr>
          <w:rStyle w:val="CommentReference"/>
        </w:rPr>
        <w:annotationRef/>
      </w:r>
      <w:r w:rsidRPr="098A5D91">
        <w:t xml:space="preserve">This paper refers to the transitional period, now we're into the definitive period and only direct emissions are declred embedded in imported hydrogen. the doc talks about quarterly basis reporting and that was during the transitional period. </w:t>
      </w:r>
    </w:p>
  </w:comment>
  <w:comment w:id="13" w:author="Susanne Alice Charlotta Aakerfeldt" w:date="2026-06-23T11:37:00Z" w:initials="SA">
    <w:p w14:paraId="30409369" w14:textId="77777777" w:rsidR="00D923DB" w:rsidRDefault="00D923DB" w:rsidP="00D923DB">
      <w:pPr>
        <w:pStyle w:val="CommentText"/>
        <w:jc w:val="left"/>
      </w:pPr>
      <w:r>
        <w:rPr>
          <w:rStyle w:val="CommentReference"/>
        </w:rPr>
        <w:annotationRef/>
      </w:r>
      <w:r>
        <w:t xml:space="preserve">Please note that October 2025 changes of the CBAM Regulation, so please use this version of the figure as was in Alexandra’s and Faustina’s note to the 20206 PFR.  Scope 2 emissions are not relevant for electricity as a CBAM good, as the CBAM concerns installations producing electricity, not consuming it. This is already clarified in Annex III, Section D3 of Implementing Regulation (EU) 2023/1773), which refers to net electricity leaving the plant for the emissions calculation. The revision of the CBAM Regulation clarified this. </w:t>
      </w:r>
    </w:p>
  </w:comment>
  <w:comment w:id="15" w:author="Carolyn Fischer" w:date="2026-05-26T15:55:00Z" w:initials="CF">
    <w:p w14:paraId="0C5F9776" w14:textId="46778FF7" w:rsidR="00C42B6C" w:rsidRDefault="00C42B6C" w:rsidP="00C42B6C">
      <w:pPr>
        <w:pStyle w:val="CommentText"/>
        <w:jc w:val="left"/>
      </w:pPr>
      <w:r>
        <w:rPr>
          <w:rStyle w:val="CommentReference"/>
        </w:rPr>
        <w:annotationRef/>
      </w:r>
      <w:r>
        <w:fldChar w:fldCharType="begin"/>
      </w:r>
      <w:r>
        <w:instrText>HYPERLINK "mailto:saakerfeldt@worldbank.org"</w:instrText>
      </w:r>
      <w:bookmarkStart w:id="17" w:name="_@_6DFA6D7DD0F74492AEAEEF45249BC2F2Z"/>
      <w:r>
        <w:fldChar w:fldCharType="separate"/>
      </w:r>
      <w:bookmarkEnd w:id="17"/>
      <w:r w:rsidRPr="00C42B6C">
        <w:rPr>
          <w:rStyle w:val="Mention"/>
          <w:noProof/>
        </w:rPr>
        <w:t>@Susanne Alice Charlotta Aakerfeldt</w:t>
      </w:r>
      <w:r>
        <w:fldChar w:fldCharType="end"/>
      </w:r>
      <w:r>
        <w:t xml:space="preserve">  I think we may need to give more guidance on what MRV is involved.</w:t>
      </w:r>
    </w:p>
  </w:comment>
  <w:comment w:id="16" w:author="Susanne Alice Charlotta Aakerfeldt" w:date="2026-06-23T13:08:00Z" w:initials="SA">
    <w:p w14:paraId="076AB745" w14:textId="77777777" w:rsidR="005A0106" w:rsidRDefault="005A0106" w:rsidP="005A0106">
      <w:pPr>
        <w:pStyle w:val="CommentText"/>
        <w:jc w:val="left"/>
      </w:pPr>
      <w:r>
        <w:rPr>
          <w:rStyle w:val="CommentReference"/>
        </w:rPr>
        <w:annotationRef/>
      </w:r>
      <w:r>
        <w:t xml:space="preserve">This is a short paper, if we want to go into details of methodology we would need to write a book. Those interested can read the implementing acts. </w:t>
      </w:r>
    </w:p>
  </w:comment>
  <w:comment w:id="19" w:author="Miguel Eduardo Sanchez Martin" w:date="2026-07-02T14:59:00Z" w:initials="MS">
    <w:p w14:paraId="33F96786" w14:textId="77777777" w:rsidR="00EC5C69" w:rsidRDefault="00EC5C69" w:rsidP="00EC5C69">
      <w:pPr>
        <w:pStyle w:val="CommentText"/>
        <w:jc w:val="left"/>
      </w:pPr>
      <w:r>
        <w:rPr>
          <w:rStyle w:val="CommentReference"/>
        </w:rPr>
        <w:annotationRef/>
      </w:r>
      <w:r>
        <w:t>We would need to revise this entire sentence, something about the grammar or meaning seems off</w:t>
      </w:r>
    </w:p>
  </w:comment>
  <w:comment w:id="21" w:author="Carolyn Fischer" w:date="2026-03-26T22:22:00Z" w:initials="CF">
    <w:p w14:paraId="3C082DD7" w14:textId="026033D9" w:rsidR="00C41B80" w:rsidRDefault="00C41B80" w:rsidP="00C41B80">
      <w:pPr>
        <w:pStyle w:val="CommentText"/>
        <w:jc w:val="left"/>
      </w:pPr>
      <w:r>
        <w:rPr>
          <w:rStyle w:val="CommentReference"/>
        </w:rPr>
        <w:annotationRef/>
      </w:r>
      <w:r>
        <w:t>Carolyn: update numbers with latest trade and defaults data, discuss sensitivity and available insights from facility data</w:t>
      </w:r>
    </w:p>
  </w:comment>
  <w:comment w:id="23" w:author="Miguel Eduardo Sanchez Martin" w:date="2026-07-02T15:11:00Z" w:initials="MS">
    <w:p w14:paraId="63EDD398" w14:textId="77777777" w:rsidR="00495D87" w:rsidRDefault="00495D87" w:rsidP="00495D87">
      <w:pPr>
        <w:pStyle w:val="CommentText"/>
        <w:jc w:val="left"/>
      </w:pPr>
      <w:r>
        <w:rPr>
          <w:rStyle w:val="CommentReference"/>
        </w:rPr>
        <w:annotationRef/>
      </w:r>
      <w:r>
        <w:t xml:space="preserve">All of this is very technical. Consider moving to a Box or an annex. </w:t>
      </w:r>
    </w:p>
  </w:comment>
  <w:comment w:id="24" w:author="Miguel Eduardo Sanchez Martin" w:date="2026-07-02T15:17:00Z" w:initials="MS">
    <w:p w14:paraId="7CD74C9B" w14:textId="77777777" w:rsidR="00254E3B" w:rsidRDefault="00254E3B" w:rsidP="00E3683E">
      <w:pPr>
        <w:pStyle w:val="CommentText"/>
        <w:jc w:val="left"/>
      </w:pPr>
      <w:r>
        <w:rPr>
          <w:rStyle w:val="CommentReference"/>
        </w:rPr>
        <w:annotationRef/>
      </w:r>
      <w:r>
        <w:t xml:space="preserve">I found this a bit difficult to follow, all to say that in the end for the remainder of the report we will be using the mass-based calculations. I would move this and the previous two paragraphs and the formulas and chart all to an Annex. </w:t>
      </w:r>
    </w:p>
  </w:comment>
  <w:comment w:id="25" w:author="Miguel Eduardo Sanchez Martin" w:date="2026-07-02T15:21:00Z" w:initials="MS">
    <w:p w14:paraId="6AA2E3B2" w14:textId="77777777" w:rsidR="00254E3B" w:rsidRDefault="00254E3B" w:rsidP="00A8513F">
      <w:pPr>
        <w:pStyle w:val="CommentText"/>
        <w:jc w:val="left"/>
      </w:pPr>
      <w:r>
        <w:rPr>
          <w:rStyle w:val="CommentReference"/>
        </w:rPr>
        <w:annotationRef/>
      </w:r>
      <w:r>
        <w:t>Plus we would shorten the report by 2 pages, which is always good...</w:t>
      </w:r>
    </w:p>
  </w:comment>
  <w:comment w:id="27" w:author="Miguel Eduardo Sanchez Martin" w:date="2026-07-02T15:19:00Z" w:initials="MS">
    <w:p w14:paraId="1822E9C0" w14:textId="77777777" w:rsidR="00E3683E" w:rsidRDefault="00E3683E" w:rsidP="00E3683E">
      <w:pPr>
        <w:pStyle w:val="CommentText"/>
        <w:jc w:val="left"/>
      </w:pPr>
      <w:r>
        <w:rPr>
          <w:rStyle w:val="CommentReference"/>
        </w:rPr>
        <w:annotationRef/>
      </w:r>
      <w:r>
        <w:t xml:space="preserve">Is there an implication from this that we would like to  highlight? E.g. “by building an MRV system you may be able to prove that emissions in steel in Egypt are lower and you could pay less…”. </w:t>
      </w:r>
    </w:p>
  </w:comment>
  <w:comment w:id="29" w:author="Miguel Eduardo Sanchez Martin" w:date="2026-07-02T15:26:00Z" w:initials="MS">
    <w:p w14:paraId="285F2B08" w14:textId="77777777" w:rsidR="00BA492B" w:rsidRDefault="00BA492B" w:rsidP="00BA492B">
      <w:pPr>
        <w:pStyle w:val="CommentText"/>
        <w:jc w:val="left"/>
      </w:pPr>
      <w:r>
        <w:rPr>
          <w:rStyle w:val="CommentReference"/>
        </w:rPr>
        <w:annotationRef/>
      </w:r>
      <w:r>
        <w:t xml:space="preserve">I would suggest adding Source: to all charts, even if it is to say “World Bank staff calculations based on X,Y,Z”. </w:t>
      </w:r>
    </w:p>
  </w:comment>
  <w:comment w:id="31" w:author="Miguel Eduardo Sanchez Martin" w:date="2026-07-02T15:28:00Z" w:initials="MS">
    <w:p w14:paraId="247114B1" w14:textId="77777777" w:rsidR="00777436" w:rsidRDefault="00777436" w:rsidP="00777436">
      <w:pPr>
        <w:pStyle w:val="CommentText"/>
        <w:jc w:val="left"/>
      </w:pPr>
      <w:r>
        <w:rPr>
          <w:rStyle w:val="CommentReference"/>
        </w:rPr>
        <w:annotationRef/>
      </w:r>
      <w:r>
        <w:t xml:space="preserve">“…which are the most carbon-intensive type of facilities.” See if this potential addition makes sense (I am not sure whether this is what we are intending to say). </w:t>
      </w:r>
    </w:p>
  </w:comment>
  <w:comment w:id="32" w:author="Susanne Alice Charlotta Aakerfeldt" w:date="2026-06-23T15:27:00Z" w:initials="SA">
    <w:p w14:paraId="24720645" w14:textId="77777777" w:rsidR="006A171A" w:rsidRDefault="006A171A" w:rsidP="006A171A">
      <w:pPr>
        <w:pStyle w:val="CommentText"/>
        <w:jc w:val="left"/>
      </w:pPr>
      <w:r>
        <w:rPr>
          <w:rStyle w:val="CommentReference"/>
        </w:rPr>
        <w:annotationRef/>
      </w:r>
      <w:r>
        <w:t>Do mean ‘as well as’ not ‘or’?</w:t>
      </w:r>
    </w:p>
  </w:comment>
  <w:comment w:id="35" w:author="Carolyn Fischer" w:date="2026-05-26T09:42:00Z" w:initials="CF">
    <w:p w14:paraId="5B058BD3" w14:textId="77777777" w:rsidR="007F7E41" w:rsidRDefault="007F7E41" w:rsidP="007F7E41">
      <w:pPr>
        <w:pStyle w:val="CommentText"/>
        <w:jc w:val="left"/>
      </w:pPr>
      <w:r>
        <w:rPr>
          <w:rStyle w:val="CommentReference"/>
        </w:rPr>
        <w:annotationRef/>
      </w:r>
      <w:r>
        <w:t>Need more details not just on the interconnections but also the renewable feeder projects.</w:t>
      </w:r>
    </w:p>
  </w:comment>
  <w:comment w:id="36" w:author="Miguel Eduardo Sanchez Martin" w:date="2026-07-02T15:36:00Z" w:initials="MS">
    <w:p w14:paraId="5133174B" w14:textId="6BA01774" w:rsidR="006D08FA" w:rsidRDefault="006D08FA" w:rsidP="006D08FA">
      <w:pPr>
        <w:pStyle w:val="CommentText"/>
        <w:jc w:val="left"/>
      </w:pPr>
      <w:r>
        <w:rPr>
          <w:rStyle w:val="CommentReference"/>
        </w:rPr>
        <w:annotationRef/>
      </w:r>
      <w:r>
        <w:fldChar w:fldCharType="begin"/>
      </w:r>
      <w:r>
        <w:instrText>HYPERLINK "mailto:yassaker@worldbank.org"</w:instrText>
      </w:r>
      <w:bookmarkStart w:id="37" w:name="_@_25F0E4C50D4B4D579CFA6A49B0708F7AZ"/>
      <w:r>
        <w:fldChar w:fldCharType="separate"/>
      </w:r>
      <w:bookmarkEnd w:id="37"/>
      <w:r w:rsidRPr="006D08FA">
        <w:rPr>
          <w:rStyle w:val="Mention"/>
          <w:noProof/>
        </w:rPr>
        <w:t>@Yousra</w:t>
      </w:r>
      <w:r>
        <w:fldChar w:fldCharType="end"/>
      </w:r>
    </w:p>
  </w:comment>
  <w:comment w:id="39" w:author="Miguel Eduardo Sanchez Martin" w:date="2026-07-02T15:45:00Z" w:initials="MS">
    <w:p w14:paraId="036EA3EF" w14:textId="77777777" w:rsidR="00584F4A" w:rsidRDefault="00584F4A" w:rsidP="00584F4A">
      <w:pPr>
        <w:pStyle w:val="CommentText"/>
        <w:jc w:val="left"/>
      </w:pPr>
      <w:r>
        <w:rPr>
          <w:rStyle w:val="CommentReference"/>
        </w:rPr>
        <w:annotationRef/>
      </w:r>
      <w:r>
        <w:t>Egypt is in fact an oil and gas importer, no?</w:t>
      </w:r>
    </w:p>
  </w:comment>
  <w:comment w:id="40" w:author="Miguel Eduardo Sanchez Martin" w:date="2026-07-02T15:46:00Z" w:initials="MS">
    <w:p w14:paraId="4C34EACE" w14:textId="77777777" w:rsidR="00D76677" w:rsidRDefault="00D76677" w:rsidP="00D76677">
      <w:pPr>
        <w:pStyle w:val="CommentText"/>
        <w:jc w:val="left"/>
      </w:pPr>
      <w:r>
        <w:rPr>
          <w:rStyle w:val="CommentReference"/>
        </w:rPr>
        <w:annotationRef/>
      </w:r>
      <w:r>
        <w:t xml:space="preserve">Need to add figure numbers (captions) and sources to all figures. </w:t>
      </w:r>
    </w:p>
  </w:comment>
  <w:comment w:id="41" w:author="Carolyn Fischer" w:date="2026-07-10T17:42:00Z" w:initials="CF">
    <w:p w14:paraId="792C4CEB" w14:textId="77777777" w:rsidR="00682885" w:rsidRDefault="00682885" w:rsidP="00682885">
      <w:pPr>
        <w:pStyle w:val="CommentText"/>
        <w:jc w:val="left"/>
      </w:pPr>
      <w:r>
        <w:rPr>
          <w:rStyle w:val="CommentReference"/>
        </w:rPr>
        <w:annotationRef/>
      </w:r>
      <w:r>
        <w:t>These are straight from the MENA report...</w:t>
      </w:r>
    </w:p>
  </w:comment>
  <w:comment w:id="42" w:author="Miguel Eduardo Sanchez Martin" w:date="2026-07-02T15:49:00Z" w:initials="MS">
    <w:p w14:paraId="685383E5" w14:textId="77777777" w:rsidR="001F5A7A" w:rsidRDefault="001F5A7A" w:rsidP="001F5A7A">
      <w:pPr>
        <w:pStyle w:val="CommentText"/>
        <w:jc w:val="left"/>
      </w:pPr>
      <w:r>
        <w:rPr>
          <w:rStyle w:val="CommentReference"/>
        </w:rPr>
        <w:annotationRef/>
      </w:r>
      <w:r>
        <w:t xml:space="preserve">This does not seem to be consistent with the USD 400 million mentioned at the beginning of the note. Unless they are referring to a different phase of CBAM. In any case, it would be good that we use consistent figures and messages in order not to confound the reader. </w:t>
      </w:r>
    </w:p>
  </w:comment>
  <w:comment w:id="44" w:author="Susanne Alice Charlotta Aakerfeldt" w:date="2026-06-23T16:28:00Z" w:initials="SA">
    <w:p w14:paraId="4B4BC99E" w14:textId="48F6A1DF" w:rsidR="007A63B1" w:rsidRDefault="007A63B1" w:rsidP="007A63B1">
      <w:pPr>
        <w:pStyle w:val="CommentText"/>
        <w:jc w:val="left"/>
      </w:pPr>
      <w:r>
        <w:rPr>
          <w:rStyle w:val="CommentReference"/>
        </w:rPr>
        <w:annotationRef/>
      </w:r>
      <w:r>
        <w:t>I assume this is what you mean?</w:t>
      </w:r>
    </w:p>
  </w:comment>
  <w:comment w:id="45" w:author="Miguel Eduardo Sanchez Martin" w:date="2026-07-02T15:59:00Z" w:initials="MS">
    <w:p w14:paraId="6ACBE9BA" w14:textId="77777777" w:rsidR="000703AF" w:rsidRDefault="000703AF" w:rsidP="000703AF">
      <w:pPr>
        <w:pStyle w:val="CommentText"/>
        <w:jc w:val="left"/>
      </w:pPr>
      <w:r>
        <w:rPr>
          <w:rStyle w:val="CommentReference"/>
        </w:rPr>
        <w:annotationRef/>
      </w:r>
      <w:r>
        <w:t xml:space="preserve">Overall, I found this a bit high level and oriented towards “advocacy”. Why it is desirable that they use an MRV to report. While what perhaps could be most interesting is providing further details on what are the different building blocks and stages needed to arrive to a functioning MRV and where is Egypt at the moment. </w:t>
      </w:r>
    </w:p>
  </w:comment>
  <w:comment w:id="46" w:author="Carolyn Fischer" w:date="2026-07-13T18:17:00Z" w:initials="CF">
    <w:p w14:paraId="7EB27B68" w14:textId="4D09CF71" w:rsidR="00B56DE0" w:rsidRDefault="00B56DE0" w:rsidP="00B56DE0">
      <w:pPr>
        <w:pStyle w:val="CommentText"/>
        <w:jc w:val="left"/>
      </w:pPr>
      <w:r>
        <w:rPr>
          <w:rStyle w:val="CommentReference"/>
        </w:rPr>
        <w:annotationRef/>
      </w:r>
      <w:r>
        <w:t xml:space="preserve">MRV steps are outside our scope. </w:t>
      </w:r>
      <w:r>
        <w:fldChar w:fldCharType="begin"/>
      </w:r>
      <w:r>
        <w:instrText>HYPERLINK "mailto:sabbas@worldbank.org"</w:instrText>
      </w:r>
      <w:bookmarkStart w:id="48" w:name="_@_D541C6395C2F4C83B62EB5FA8A73157FZ"/>
      <w:r>
        <w:fldChar w:fldCharType="separate"/>
      </w:r>
      <w:bookmarkEnd w:id="48"/>
      <w:r w:rsidRPr="00B56DE0">
        <w:rPr>
          <w:rStyle w:val="Mention"/>
          <w:noProof/>
        </w:rPr>
        <w:t>@Adeel Abbas</w:t>
      </w:r>
      <w:r>
        <w:fldChar w:fldCharType="end"/>
      </w:r>
      <w:r>
        <w:t xml:space="preserve"> ?</w:t>
      </w:r>
    </w:p>
  </w:comment>
  <w:comment w:id="47" w:author="Adeel Abbas" w:date="2026-07-14T15:58:00Z" w:initials="AA">
    <w:p w14:paraId="6A9E7268" w14:textId="054162F4" w:rsidR="006B7738" w:rsidRDefault="006B7738">
      <w:pPr>
        <w:pStyle w:val="CommentText"/>
      </w:pPr>
      <w:r>
        <w:rPr>
          <w:rStyle w:val="CommentReference"/>
        </w:rPr>
        <w:annotationRef/>
      </w:r>
      <w:r w:rsidRPr="74A0DA8A">
        <w:t xml:space="preserve">My understanding is that we are using MRV actions as one of the benefits to Egypt when discussing implications of CBAM in this section. I have added some language to contextualize this within  the national MRV system that Egypt is building (with WB support).  </w:t>
      </w:r>
    </w:p>
  </w:comment>
  <w:comment w:id="52" w:author="Miguel Eduardo Sanchez Martin" w:date="2026-07-02T16:02:00Z" w:initials="MS">
    <w:p w14:paraId="0A82BA0D" w14:textId="77777777" w:rsidR="00202EBF" w:rsidRDefault="00202EBF" w:rsidP="00202EBF">
      <w:pPr>
        <w:pStyle w:val="CommentText"/>
        <w:jc w:val="left"/>
      </w:pPr>
      <w:r>
        <w:rPr>
          <w:rStyle w:val="CommentReference"/>
        </w:rPr>
        <w:annotationRef/>
      </w:r>
      <w:r>
        <w:t xml:space="preserve">This is very helpful although seems to have been mentioned already in a previous section. Maybe it could be briefer in that previous section. </w:t>
      </w:r>
    </w:p>
  </w:comment>
  <w:comment w:id="53" w:author="Susanne Alice Charlotta Aakerfeldt" w:date="2026-06-23T16:58:00Z" w:initials="SA">
    <w:p w14:paraId="60021729" w14:textId="77777777" w:rsidR="00A37CB8" w:rsidRDefault="00A37CB8" w:rsidP="00A37CB8">
      <w:pPr>
        <w:pStyle w:val="CommentText"/>
        <w:jc w:val="left"/>
      </w:pPr>
      <w:r>
        <w:rPr>
          <w:rStyle w:val="CommentReference"/>
        </w:rPr>
        <w:annotationRef/>
      </w:r>
      <w:r>
        <w:t xml:space="preserve">This is not wrong, but unneccesary as has already been stated earlier in this paper that pricing only applicable to exports are not allowed. </w:t>
      </w:r>
    </w:p>
  </w:comment>
  <w:comment w:id="54" w:author="Susanne Alice Charlotta Aakerfeldt" w:date="2026-06-23T17:02:00Z" w:initials="SA">
    <w:p w14:paraId="30880190" w14:textId="77777777" w:rsidR="00443A1E" w:rsidRDefault="00443A1E" w:rsidP="00443A1E">
      <w:pPr>
        <w:pStyle w:val="CommentText"/>
        <w:jc w:val="left"/>
      </w:pPr>
      <w:r>
        <w:rPr>
          <w:rStyle w:val="CommentReference"/>
        </w:rPr>
        <w:annotationRef/>
      </w:r>
      <w:r>
        <w:t xml:space="preserve">I think is far too detailed and can be deleted. </w:t>
      </w:r>
    </w:p>
  </w:comment>
  <w:comment w:id="57" w:author="Carolyn Fischer" w:date="2026-03-26T22:34:00Z" w:initials="CF">
    <w:p w14:paraId="79D54D68" w14:textId="77777777" w:rsidR="001C3246" w:rsidRDefault="00B342B2" w:rsidP="001C3246">
      <w:pPr>
        <w:pStyle w:val="CommentText"/>
        <w:jc w:val="left"/>
      </w:pPr>
      <w:r>
        <w:rPr>
          <w:rStyle w:val="CommentReference"/>
        </w:rPr>
        <w:annotationRef/>
      </w:r>
      <w:r w:rsidR="001C3246">
        <w:t>All: I suggest reframing this section to lay out the different aspects of upstream vs downstream, coverage inside and outside CBAM sectors, and other aspects we need to calculate outcomes, including some discussion of likely EU acceptance of reductions in CBAM obligations</w:t>
      </w:r>
    </w:p>
  </w:comment>
  <w:comment w:id="58" w:author="Susanne Alice Charlotta Aakerfeldt" w:date="2026-03-31T16:41:00Z" w:initials="SA">
    <w:p w14:paraId="64EFFD1D" w14:textId="77777777" w:rsidR="00BC15D9" w:rsidRDefault="00BC15D9" w:rsidP="00BC15D9">
      <w:pPr>
        <w:pStyle w:val="CommentText"/>
        <w:jc w:val="left"/>
      </w:pPr>
      <w:r>
        <w:rPr>
          <w:rStyle w:val="CommentReference"/>
        </w:rPr>
        <w:annotationRef/>
      </w:r>
      <w:r>
        <w:t xml:space="preserve">All: I think we need to decide what to present. I had the impression I was to contribute with a more detailed upstream fuel excise tax section, based on the previous document which had a complementary downstream tax. Is that no longer the case? Instead we are to not talk in detail abt upstream carbon fuel taxation, instead more broadly of different policy options? Don’t you want me to discuss the recalculating of fuel excises to carbon fuel excises? ‘Some discussion of likely EU acceptance’ - I thought that was a key question for this report too? </w:t>
      </w:r>
    </w:p>
  </w:comment>
  <w:comment w:id="59" w:author="Carolyn Fischer" w:date="2026-05-29T23:18:00Z" w:initials="CF">
    <w:p w14:paraId="75E94218" w14:textId="77777777" w:rsidR="005C5974" w:rsidRDefault="005C5974" w:rsidP="005C5974">
      <w:pPr>
        <w:pStyle w:val="CommentText"/>
        <w:jc w:val="left"/>
      </w:pPr>
      <w:r>
        <w:rPr>
          <w:rStyle w:val="CommentReference"/>
        </w:rPr>
        <w:annotationRef/>
      </w:r>
      <w:r>
        <w:t>Stephen is finding that many process emissions may be proportional to carbon embedded in fuel use, so maybe not so much is left uncovered.</w:t>
      </w:r>
    </w:p>
  </w:comment>
  <w:comment w:id="60" w:author="Susanne Alice Charlotta Aakerfeldt" w:date="2026-06-23T17:20:00Z" w:initials="SA">
    <w:p w14:paraId="56F4E0E5" w14:textId="77777777" w:rsidR="00701F75" w:rsidRDefault="00701F75" w:rsidP="00701F75">
      <w:pPr>
        <w:pStyle w:val="CommentText"/>
        <w:jc w:val="left"/>
      </w:pPr>
      <w:r>
        <w:rPr>
          <w:rStyle w:val="CommentReference"/>
        </w:rPr>
        <w:annotationRef/>
      </w:r>
      <w:r>
        <w:t xml:space="preserve">Yes, and especially now with the COM’s view for upstream carbon fuel tax that the full price is accounted for. I suggest adding some drafts for explanatory text and actually deleting the table 3. </w:t>
      </w:r>
    </w:p>
  </w:comment>
  <w:comment w:id="56" w:author="Adeel Abbas" w:date="2026-07-14T16:02:00Z" w:initials="AA">
    <w:p w14:paraId="53D73EA8" w14:textId="694D8248" w:rsidR="006B7738" w:rsidRDefault="006B7738">
      <w:pPr>
        <w:pStyle w:val="CommentText"/>
      </w:pPr>
      <w:r>
        <w:rPr>
          <w:rStyle w:val="CommentReference"/>
        </w:rPr>
        <w:annotationRef/>
      </w:r>
      <w:r w:rsidRPr="0F5E4B85">
        <w:t xml:space="preserve">The rang of policy options is all around carbon pricing (at the moment). We have discussed and articulated (including in our PPTs presented during last mission) other policy options in the matrix. Suggest to reflect those at high level first before we dive into carbon pricing. </w:t>
      </w:r>
    </w:p>
  </w:comment>
  <w:comment w:id="61" w:author="Miguel Eduardo Sanchez Martin" w:date="2026-07-02T16:10:00Z" w:initials="MS">
    <w:p w14:paraId="023FD9DA" w14:textId="77777777" w:rsidR="00C152C1" w:rsidRDefault="00C152C1" w:rsidP="00C152C1">
      <w:pPr>
        <w:pStyle w:val="CommentText"/>
        <w:jc w:val="left"/>
      </w:pPr>
      <w:r>
        <w:rPr>
          <w:rStyle w:val="CommentReference"/>
        </w:rPr>
        <w:annotationRef/>
      </w:r>
      <w:r>
        <w:t xml:space="preserve">This paragraph was difficult for me to read or understand. Consider going through it again in case it can be simplified. </w:t>
      </w:r>
    </w:p>
  </w:comment>
  <w:comment w:id="62" w:author="Susanne Alice Charlotta Aakerfeldt" w:date="2026-06-23T18:52:00Z" w:initials="SA">
    <w:p w14:paraId="28BBAA56" w14:textId="77777777" w:rsidR="006103B6" w:rsidRDefault="005E42B9" w:rsidP="006103B6">
      <w:pPr>
        <w:pStyle w:val="CommentText"/>
        <w:jc w:val="left"/>
      </w:pPr>
      <w:r>
        <w:rPr>
          <w:rStyle w:val="CommentReference"/>
        </w:rPr>
        <w:annotationRef/>
      </w:r>
      <w:r w:rsidR="006103B6">
        <w:t>A word seems to be missing? Effect?</w:t>
      </w:r>
    </w:p>
  </w:comment>
  <w:comment w:id="63" w:author="Carolyn Fischer" w:date="2026-03-26T22:55:00Z" w:initials="CF">
    <w:p w14:paraId="0A45AE4D" w14:textId="2654590E" w:rsidR="00064A3B" w:rsidRDefault="00064A3B" w:rsidP="00064A3B">
      <w:pPr>
        <w:pStyle w:val="CommentText"/>
        <w:jc w:val="left"/>
      </w:pPr>
      <w:r>
        <w:rPr>
          <w:rStyle w:val="CommentReference"/>
        </w:rPr>
        <w:annotationRef/>
      </w:r>
      <w:r>
        <w:t>In this section, we could use these subsections to describe the policies, implementation issues, experience in other countries, and likely eligibility for reductions in CBAM obligations.</w:t>
      </w:r>
    </w:p>
    <w:p w14:paraId="000A95DF" w14:textId="77777777" w:rsidR="00064A3B" w:rsidRDefault="00064A3B" w:rsidP="00064A3B">
      <w:pPr>
        <w:pStyle w:val="CommentText"/>
        <w:jc w:val="left"/>
      </w:pPr>
      <w:r>
        <w:t>Susanne and Carolyn?</w:t>
      </w:r>
    </w:p>
  </w:comment>
  <w:comment w:id="64" w:author="Susanne Alice Charlotta Aakerfeldt" w:date="2026-03-31T17:10:00Z" w:initials="SA">
    <w:p w14:paraId="361E3161" w14:textId="77777777" w:rsidR="007B4B80" w:rsidRDefault="007B4B80" w:rsidP="007B4B80">
      <w:pPr>
        <w:pStyle w:val="CommentText"/>
        <w:jc w:val="left"/>
      </w:pPr>
      <w:r>
        <w:rPr>
          <w:rStyle w:val="CommentReference"/>
        </w:rPr>
        <w:annotationRef/>
      </w:r>
      <w:r>
        <w:t xml:space="preserve">I would like to redo this into a section on upstream carbon pricing making use of combining the different taxes on fuels Egypt have. Makes sense? </w:t>
      </w:r>
    </w:p>
  </w:comment>
  <w:comment w:id="65" w:author="Carolyn Fischer" w:date="2026-04-09T16:43:00Z" w:initials="CF">
    <w:p w14:paraId="047C7124" w14:textId="77777777" w:rsidR="00E5005E" w:rsidRDefault="00E5005E" w:rsidP="00E5005E">
      <w:pPr>
        <w:pStyle w:val="CommentText"/>
        <w:jc w:val="left"/>
      </w:pPr>
      <w:r>
        <w:rPr>
          <w:rStyle w:val="CommentReference"/>
        </w:rPr>
        <w:annotationRef/>
      </w:r>
      <w:r>
        <w:t>I suggest this section elaborate the policies in the matrix. Another section afterwards, either in the body or as a supplement, can describe a feasible pathway towards broad carbon pricing.</w:t>
      </w:r>
    </w:p>
  </w:comment>
  <w:comment w:id="66" w:author="Susanne Alice Charlotta Aakerfeldt" w:date="2026-06-23T19:07:00Z" w:initials="SA">
    <w:p w14:paraId="3BBC3841" w14:textId="77777777" w:rsidR="00E547AB" w:rsidRDefault="00E547AB" w:rsidP="00E547AB">
      <w:pPr>
        <w:pStyle w:val="CommentText"/>
        <w:jc w:val="left"/>
      </w:pPr>
      <w:r>
        <w:rPr>
          <w:rStyle w:val="CommentReference"/>
        </w:rPr>
        <w:annotationRef/>
      </w:r>
      <w:r>
        <w:t xml:space="preserve">I really don’t understand the difference between the comprehensive carbon levy and the carbon content levy, to me it is the same thing. But I leave it to you, Carolyn. </w:t>
      </w:r>
    </w:p>
  </w:comment>
  <w:comment w:id="67" w:author="Miguel Eduardo Sanchez Martin" w:date="2026-07-02T16:15:00Z" w:initials="MS">
    <w:p w14:paraId="3FBA23DD" w14:textId="77777777" w:rsidR="008B034F" w:rsidRDefault="008B034F" w:rsidP="008B034F">
      <w:pPr>
        <w:pStyle w:val="CommentText"/>
        <w:jc w:val="left"/>
      </w:pPr>
      <w:r>
        <w:rPr>
          <w:rStyle w:val="CommentReference"/>
        </w:rPr>
        <w:annotationRef/>
      </w:r>
      <w:r>
        <w:t xml:space="preserve">I was wondering whether most of the details in here  could be moved to an annex, and in the main text just would remain </w:t>
      </w:r>
      <w:r>
        <w:rPr>
          <w:u w:val="single"/>
        </w:rPr>
        <w:t xml:space="preserve">only one paragraph </w:t>
      </w:r>
      <w:r>
        <w:t>explaining basically what the Comprehensive Carbon Levy is, what are the advantages and disadvantages, which countries have applied it, and then refer to the annex.</w:t>
      </w:r>
    </w:p>
    <w:p w14:paraId="62FE9B91" w14:textId="77777777" w:rsidR="008B034F" w:rsidRDefault="008B034F" w:rsidP="008B034F">
      <w:pPr>
        <w:pStyle w:val="CommentText"/>
        <w:jc w:val="left"/>
      </w:pPr>
    </w:p>
    <w:p w14:paraId="5CA2F20D" w14:textId="77777777" w:rsidR="008B034F" w:rsidRDefault="008B034F" w:rsidP="008B034F">
      <w:pPr>
        <w:pStyle w:val="CommentText"/>
        <w:jc w:val="left"/>
      </w:pPr>
      <w:r>
        <w:t xml:space="preserve">And the same could be done for the other taxes and instruments discussed in the next subsections: just one paragraph with the pros and cos of each industry, and all the details about what the countries have done moved to the annexes. </w:t>
      </w:r>
    </w:p>
  </w:comment>
  <w:comment w:id="68" w:author="Susanne Alice Charlotta Aakerfeldt" w:date="2026-06-24T19:03:00Z" w:initials="SA">
    <w:p w14:paraId="722CB788" w14:textId="77777777" w:rsidR="008B034F" w:rsidRDefault="008B034F" w:rsidP="00FE591E">
      <w:pPr>
        <w:pStyle w:val="CommentText"/>
        <w:jc w:val="left"/>
      </w:pPr>
      <w:r>
        <w:rPr>
          <w:rStyle w:val="CommentReference"/>
        </w:rPr>
        <w:annotationRef/>
      </w:r>
      <w:r>
        <w:t xml:space="preserve">Is the difference between a comprehensive carbon levy and an upstream carbon fuel excise tax that a comprehensive carbon levy captures also industrial process emissions from other sources than fuel input? </w:t>
      </w:r>
    </w:p>
  </w:comment>
  <w:comment w:id="70" w:author="Miguel Eduardo Sanchez Martin" w:date="2026-07-02T16:20:00Z" w:initials="MS">
    <w:p w14:paraId="1FC783EA" w14:textId="77777777" w:rsidR="00D20944" w:rsidRDefault="0063103D" w:rsidP="00D20944">
      <w:pPr>
        <w:pStyle w:val="CommentText"/>
        <w:jc w:val="left"/>
      </w:pPr>
      <w:r>
        <w:rPr>
          <w:rStyle w:val="CommentReference"/>
        </w:rPr>
        <w:annotationRef/>
      </w:r>
      <w:r w:rsidR="00D20944">
        <w:t>$20 per what? Per crude oil barrel? Maybe we would need to specify the unit of measure.</w:t>
      </w:r>
    </w:p>
    <w:p w14:paraId="441C5963" w14:textId="77777777" w:rsidR="00D20944" w:rsidRDefault="00D20944" w:rsidP="00D20944">
      <w:pPr>
        <w:pStyle w:val="CommentText"/>
        <w:jc w:val="left"/>
      </w:pPr>
    </w:p>
    <w:p w14:paraId="05596141" w14:textId="77777777" w:rsidR="00D20944" w:rsidRDefault="00D20944" w:rsidP="00D20944">
      <w:pPr>
        <w:pStyle w:val="CommentText"/>
        <w:jc w:val="left"/>
      </w:pPr>
      <w:r>
        <w:t xml:space="preserve">I understand we are just simulating an upstream tax on imports of fossil fuel, not further levies in the fuel station (as that would only affect the transport sector). </w:t>
      </w:r>
    </w:p>
  </w:comment>
  <w:comment w:id="71" w:author="Carolyn Fischer" w:date="2026-06-28T20:46:00Z" w:initials="CF">
    <w:p w14:paraId="20AD033E" w14:textId="77777777" w:rsidR="00940809" w:rsidRDefault="00940809" w:rsidP="00626247">
      <w:pPr>
        <w:pStyle w:val="CommentText"/>
        <w:jc w:val="left"/>
      </w:pPr>
      <w:r>
        <w:rPr>
          <w:rStyle w:val="CommentReference"/>
        </w:rPr>
        <w:annotationRef/>
      </w:r>
      <w:r>
        <w:t>Stephen, I think you should report changes in industrial output. This seems like quite a large difference. There should be some discussion and caveats about the assumed output elasticities, lack of trade, leakage, etc.</w:t>
      </w:r>
    </w:p>
  </w:comment>
  <w:comment w:id="72" w:author="Miguel Eduardo Sanchez Martin" w:date="2026-07-02T16:31:00Z" w:initials="MS">
    <w:p w14:paraId="3E3EFA51" w14:textId="77777777" w:rsidR="00940809" w:rsidRDefault="00940809" w:rsidP="005D5F88">
      <w:pPr>
        <w:pStyle w:val="CommentText"/>
        <w:jc w:val="left"/>
      </w:pPr>
      <w:r>
        <w:rPr>
          <w:rStyle w:val="CommentReference"/>
        </w:rPr>
        <w:annotationRef/>
      </w:r>
      <w:r>
        <w:t xml:space="preserve">Very good point, I agree. One of the experts in the High-Level Committee, the Ambassador, reiterated the need to understand how the different options would affect the economy and the sectors/ output. </w:t>
      </w:r>
    </w:p>
  </w:comment>
  <w:comment w:id="73" w:author="Carolyn Fischer" w:date="2026-07-13T13:23:00Z" w:initials="CF">
    <w:p w14:paraId="53A8003A" w14:textId="77777777" w:rsidR="006A77DE" w:rsidRDefault="006A77DE" w:rsidP="006A77DE">
      <w:pPr>
        <w:pStyle w:val="CommentText"/>
        <w:jc w:val="left"/>
      </w:pPr>
      <w:r>
        <w:rPr>
          <w:rStyle w:val="CommentReference"/>
        </w:rPr>
        <w:annotationRef/>
      </w:r>
      <w:r>
        <w:t>References are missing for these citations</w:t>
      </w:r>
    </w:p>
  </w:comment>
  <w:comment w:id="74" w:author="Carolyn Fischer" w:date="2026-06-28T20:55:00Z" w:initials="CF">
    <w:p w14:paraId="7CB99856" w14:textId="77777777" w:rsidR="005359D3" w:rsidRDefault="00104CDD" w:rsidP="005359D3">
      <w:pPr>
        <w:pStyle w:val="CommentText"/>
        <w:jc w:val="left"/>
      </w:pPr>
      <w:r>
        <w:rPr>
          <w:rStyle w:val="CommentReference"/>
        </w:rPr>
        <w:annotationRef/>
      </w:r>
      <w:r w:rsidR="005359D3">
        <w:t>Govinda R. Timilsina, Samuel Sebsibie,</w:t>
      </w:r>
    </w:p>
    <w:p w14:paraId="77161C0A" w14:textId="77777777" w:rsidR="005359D3" w:rsidRDefault="005359D3" w:rsidP="005359D3">
      <w:pPr>
        <w:pStyle w:val="CommentText"/>
        <w:jc w:val="left"/>
      </w:pPr>
      <w:r>
        <w:t>Energy subsidy removal and carbon taxation in Egypt: Economic and distributional impacts,</w:t>
      </w:r>
    </w:p>
    <w:p w14:paraId="263EB521" w14:textId="77777777" w:rsidR="005359D3" w:rsidRDefault="005359D3" w:rsidP="005359D3">
      <w:pPr>
        <w:pStyle w:val="CommentText"/>
        <w:jc w:val="left"/>
      </w:pPr>
      <w:r>
        <w:t>Energy Economics,</w:t>
      </w:r>
    </w:p>
    <w:p w14:paraId="4EB77274" w14:textId="77777777" w:rsidR="005359D3" w:rsidRDefault="005359D3" w:rsidP="005359D3">
      <w:pPr>
        <w:pStyle w:val="CommentText"/>
        <w:jc w:val="left"/>
      </w:pPr>
      <w:r>
        <w:t>Volume 160,</w:t>
      </w:r>
    </w:p>
    <w:p w14:paraId="6EAEA035" w14:textId="77777777" w:rsidR="005359D3" w:rsidRDefault="005359D3" w:rsidP="005359D3">
      <w:pPr>
        <w:pStyle w:val="CommentText"/>
        <w:jc w:val="left"/>
      </w:pPr>
      <w:r>
        <w:t>2026,</w:t>
      </w:r>
    </w:p>
    <w:p w14:paraId="3C4509D0" w14:textId="77777777" w:rsidR="005359D3" w:rsidRDefault="005359D3" w:rsidP="005359D3">
      <w:pPr>
        <w:pStyle w:val="CommentText"/>
        <w:jc w:val="left"/>
      </w:pPr>
      <w:r>
        <w:t>109470,</w:t>
      </w:r>
    </w:p>
    <w:p w14:paraId="3F965471" w14:textId="77777777" w:rsidR="005359D3" w:rsidRDefault="005359D3" w:rsidP="005359D3">
      <w:pPr>
        <w:pStyle w:val="CommentText"/>
        <w:jc w:val="left"/>
      </w:pPr>
      <w:r>
        <w:t>ISSN 0140-9883,</w:t>
      </w:r>
    </w:p>
    <w:p w14:paraId="6DDADDEE" w14:textId="77777777" w:rsidR="005359D3" w:rsidRDefault="005359D3" w:rsidP="005359D3">
      <w:pPr>
        <w:pStyle w:val="CommentText"/>
        <w:jc w:val="left"/>
      </w:pPr>
      <w:hyperlink r:id="rId2" w:history="1">
        <w:r w:rsidRPr="00BA4A1A">
          <w:rPr>
            <w:rStyle w:val="Hyperlink"/>
          </w:rPr>
          <w:t>https://doi.org/10.1016/j.eneco.2026.109470</w:t>
        </w:r>
      </w:hyperlink>
      <w:r>
        <w:t>.</w:t>
      </w:r>
    </w:p>
  </w:comment>
  <w:comment w:id="76" w:author="Carolyn Fischer" w:date="2026-06-30T18:02:00Z" w:initials="CF">
    <w:p w14:paraId="66977633" w14:textId="76777017" w:rsidR="001D2D27" w:rsidRDefault="001D2D27" w:rsidP="00FE4E05">
      <w:pPr>
        <w:pStyle w:val="CommentText"/>
        <w:jc w:val="left"/>
      </w:pPr>
      <w:r>
        <w:rPr>
          <w:rStyle w:val="CommentReference"/>
        </w:rPr>
        <w:annotationRef/>
      </w:r>
      <w:r>
        <w:t>[CIF IDP Eg...6_AW -- LD | Word]</w:t>
      </w:r>
    </w:p>
  </w:comment>
  <w:comment w:id="78" w:author="Miguel Eduardo Sanchez Martin" w:date="2026-07-02T16:45:00Z" w:initials="MS">
    <w:p w14:paraId="42FEC172" w14:textId="77777777" w:rsidR="001D66B9" w:rsidRDefault="001D66B9" w:rsidP="001D66B9">
      <w:pPr>
        <w:pStyle w:val="CommentText"/>
        <w:jc w:val="left"/>
      </w:pPr>
      <w:r>
        <w:rPr>
          <w:rStyle w:val="CommentReference"/>
        </w:rPr>
        <w:annotationRef/>
      </w:r>
      <w:r>
        <w:t>Why is Iron and Steel not mentioned? In their section it says “</w:t>
      </w:r>
      <w:r>
        <w:rPr>
          <w:b/>
          <w:bCs/>
        </w:rPr>
        <w:t>Iron and steel appears to be Egypt’s most exposed sector in some metrics, but it may also have the greatest potential to benefit by reporting its actual emissions”</w:t>
      </w:r>
    </w:p>
  </w:comment>
  <w:comment w:id="79" w:author="Miguel Eduardo Sanchez Martin" w:date="2026-07-02T16:59:00Z" w:initials="MS">
    <w:p w14:paraId="41F2D1DC" w14:textId="77777777" w:rsidR="005245E6" w:rsidRDefault="005245E6" w:rsidP="005245E6">
      <w:pPr>
        <w:pStyle w:val="CommentText"/>
        <w:jc w:val="left"/>
      </w:pPr>
      <w:r>
        <w:rPr>
          <w:rStyle w:val="CommentReference"/>
        </w:rPr>
        <w:annotationRef/>
      </w:r>
      <w:r>
        <w:t xml:space="preserve">I thought it would be good to bring this upfront as the most powerful policy solution – carbon pricing – beyond sectoral interventions and promotion of renewables. </w:t>
      </w:r>
    </w:p>
  </w:comment>
  <w:comment w:id="80" w:author="Miguel Eduardo Sanchez Martin" w:date="2026-07-02T16:56:00Z" w:initials="MS">
    <w:p w14:paraId="68D6DD11" w14:textId="77777777" w:rsidR="00F144AB" w:rsidRDefault="00F144AB" w:rsidP="00F4296C">
      <w:pPr>
        <w:pStyle w:val="CommentText"/>
        <w:jc w:val="left"/>
      </w:pPr>
      <w:r>
        <w:rPr>
          <w:rStyle w:val="CommentReference"/>
        </w:rPr>
        <w:annotationRef/>
      </w:r>
      <w:r>
        <w:t xml:space="preserve">Maybe the MRV could come up first instead of third and be highlighted more prominently </w:t>
      </w:r>
    </w:p>
  </w:comment>
  <w:comment w:id="81" w:author="Carolyn Fischer" w:date="2026-07-10T14:53:00Z" w:initials="CF">
    <w:p w14:paraId="1A9BB017" w14:textId="77777777" w:rsidR="000967C2" w:rsidRDefault="000967C2" w:rsidP="000967C2">
      <w:pPr>
        <w:pStyle w:val="CommentText"/>
        <w:jc w:val="left"/>
      </w:pPr>
      <w:r>
        <w:rPr>
          <w:rStyle w:val="CommentReference"/>
        </w:rPr>
        <w:annotationRef/>
      </w:r>
      <w:r>
        <w:t>This comes a bit out of the blue. Should we move the part on concessional finance here?</w:t>
      </w:r>
    </w:p>
  </w:comment>
  <w:comment w:id="83" w:author="Carolyn Fischer" w:date="2026-04-09T16:40:00Z" w:initials="CF">
    <w:p w14:paraId="33E8C2D5" w14:textId="77777777" w:rsidR="00112F7F" w:rsidRDefault="0066788C" w:rsidP="00112F7F">
      <w:pPr>
        <w:pStyle w:val="CommentText"/>
        <w:jc w:val="left"/>
      </w:pPr>
      <w:r>
        <w:rPr>
          <w:rStyle w:val="CommentReference"/>
        </w:rPr>
        <w:annotationRef/>
      </w:r>
      <w:r w:rsidR="00112F7F">
        <w:t>This section can draw on prior reports in more detail, including “</w:t>
      </w:r>
      <w:r w:rsidR="00112F7F">
        <w:rPr>
          <w:b/>
          <w:bCs/>
        </w:rPr>
        <w:t>How fuel tax reforms can respond to BCAs and foster Domestic Resource Mobilization in Egypt</w:t>
      </w:r>
    </w:p>
    <w:p w14:paraId="5A262F0A" w14:textId="77777777" w:rsidR="00112F7F" w:rsidRDefault="00112F7F" w:rsidP="00112F7F">
      <w:pPr>
        <w:pStyle w:val="CommentText"/>
        <w:jc w:val="left"/>
      </w:pPr>
      <w:r>
        <w:rPr>
          <w:color w:val="5A5A5A"/>
        </w:rPr>
        <w:t>A Background Note to the Egypt 2026 Public Finance Review and Development Policy Financing</w:t>
      </w:r>
      <w:r>
        <w:t>”</w:t>
      </w:r>
    </w:p>
  </w:comment>
  <w:comment w:id="86" w:author="Carolyn Fischer" w:date="2026-03-05T10:48:00Z" w:initials="CF">
    <w:p w14:paraId="40EA1F46" w14:textId="77777777" w:rsidR="007F34F1" w:rsidRDefault="007F34F1" w:rsidP="00E16A2F">
      <w:pPr>
        <w:pStyle w:val="CommentText"/>
        <w:jc w:val="left"/>
      </w:pPr>
      <w:r>
        <w:rPr>
          <w:rStyle w:val="CommentReference"/>
        </w:rPr>
        <w:annotationRef/>
      </w:r>
      <w:r>
        <w:t xml:space="preserve">These data conflicts with OECD data. We should at least have a breakdown for TCP in industrial sectors to maintain CBAM relevance more clearly. </w:t>
      </w:r>
    </w:p>
  </w:comment>
  <w:comment w:id="87" w:author="Susanne Alice Charlotta Aakerfeldt" w:date="2026-03-31T15:45:00Z" w:initials="SA">
    <w:p w14:paraId="70BE8A62" w14:textId="77777777" w:rsidR="007F34F1" w:rsidRDefault="007F34F1" w:rsidP="00E16A2F">
      <w:pPr>
        <w:pStyle w:val="CommentText"/>
        <w:jc w:val="left"/>
      </w:pPr>
      <w:r>
        <w:rPr>
          <w:rStyle w:val="CommentReference"/>
        </w:rPr>
        <w:annotationRef/>
      </w:r>
      <w:r>
        <w:t xml:space="preserve">TCP gives a good overveiw, I am sure. But we need to find a bridge from this data to direct carbon pricing fulfilling CBAm carbon price definition ….. And what are you including in the ‘energy taxes’ data? All three duties (excise, stamp and development tax)? </w:t>
      </w:r>
    </w:p>
  </w:comment>
  <w:comment w:id="89" w:author="Carolyn Fischer" w:date="2026-04-09T16:44:00Z" w:initials="CF">
    <w:p w14:paraId="34555BE7" w14:textId="77CD4AC9" w:rsidR="00B609E8" w:rsidRDefault="00B609E8" w:rsidP="00B609E8">
      <w:pPr>
        <w:pStyle w:val="CommentText"/>
        <w:jc w:val="left"/>
      </w:pPr>
      <w:r>
        <w:rPr>
          <w:rStyle w:val="CommentReference"/>
        </w:rPr>
        <w:annotationRef/>
      </w:r>
      <w:r>
        <w:t>Are we confident the straight conversion will fly?</w:t>
      </w:r>
    </w:p>
  </w:comment>
  <w:comment w:id="90" w:author="Susanne Alice Charlotta Aakerfeldt" w:date="2026-06-25T15:33:00Z" w:initials="SA">
    <w:p w14:paraId="7645DA2B" w14:textId="77777777" w:rsidR="00433EFA" w:rsidRDefault="00433EFA" w:rsidP="00433EFA">
      <w:pPr>
        <w:pStyle w:val="CommentText"/>
        <w:jc w:val="left"/>
      </w:pPr>
      <w:r>
        <w:rPr>
          <w:rStyle w:val="CommentReference"/>
        </w:rPr>
        <w:annotationRef/>
      </w:r>
      <w:r>
        <w:t>Yes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42B8CE" w15:done="0"/>
  <w15:commentEx w15:paraId="7375EE1F" w15:done="1"/>
  <w15:commentEx w15:paraId="4976BDFF" w15:done="1"/>
  <w15:commentEx w15:paraId="126D2EA0" w15:done="1"/>
  <w15:commentEx w15:paraId="5E0F8524" w15:done="1"/>
  <w15:commentEx w15:paraId="45B13EFD" w15:done="1"/>
  <w15:commentEx w15:paraId="1A29F1E9" w15:done="1"/>
  <w15:commentEx w15:paraId="1AAD40B6" w15:paraIdParent="1A29F1E9" w15:done="1"/>
  <w15:commentEx w15:paraId="30409369" w15:done="1"/>
  <w15:commentEx w15:paraId="0C5F9776" w15:done="1"/>
  <w15:commentEx w15:paraId="076AB745" w15:paraIdParent="0C5F9776" w15:done="1"/>
  <w15:commentEx w15:paraId="33F96786" w15:done="1"/>
  <w15:commentEx w15:paraId="3C082DD7" w15:done="1"/>
  <w15:commentEx w15:paraId="63EDD398" w15:done="1"/>
  <w15:commentEx w15:paraId="7CD74C9B" w15:done="1"/>
  <w15:commentEx w15:paraId="6AA2E3B2" w15:paraIdParent="7CD74C9B" w15:done="1"/>
  <w15:commentEx w15:paraId="1822E9C0" w15:done="1"/>
  <w15:commentEx w15:paraId="285F2B08" w15:done="1"/>
  <w15:commentEx w15:paraId="247114B1" w15:done="1"/>
  <w15:commentEx w15:paraId="24720645" w15:done="1"/>
  <w15:commentEx w15:paraId="5B058BD3" w15:done="0"/>
  <w15:commentEx w15:paraId="5133174B" w15:paraIdParent="5B058BD3" w15:done="0"/>
  <w15:commentEx w15:paraId="036EA3EF" w15:done="1"/>
  <w15:commentEx w15:paraId="4C34EACE" w15:done="1"/>
  <w15:commentEx w15:paraId="792C4CEB" w15:paraIdParent="4C34EACE" w15:done="1"/>
  <w15:commentEx w15:paraId="685383E5" w15:done="1"/>
  <w15:commentEx w15:paraId="4B4BC99E" w15:done="1"/>
  <w15:commentEx w15:paraId="6ACBE9BA" w15:done="0"/>
  <w15:commentEx w15:paraId="7EB27B68" w15:paraIdParent="6ACBE9BA" w15:done="0"/>
  <w15:commentEx w15:paraId="6A9E7268" w15:paraIdParent="6ACBE9BA" w15:done="0"/>
  <w15:commentEx w15:paraId="0A82BA0D" w15:done="1"/>
  <w15:commentEx w15:paraId="60021729" w15:done="1"/>
  <w15:commentEx w15:paraId="30880190" w15:done="1"/>
  <w15:commentEx w15:paraId="79D54D68" w15:done="1"/>
  <w15:commentEx w15:paraId="64EFFD1D" w15:paraIdParent="79D54D68" w15:done="1"/>
  <w15:commentEx w15:paraId="75E94218" w15:paraIdParent="79D54D68" w15:done="1"/>
  <w15:commentEx w15:paraId="56F4E0E5" w15:paraIdParent="79D54D68" w15:done="1"/>
  <w15:commentEx w15:paraId="53D73EA8" w15:done="0"/>
  <w15:commentEx w15:paraId="023FD9DA" w15:done="1"/>
  <w15:commentEx w15:paraId="28BBAA56" w15:done="1"/>
  <w15:commentEx w15:paraId="000A95DF" w15:done="1"/>
  <w15:commentEx w15:paraId="361E3161" w15:paraIdParent="000A95DF" w15:done="1"/>
  <w15:commentEx w15:paraId="047C7124" w15:paraIdParent="000A95DF" w15:done="1"/>
  <w15:commentEx w15:paraId="3BBC3841" w15:paraIdParent="000A95DF" w15:done="1"/>
  <w15:commentEx w15:paraId="5CA2F20D" w15:done="1"/>
  <w15:commentEx w15:paraId="722CB788" w15:done="1"/>
  <w15:commentEx w15:paraId="05596141" w15:done="1"/>
  <w15:commentEx w15:paraId="20AD033E" w15:done="0"/>
  <w15:commentEx w15:paraId="3E3EFA51" w15:paraIdParent="20AD033E" w15:done="0"/>
  <w15:commentEx w15:paraId="53A8003A" w15:done="0"/>
  <w15:commentEx w15:paraId="6DDADDEE" w15:done="0"/>
  <w15:commentEx w15:paraId="66977633" w15:done="0"/>
  <w15:commentEx w15:paraId="42FEC172" w15:done="1"/>
  <w15:commentEx w15:paraId="41F2D1DC" w15:done="1"/>
  <w15:commentEx w15:paraId="68D6DD11" w15:done="1"/>
  <w15:commentEx w15:paraId="1A9BB017" w15:done="1"/>
  <w15:commentEx w15:paraId="5A262F0A" w15:done="0"/>
  <w15:commentEx w15:paraId="40EA1F46" w15:done="1"/>
  <w15:commentEx w15:paraId="70BE8A62" w15:paraIdParent="40EA1F46" w15:done="1"/>
  <w15:commentEx w15:paraId="34555BE7" w15:done="1"/>
  <w15:commentEx w15:paraId="7645DA2B" w15:paraIdParent="34555BE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2C5A8C" w16cex:dateUtc="2026-05-30T02:22:00Z"/>
  <w16cex:commentExtensible w16cex:durableId="1121F8A4" w16cex:dateUtc="2026-05-25T21:54:00Z"/>
  <w16cex:commentExtensible w16cex:durableId="63C603F9" w16cex:dateUtc="2026-07-02T11:33:00Z"/>
  <w16cex:commentExtensible w16cex:durableId="7C8DCBF6" w16cex:dateUtc="2026-07-02T11:35:00Z"/>
  <w16cex:commentExtensible w16cex:durableId="2346621D" w16cex:dateUtc="2026-07-02T11:45:00Z"/>
  <w16cex:commentExtensible w16cex:durableId="0F6BFAB4" w16cex:dateUtc="2026-03-31T19:08:00Z"/>
  <w16cex:commentExtensible w16cex:durableId="7139BA3F" w16cex:dateUtc="2026-05-26T19:50:00Z"/>
  <w16cex:commentExtensible w16cex:durableId="4128B3D3" w16cex:dateUtc="2026-05-26T20:00:00Z"/>
  <w16cex:commentExtensible w16cex:durableId="4CA82184" w16cex:dateUtc="2026-06-23T15:37:00Z"/>
  <w16cex:commentExtensible w16cex:durableId="013274C7" w16cex:dateUtc="2026-05-26T19:55:00Z"/>
  <w16cex:commentExtensible w16cex:durableId="531D32C8" w16cex:dateUtc="2026-06-23T17:08:00Z"/>
  <w16cex:commentExtensible w16cex:durableId="6553B98B" w16cex:dateUtc="2026-07-02T11:59:00Z"/>
  <w16cex:commentExtensible w16cex:durableId="70F34283" w16cex:dateUtc="2026-03-26T21:22:00Z"/>
  <w16cex:commentExtensible w16cex:durableId="1B387CFA" w16cex:dateUtc="2026-07-02T12:11:00Z"/>
  <w16cex:commentExtensible w16cex:durableId="5295606C" w16cex:dateUtc="2026-07-02T12:17:00Z"/>
  <w16cex:commentExtensible w16cex:durableId="35533084" w16cex:dateUtc="2026-07-02T12:21:00Z"/>
  <w16cex:commentExtensible w16cex:durableId="5CAC2B46" w16cex:dateUtc="2026-07-02T12:19:00Z"/>
  <w16cex:commentExtensible w16cex:durableId="403A7F14" w16cex:dateUtc="2026-07-02T12:26:00Z"/>
  <w16cex:commentExtensible w16cex:durableId="0C1F97A7" w16cex:dateUtc="2026-07-02T12:28:00Z"/>
  <w16cex:commentExtensible w16cex:durableId="57C934B1" w16cex:dateUtc="2026-06-23T19:27:00Z"/>
  <w16cex:commentExtensible w16cex:durableId="136A1203" w16cex:dateUtc="2026-05-26T13:42:00Z"/>
  <w16cex:commentExtensible w16cex:durableId="56DAE6FE" w16cex:dateUtc="2026-07-02T12:36:00Z"/>
  <w16cex:commentExtensible w16cex:durableId="3AFF4E40" w16cex:dateUtc="2026-07-02T12:45:00Z"/>
  <w16cex:commentExtensible w16cex:durableId="2009FD1A" w16cex:dateUtc="2026-07-02T12:46:00Z"/>
  <w16cex:commentExtensible w16cex:durableId="7071EA11" w16cex:dateUtc="2026-07-10T21:42:00Z"/>
  <w16cex:commentExtensible w16cex:durableId="65C28F5B" w16cex:dateUtc="2026-07-02T12:49:00Z"/>
  <w16cex:commentExtensible w16cex:durableId="72330EC5" w16cex:dateUtc="2026-06-23T20:28:00Z"/>
  <w16cex:commentExtensible w16cex:durableId="6E03B9D5" w16cex:dateUtc="2026-07-02T12:59:00Z"/>
  <w16cex:commentExtensible w16cex:durableId="6E4D5C91" w16cex:dateUtc="2026-07-13T22:17:00Z"/>
  <w16cex:commentExtensible w16cex:durableId="0B7B43C7" w16cex:dateUtc="2026-07-14T10:58:00Z"/>
  <w16cex:commentExtensible w16cex:durableId="61846563" w16cex:dateUtc="2026-07-02T13:02:00Z"/>
  <w16cex:commentExtensible w16cex:durableId="5A622534" w16cex:dateUtc="2026-06-23T20:58:00Z"/>
  <w16cex:commentExtensible w16cex:durableId="6C5DE1F7" w16cex:dateUtc="2026-06-23T21:02:00Z"/>
  <w16cex:commentExtensible w16cex:durableId="1EEA6E2F" w16cex:dateUtc="2026-03-26T21:34:00Z"/>
  <w16cex:commentExtensible w16cex:durableId="3E338961" w16cex:dateUtc="2026-03-31T20:41:00Z"/>
  <w16cex:commentExtensible w16cex:durableId="0F8A5555" w16cex:dateUtc="2026-05-30T03:18:00Z"/>
  <w16cex:commentExtensible w16cex:durableId="28D5DF09" w16cex:dateUtc="2026-06-23T21:20:00Z"/>
  <w16cex:commentExtensible w16cex:durableId="2296D531" w16cex:dateUtc="2026-07-14T11:02:00Z"/>
  <w16cex:commentExtensible w16cex:durableId="510FEE9F" w16cex:dateUtc="2026-07-02T13:10:00Z"/>
  <w16cex:commentExtensible w16cex:durableId="681C6005" w16cex:dateUtc="2026-06-23T22:52:00Z"/>
  <w16cex:commentExtensible w16cex:durableId="0C030B73" w16cex:dateUtc="2026-03-26T21:55:00Z"/>
  <w16cex:commentExtensible w16cex:durableId="10A6637B" w16cex:dateUtc="2026-03-31T21:10:00Z"/>
  <w16cex:commentExtensible w16cex:durableId="1670A8E5" w16cex:dateUtc="2026-04-09T20:43:00Z"/>
  <w16cex:commentExtensible w16cex:durableId="10D4F645" w16cex:dateUtc="2026-06-23T23:07:00Z"/>
  <w16cex:commentExtensible w16cex:durableId="0B4DC713" w16cex:dateUtc="2026-07-02T13:15:00Z"/>
  <w16cex:commentExtensible w16cex:durableId="65A75D9C" w16cex:dateUtc="2026-06-24T23:03:00Z"/>
  <w16cex:commentExtensible w16cex:durableId="23C800FF" w16cex:dateUtc="2026-07-02T13:20:00Z"/>
  <w16cex:commentExtensible w16cex:durableId="570A37DF" w16cex:dateUtc="2026-06-28T18:46:00Z">
    <w16cex:extLst>
      <w16:ext w16:uri="{CE6994B0-6A32-4C9F-8C6B-6E91EDA988CE}">
        <cr:reactions xmlns:cr="http://schemas.microsoft.com/office/comments/2020/reactions">
          <cr:reaction reactionType="1">
            <cr:reactionInfo dateUtc="2026-07-16T19:34:12Z">
              <cr:user userId="S::sstretton@worldbank.org::da8c780b-1aa2-4e36-94fb-871dc8111504" userProvider="AD" userName="Stephen John Stretton"/>
            </cr:reactionInfo>
          </cr:reaction>
        </cr:reactions>
      </w16:ext>
    </w16cex:extLst>
  </w16cex:commentExtensible>
  <w16cex:commentExtensible w16cex:durableId="0BDBF9AD" w16cex:dateUtc="2026-07-02T13:31:00Z"/>
  <w16cex:commentExtensible w16cex:durableId="267D68C1" w16cex:dateUtc="2026-07-13T17:23:00Z"/>
  <w16cex:commentExtensible w16cex:durableId="5D6F8742" w16cex:dateUtc="2026-06-28T18:55:00Z"/>
  <w16cex:commentExtensible w16cex:durableId="01E4D2BD" w16cex:dateUtc="2026-06-30T17:02:00Z"/>
  <w16cex:commentExtensible w16cex:durableId="5C35D425" w16cex:dateUtc="2026-07-02T13:45:00Z"/>
  <w16cex:commentExtensible w16cex:durableId="140CD950" w16cex:dateUtc="2026-07-02T13:59:00Z"/>
  <w16cex:commentExtensible w16cex:durableId="6AB794EA" w16cex:dateUtc="2026-07-02T13:56:00Z"/>
  <w16cex:commentExtensible w16cex:durableId="0E5C5BA3" w16cex:dateUtc="2026-07-10T18:53:00Z"/>
  <w16cex:commentExtensible w16cex:durableId="34F7596B" w16cex:dateUtc="2026-04-09T20:40:00Z"/>
  <w16cex:commentExtensible w16cex:durableId="70690F65" w16cex:dateUtc="2026-03-05T15:48:00Z"/>
  <w16cex:commentExtensible w16cex:durableId="38904A74" w16cex:dateUtc="2026-03-31T19:45:00Z"/>
  <w16cex:commentExtensible w16cex:durableId="20ACB3B0" w16cex:dateUtc="2026-04-09T20:44:00Z"/>
  <w16cex:commentExtensible w16cex:durableId="7D6ECC10" w16cex:dateUtc="2026-06-25T19: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42B8CE" w16cid:durableId="472C5A8C"/>
  <w16cid:commentId w16cid:paraId="7375EE1F" w16cid:durableId="1121F8A4"/>
  <w16cid:commentId w16cid:paraId="4976BDFF" w16cid:durableId="63C603F9"/>
  <w16cid:commentId w16cid:paraId="126D2EA0" w16cid:durableId="7C8DCBF6"/>
  <w16cid:commentId w16cid:paraId="5E0F8524" w16cid:durableId="2346621D"/>
  <w16cid:commentId w16cid:paraId="45B13EFD" w16cid:durableId="0F6BFAB4"/>
  <w16cid:commentId w16cid:paraId="1A29F1E9" w16cid:durableId="7139BA3F"/>
  <w16cid:commentId w16cid:paraId="1AAD40B6" w16cid:durableId="4128B3D3"/>
  <w16cid:commentId w16cid:paraId="30409369" w16cid:durableId="4CA82184"/>
  <w16cid:commentId w16cid:paraId="0C5F9776" w16cid:durableId="013274C7"/>
  <w16cid:commentId w16cid:paraId="076AB745" w16cid:durableId="531D32C8"/>
  <w16cid:commentId w16cid:paraId="33F96786" w16cid:durableId="6553B98B"/>
  <w16cid:commentId w16cid:paraId="3C082DD7" w16cid:durableId="70F34283"/>
  <w16cid:commentId w16cid:paraId="63EDD398" w16cid:durableId="1B387CFA"/>
  <w16cid:commentId w16cid:paraId="7CD74C9B" w16cid:durableId="5295606C"/>
  <w16cid:commentId w16cid:paraId="6AA2E3B2" w16cid:durableId="35533084"/>
  <w16cid:commentId w16cid:paraId="1822E9C0" w16cid:durableId="5CAC2B46"/>
  <w16cid:commentId w16cid:paraId="285F2B08" w16cid:durableId="403A7F14"/>
  <w16cid:commentId w16cid:paraId="247114B1" w16cid:durableId="0C1F97A7"/>
  <w16cid:commentId w16cid:paraId="24720645" w16cid:durableId="57C934B1"/>
  <w16cid:commentId w16cid:paraId="5B058BD3" w16cid:durableId="136A1203"/>
  <w16cid:commentId w16cid:paraId="5133174B" w16cid:durableId="56DAE6FE"/>
  <w16cid:commentId w16cid:paraId="036EA3EF" w16cid:durableId="3AFF4E40"/>
  <w16cid:commentId w16cid:paraId="4C34EACE" w16cid:durableId="2009FD1A"/>
  <w16cid:commentId w16cid:paraId="792C4CEB" w16cid:durableId="7071EA11"/>
  <w16cid:commentId w16cid:paraId="685383E5" w16cid:durableId="65C28F5B"/>
  <w16cid:commentId w16cid:paraId="4B4BC99E" w16cid:durableId="72330EC5"/>
  <w16cid:commentId w16cid:paraId="6ACBE9BA" w16cid:durableId="6E03B9D5"/>
  <w16cid:commentId w16cid:paraId="7EB27B68" w16cid:durableId="6E4D5C91"/>
  <w16cid:commentId w16cid:paraId="6A9E7268" w16cid:durableId="0B7B43C7"/>
  <w16cid:commentId w16cid:paraId="0A82BA0D" w16cid:durableId="61846563"/>
  <w16cid:commentId w16cid:paraId="60021729" w16cid:durableId="5A622534"/>
  <w16cid:commentId w16cid:paraId="30880190" w16cid:durableId="6C5DE1F7"/>
  <w16cid:commentId w16cid:paraId="79D54D68" w16cid:durableId="1EEA6E2F"/>
  <w16cid:commentId w16cid:paraId="64EFFD1D" w16cid:durableId="3E338961"/>
  <w16cid:commentId w16cid:paraId="75E94218" w16cid:durableId="0F8A5555"/>
  <w16cid:commentId w16cid:paraId="56F4E0E5" w16cid:durableId="28D5DF09"/>
  <w16cid:commentId w16cid:paraId="53D73EA8" w16cid:durableId="2296D531"/>
  <w16cid:commentId w16cid:paraId="023FD9DA" w16cid:durableId="510FEE9F"/>
  <w16cid:commentId w16cid:paraId="28BBAA56" w16cid:durableId="681C6005"/>
  <w16cid:commentId w16cid:paraId="000A95DF" w16cid:durableId="0C030B73"/>
  <w16cid:commentId w16cid:paraId="361E3161" w16cid:durableId="10A6637B"/>
  <w16cid:commentId w16cid:paraId="047C7124" w16cid:durableId="1670A8E5"/>
  <w16cid:commentId w16cid:paraId="3BBC3841" w16cid:durableId="10D4F645"/>
  <w16cid:commentId w16cid:paraId="5CA2F20D" w16cid:durableId="0B4DC713"/>
  <w16cid:commentId w16cid:paraId="722CB788" w16cid:durableId="65A75D9C"/>
  <w16cid:commentId w16cid:paraId="05596141" w16cid:durableId="23C800FF"/>
  <w16cid:commentId w16cid:paraId="20AD033E" w16cid:durableId="570A37DF"/>
  <w16cid:commentId w16cid:paraId="3E3EFA51" w16cid:durableId="0BDBF9AD"/>
  <w16cid:commentId w16cid:paraId="53A8003A" w16cid:durableId="267D68C1"/>
  <w16cid:commentId w16cid:paraId="6DDADDEE" w16cid:durableId="5D6F8742"/>
  <w16cid:commentId w16cid:paraId="66977633" w16cid:durableId="01E4D2BD"/>
  <w16cid:commentId w16cid:paraId="42FEC172" w16cid:durableId="5C35D425"/>
  <w16cid:commentId w16cid:paraId="41F2D1DC" w16cid:durableId="140CD950"/>
  <w16cid:commentId w16cid:paraId="68D6DD11" w16cid:durableId="6AB794EA"/>
  <w16cid:commentId w16cid:paraId="1A9BB017" w16cid:durableId="0E5C5BA3"/>
  <w16cid:commentId w16cid:paraId="5A262F0A" w16cid:durableId="34F7596B"/>
  <w16cid:commentId w16cid:paraId="40EA1F46" w16cid:durableId="70690F65"/>
  <w16cid:commentId w16cid:paraId="70BE8A62" w16cid:durableId="38904A74"/>
  <w16cid:commentId w16cid:paraId="34555BE7" w16cid:durableId="20ACB3B0"/>
  <w16cid:commentId w16cid:paraId="7645DA2B" w16cid:durableId="7D6ECC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8EF7F" w14:textId="77777777" w:rsidR="00ED7AA9" w:rsidRDefault="00ED7AA9" w:rsidP="00082DFE">
      <w:pPr>
        <w:spacing w:after="0" w:line="240" w:lineRule="auto"/>
      </w:pPr>
      <w:r>
        <w:separator/>
      </w:r>
    </w:p>
  </w:endnote>
  <w:endnote w:type="continuationSeparator" w:id="0">
    <w:p w14:paraId="77796614" w14:textId="77777777" w:rsidR="00ED7AA9" w:rsidRDefault="00ED7AA9" w:rsidP="00082DFE">
      <w:pPr>
        <w:spacing w:after="0" w:line="240" w:lineRule="auto"/>
      </w:pPr>
      <w:r>
        <w:continuationSeparator/>
      </w:r>
    </w:p>
  </w:endnote>
  <w:endnote w:type="continuationNotice" w:id="1">
    <w:p w14:paraId="58E320DA" w14:textId="77777777" w:rsidR="00ED7AA9" w:rsidRDefault="00ED7A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IBM Plex Sans">
    <w:charset w:val="00"/>
    <w:family w:val="swiss"/>
    <w:pitch w:val="variable"/>
    <w:sig w:usb0="A00002EF" w:usb1="5000207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Fluent Icons">
    <w:panose1 w:val="050A0102010101010101"/>
    <w:charset w:val="00"/>
    <w:family w:val="roman"/>
    <w:pitch w:val="variable"/>
    <w:sig w:usb0="00000003" w:usb1="10000000" w:usb2="00000000" w:usb3="00000000" w:csb0="00000001" w:csb1="00000000"/>
  </w:font>
  <w:font w:name="Merriweather">
    <w:charset w:val="00"/>
    <w:family w:val="auto"/>
    <w:pitch w:val="variable"/>
    <w:sig w:usb0="20000207" w:usb1="00000002"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B80F4" w14:textId="0E753822" w:rsidR="00245C5F" w:rsidRDefault="00726BC2">
    <w:pPr>
      <w:pStyle w:val="Footer"/>
    </w:pPr>
    <w:r>
      <w:rPr>
        <w:noProof/>
      </w:rPr>
      <mc:AlternateContent>
        <mc:Choice Requires="wps">
          <w:drawing>
            <wp:anchor distT="0" distB="0" distL="0" distR="0" simplePos="0" relativeHeight="251658241" behindDoc="0" locked="0" layoutInCell="1" allowOverlap="1" wp14:anchorId="41F71AE9" wp14:editId="7406B667">
              <wp:simplePos x="635" y="635"/>
              <wp:positionH relativeFrom="page">
                <wp:align>right</wp:align>
              </wp:positionH>
              <wp:positionV relativeFrom="page">
                <wp:align>bottom</wp:align>
              </wp:positionV>
              <wp:extent cx="1101725" cy="342900"/>
              <wp:effectExtent l="0" t="0" r="0" b="0"/>
              <wp:wrapNone/>
              <wp:docPr id="725398754"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1725" cy="342900"/>
                      </a:xfrm>
                      <a:prstGeom prst="rect">
                        <a:avLst/>
                      </a:prstGeom>
                      <a:noFill/>
                      <a:ln>
                        <a:noFill/>
                      </a:ln>
                    </wps:spPr>
                    <wps:txbx>
                      <w:txbxContent>
                        <w:p w14:paraId="2341469D" w14:textId="1A3EBDDE" w:rsidR="00726BC2" w:rsidRPr="00202979" w:rsidRDefault="00726BC2" w:rsidP="00202979">
                          <w:pPr>
                            <w:spacing w:after="0"/>
                            <w:rPr>
                              <w:rFonts w:ascii="Calibri" w:eastAsia="Calibri" w:hAnsi="Calibri" w:cs="Calibri"/>
                              <w:color w:val="000000"/>
                              <w:szCs w:val="20"/>
                            </w:rPr>
                          </w:pPr>
                          <w:r w:rsidRPr="00202979">
                            <w:rPr>
                              <w:rFonts w:ascii="Calibri" w:eastAsia="Calibri" w:hAnsi="Calibri" w:cs="Calibri"/>
                              <w:color w:val="00000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1F71AE9" id="_x0000_t202" coordsize="21600,21600" o:spt="202" path="m,l,21600r21600,l21600,xe">
              <v:stroke joinstyle="miter"/>
              <v:path gradientshapeok="t" o:connecttype="rect"/>
            </v:shapetype>
            <v:shape id="Text Box 2" o:spid="_x0000_s1029" type="#_x0000_t202" alt="Official Use Only" style="position:absolute;left:0;text-align:left;margin-left:35.55pt;margin-top:0;width:86.75pt;height:27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" filled="f" stroked="f">
              <v:textbox style="mso-fit-shape-to-text:t" inset="0,0,20pt,15pt">
                <w:txbxContent>
                  <w:p w14:paraId="2341469D" w14:textId="1A3EBDDE" w:rsidR="00726BC2" w:rsidRPr="00202979" w:rsidRDefault="00726BC2" w:rsidP="00202979">
                    <w:pPr>
                      <w:spacing w:after="0"/>
                      <w:rPr>
                        <w:rFonts w:ascii="Calibri" w:eastAsia="Calibri" w:hAnsi="Calibri" w:cs="Calibri"/>
                        <w:color w:val="000000"/>
                        <w:szCs w:val="20"/>
                      </w:rPr>
                    </w:pPr>
                    <w:r w:rsidRPr="00202979">
                      <w:rPr>
                        <w:rFonts w:ascii="Calibri" w:eastAsia="Calibri" w:hAnsi="Calibri" w:cs="Calibri"/>
                        <w:color w:val="00000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4CBFF" w14:textId="00FB281A" w:rsidR="009313AB" w:rsidRDefault="00726BC2">
    <w:pPr>
      <w:pStyle w:val="Footer"/>
      <w:jc w:val="right"/>
    </w:pPr>
    <w:r>
      <w:rPr>
        <w:noProof/>
      </w:rPr>
      <mc:AlternateContent>
        <mc:Choice Requires="wps">
          <w:drawing>
            <wp:anchor distT="0" distB="0" distL="0" distR="0" simplePos="0" relativeHeight="251658240" behindDoc="0" locked="0" layoutInCell="1" allowOverlap="1" wp14:anchorId="3E3E1A8D" wp14:editId="4663E15B">
              <wp:simplePos x="635" y="635"/>
              <wp:positionH relativeFrom="page">
                <wp:align>right</wp:align>
              </wp:positionH>
              <wp:positionV relativeFrom="page">
                <wp:align>bottom</wp:align>
              </wp:positionV>
              <wp:extent cx="1101725" cy="342900"/>
              <wp:effectExtent l="0" t="0" r="0" b="0"/>
              <wp:wrapNone/>
              <wp:docPr id="2049306128"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1725" cy="342900"/>
                      </a:xfrm>
                      <a:prstGeom prst="rect">
                        <a:avLst/>
                      </a:prstGeom>
                      <a:noFill/>
                      <a:ln>
                        <a:noFill/>
                      </a:ln>
                    </wps:spPr>
                    <wps:txbx>
                      <w:txbxContent>
                        <w:p w14:paraId="33016B43" w14:textId="587CCA25" w:rsidR="00726BC2" w:rsidRPr="00202979" w:rsidRDefault="00726BC2" w:rsidP="00202979">
                          <w:pPr>
                            <w:spacing w:after="0"/>
                            <w:rPr>
                              <w:rFonts w:ascii="Calibri" w:eastAsia="Calibri" w:hAnsi="Calibri" w:cs="Calibri"/>
                              <w:color w:val="000000"/>
                              <w:szCs w:val="20"/>
                            </w:rPr>
                          </w:pPr>
                          <w:r w:rsidRPr="00202979">
                            <w:rPr>
                              <w:rFonts w:ascii="Calibri" w:eastAsia="Calibri" w:hAnsi="Calibri" w:cs="Calibri"/>
                              <w:color w:val="00000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E3E1A8D" id="_x0000_t202" coordsize="21600,21600" o:spt="202" path="m,l,21600r21600,l21600,xe">
              <v:stroke joinstyle="miter"/>
              <v:path gradientshapeok="t" o:connecttype="rect"/>
            </v:shapetype>
            <v:shape id="Text Box 3" o:spid="_x0000_s1030" type="#_x0000_t202" alt="Official Use Only" style="position:absolute;left:0;text-align:left;margin-left:35.55pt;margin-top:0;width:86.75pt;height:27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" filled="f" stroked="f">
              <v:textbox style="mso-fit-shape-to-text:t" inset="0,0,20pt,15pt">
                <w:txbxContent>
                  <w:p w14:paraId="33016B43" w14:textId="587CCA25" w:rsidR="00726BC2" w:rsidRPr="00202979" w:rsidRDefault="00726BC2" w:rsidP="00202979">
                    <w:pPr>
                      <w:spacing w:after="0"/>
                      <w:rPr>
                        <w:rFonts w:ascii="Calibri" w:eastAsia="Calibri" w:hAnsi="Calibri" w:cs="Calibri"/>
                        <w:color w:val="000000"/>
                        <w:szCs w:val="20"/>
                      </w:rPr>
                    </w:pPr>
                    <w:r w:rsidRPr="00202979">
                      <w:rPr>
                        <w:rFonts w:ascii="Calibri" w:eastAsia="Calibri" w:hAnsi="Calibri" w:cs="Calibri"/>
                        <w:color w:val="000000"/>
                        <w:szCs w:val="20"/>
                      </w:rPr>
                      <w:t>Official Use Only</w:t>
                    </w:r>
                  </w:p>
                </w:txbxContent>
              </v:textbox>
              <w10:wrap anchorx="page" anchory="page"/>
            </v:shape>
          </w:pict>
        </mc:Fallback>
      </mc:AlternateContent>
    </w:r>
  </w:p>
  <w:sdt>
    <w:sdtPr>
      <w:id w:val="-2089842383"/>
      <w:docPartObj>
        <w:docPartGallery w:val="Page Numbers (Bottom of Page)"/>
        <w:docPartUnique/>
      </w:docPartObj>
    </w:sdtPr>
    <w:sdtEndPr>
      <w:rPr>
        <w:noProof/>
      </w:rPr>
    </w:sdtEndPr>
    <w:sdtContent>
      <w:p w14:paraId="6F5AF81B" w14:textId="77777777" w:rsidR="009313AB" w:rsidRDefault="009313A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697CCB" w14:textId="77777777" w:rsidR="001441E1" w:rsidRDefault="001441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53774" w14:textId="468D746F" w:rsidR="00245C5F" w:rsidRDefault="00726BC2">
    <w:pPr>
      <w:pStyle w:val="Footer"/>
    </w:pPr>
    <w:r>
      <w:rPr>
        <w:noProof/>
      </w:rPr>
      <mc:AlternateContent>
        <mc:Choice Requires="wps">
          <w:drawing>
            <wp:anchor distT="0" distB="0" distL="0" distR="0" simplePos="0" relativeHeight="251658242" behindDoc="0" locked="0" layoutInCell="1" allowOverlap="1" wp14:anchorId="3BB8A4A9" wp14:editId="3B6AC259">
              <wp:simplePos x="635" y="635"/>
              <wp:positionH relativeFrom="page">
                <wp:align>right</wp:align>
              </wp:positionH>
              <wp:positionV relativeFrom="page">
                <wp:align>bottom</wp:align>
              </wp:positionV>
              <wp:extent cx="1101725" cy="342900"/>
              <wp:effectExtent l="0" t="0" r="0" b="0"/>
              <wp:wrapNone/>
              <wp:docPr id="2099144407"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1725" cy="342900"/>
                      </a:xfrm>
                      <a:prstGeom prst="rect">
                        <a:avLst/>
                      </a:prstGeom>
                      <a:noFill/>
                      <a:ln>
                        <a:noFill/>
                      </a:ln>
                    </wps:spPr>
                    <wps:txbx>
                      <w:txbxContent>
                        <w:p w14:paraId="7E69F895" w14:textId="42727120" w:rsidR="00726BC2" w:rsidRPr="00202979" w:rsidRDefault="00726BC2" w:rsidP="00202979">
                          <w:pPr>
                            <w:spacing w:after="0"/>
                            <w:rPr>
                              <w:rFonts w:ascii="Calibri" w:eastAsia="Calibri" w:hAnsi="Calibri" w:cs="Calibri"/>
                              <w:color w:val="000000"/>
                              <w:szCs w:val="20"/>
                            </w:rPr>
                          </w:pPr>
                          <w:r w:rsidRPr="00202979">
                            <w:rPr>
                              <w:rFonts w:ascii="Calibri" w:eastAsia="Calibri" w:hAnsi="Calibri" w:cs="Calibri"/>
                              <w:color w:val="00000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B8A4A9" id="_x0000_t202" coordsize="21600,21600" o:spt="202" path="m,l,21600r21600,l21600,xe">
              <v:stroke joinstyle="miter"/>
              <v:path gradientshapeok="t" o:connecttype="rect"/>
            </v:shapetype>
            <v:shape id="Text Box 1" o:spid="_x0000_s1031" type="#_x0000_t202" alt="Official Use Only" style="position:absolute;left:0;text-align:left;margin-left:35.55pt;margin-top:0;width:86.75pt;height:27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" filled="f" stroked="f">
              <v:textbox style="mso-fit-shape-to-text:t" inset="0,0,20pt,15pt">
                <w:txbxContent>
                  <w:p w14:paraId="7E69F895" w14:textId="42727120" w:rsidR="00726BC2" w:rsidRPr="00202979" w:rsidRDefault="00726BC2" w:rsidP="00202979">
                    <w:pPr>
                      <w:spacing w:after="0"/>
                      <w:rPr>
                        <w:rFonts w:ascii="Calibri" w:eastAsia="Calibri" w:hAnsi="Calibri" w:cs="Calibri"/>
                        <w:color w:val="000000"/>
                        <w:szCs w:val="20"/>
                      </w:rPr>
                    </w:pPr>
                    <w:r w:rsidRPr="00202979">
                      <w:rPr>
                        <w:rFonts w:ascii="Calibri" w:eastAsia="Calibri" w:hAnsi="Calibri" w:cs="Calibri"/>
                        <w:color w:val="00000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F5D0E" w14:textId="77777777" w:rsidR="00ED7AA9" w:rsidRDefault="00ED7AA9" w:rsidP="00082DFE">
      <w:pPr>
        <w:spacing w:after="0" w:line="240" w:lineRule="auto"/>
      </w:pPr>
      <w:r>
        <w:separator/>
      </w:r>
    </w:p>
  </w:footnote>
  <w:footnote w:type="continuationSeparator" w:id="0">
    <w:p w14:paraId="274B727B" w14:textId="77777777" w:rsidR="00ED7AA9" w:rsidRDefault="00ED7AA9" w:rsidP="00082DFE">
      <w:pPr>
        <w:spacing w:after="0" w:line="240" w:lineRule="auto"/>
      </w:pPr>
      <w:r>
        <w:continuationSeparator/>
      </w:r>
    </w:p>
  </w:footnote>
  <w:footnote w:type="continuationNotice" w:id="1">
    <w:p w14:paraId="3518F5EA" w14:textId="77777777" w:rsidR="00ED7AA9" w:rsidRDefault="00ED7AA9">
      <w:pPr>
        <w:spacing w:after="0" w:line="240" w:lineRule="auto"/>
      </w:pPr>
    </w:p>
  </w:footnote>
  <w:footnote w:id="2">
    <w:p w14:paraId="5FA2E60F" w14:textId="6B44A78E" w:rsidR="002F16FF" w:rsidRPr="000A00BF" w:rsidRDefault="002F16FF" w:rsidP="001B09F0">
      <w:pPr>
        <w:pStyle w:val="FootnoteText"/>
      </w:pPr>
      <w:r w:rsidRPr="000A00BF">
        <w:rPr>
          <w:rStyle w:val="FootnoteReference"/>
          <w:rFonts w:ascii="Segoe UI" w:hAnsi="Segoe UI" w:cs="Segoe UI"/>
        </w:rPr>
        <w:footnoteRef/>
      </w:r>
      <w:r w:rsidRPr="000A00BF">
        <w:t xml:space="preserve"> </w:t>
      </w:r>
      <w:r w:rsidR="00D53356" w:rsidRPr="000A00BF">
        <w:t xml:space="preserve">This paper </w:t>
      </w:r>
      <w:r w:rsidR="00E943A2" w:rsidRPr="000A00BF">
        <w:t>was</w:t>
      </w:r>
      <w:r w:rsidR="00D53356" w:rsidRPr="000A00BF">
        <w:t xml:space="preserve"> </w:t>
      </w:r>
      <w:r w:rsidR="00441A42">
        <w:t xml:space="preserve">drafted </w:t>
      </w:r>
      <w:r w:rsidR="00D53356" w:rsidRPr="000A00BF">
        <w:t xml:space="preserve">by </w:t>
      </w:r>
      <w:r w:rsidR="001A08DA">
        <w:t>Carolyn Fischer</w:t>
      </w:r>
      <w:r w:rsidR="00A11A70">
        <w:t>,</w:t>
      </w:r>
      <w:r w:rsidR="001A08DA">
        <w:t xml:space="preserve"> Stephen Str</w:t>
      </w:r>
      <w:r w:rsidR="00B70D87">
        <w:t>etton</w:t>
      </w:r>
      <w:r w:rsidR="00A11A70">
        <w:t>, and Susanne Aakerfeldt</w:t>
      </w:r>
      <w:r w:rsidR="00441A42">
        <w:t>, with f</w:t>
      </w:r>
      <w:r w:rsidR="004F39DF" w:rsidRPr="000A00BF">
        <w:t xml:space="preserve">eedback and inputs from </w:t>
      </w:r>
      <w:r w:rsidR="00393246">
        <w:t xml:space="preserve">Adeel Abbas, </w:t>
      </w:r>
      <w:r w:rsidR="00C81427">
        <w:t xml:space="preserve">Alexandra Campmas, </w:t>
      </w:r>
      <w:r w:rsidR="00272384">
        <w:t xml:space="preserve">Weronika Celniak, </w:t>
      </w:r>
      <w:r w:rsidR="001D6A9F">
        <w:t xml:space="preserve">Hanan Elhadary, </w:t>
      </w:r>
      <w:r w:rsidR="000B1F3D">
        <w:t>Dirk Heine</w:t>
      </w:r>
      <w:r w:rsidR="005B7B71">
        <w:t xml:space="preserve">, and </w:t>
      </w:r>
      <w:r w:rsidR="005B7B71" w:rsidRPr="005B7B71">
        <w:t>Miguel Eduardo Sanchez Martin</w:t>
      </w:r>
      <w:r w:rsidR="00E4336F" w:rsidRPr="000A00BF">
        <w:t>.</w:t>
      </w:r>
      <w:r w:rsidR="001C270B" w:rsidRPr="000A00BF">
        <w:t xml:space="preserve"> </w:t>
      </w:r>
      <w:r w:rsidR="003F1BFA" w:rsidRPr="000A00BF">
        <w:t xml:space="preserve">The work was financed by </w:t>
      </w:r>
      <w:r w:rsidR="00393246">
        <w:t>UK SPEIG</w:t>
      </w:r>
      <w:r w:rsidR="003F1BFA" w:rsidRPr="000A00BF">
        <w:t>.</w:t>
      </w:r>
    </w:p>
  </w:footnote>
  <w:footnote w:id="3">
    <w:p w14:paraId="65E0E885" w14:textId="77777777" w:rsidR="00C86FFA" w:rsidRPr="000A00BF" w:rsidRDefault="00C86FFA" w:rsidP="001B09F0">
      <w:pPr>
        <w:pStyle w:val="FootnoteText"/>
      </w:pPr>
      <w:r w:rsidRPr="000A00BF">
        <w:rPr>
          <w:rStyle w:val="FootnoteReference"/>
          <w:rFonts w:ascii="Segoe UI" w:hAnsi="Segoe UI" w:cs="Segoe UI"/>
        </w:rPr>
        <w:footnoteRef/>
      </w:r>
      <w:r w:rsidRPr="000A00BF">
        <w:t xml:space="preserve"> Official Journal of the European Union,</w:t>
      </w:r>
      <w:r w:rsidRPr="000A00BF">
        <w:rPr>
          <w:rFonts w:eastAsiaTheme="minorEastAsia"/>
          <w:color w:val="auto"/>
        </w:rPr>
        <w:t xml:space="preserve"> “</w:t>
      </w:r>
      <w:r w:rsidRPr="000A00BF">
        <w:t xml:space="preserve">REGULATION (EU) 2023/956 OF THE EUROPEAN PARLIAMENT AND OF THE COUNCIL of 10 May 2023 establishing a carbon border adjustment mechanism,” May 16, 2023, </w:t>
      </w:r>
      <w:hyperlink r:id="rId1" w:history="1">
        <w:r w:rsidRPr="000A00BF">
          <w:rPr>
            <w:rStyle w:val="Hyperlink"/>
          </w:rPr>
          <w:t>https://eur-lex.europa.eu/legal-content/EN/TXT/PDF/?uri=CELEX:32023R0956</w:t>
        </w:r>
      </w:hyperlink>
      <w:r w:rsidRPr="000A00BF">
        <w:t xml:space="preserve"> </w:t>
      </w:r>
    </w:p>
  </w:footnote>
  <w:footnote w:id="4">
    <w:p w14:paraId="7E1643A1" w14:textId="42EF0FB1" w:rsidR="005A2A96" w:rsidRPr="000A00BF" w:rsidRDefault="005A2A96" w:rsidP="001B09F0">
      <w:pPr>
        <w:pStyle w:val="FootnoteText"/>
      </w:pPr>
      <w:r w:rsidRPr="000A00BF">
        <w:rPr>
          <w:rStyle w:val="FootnoteReference"/>
          <w:rFonts w:ascii="Segoe UI" w:hAnsi="Segoe UI" w:cs="Segoe UI"/>
        </w:rPr>
        <w:footnoteRef/>
      </w:r>
      <w:r w:rsidRPr="000A00BF">
        <w:t xml:space="preserve"> CBAM also including emissions from the production of heating and cooling used in the production processes, irrespective of the location of the production of the heating and cooling.</w:t>
      </w:r>
    </w:p>
  </w:footnote>
  <w:footnote w:id="5">
    <w:p w14:paraId="05D948E3" w14:textId="0117E4AB" w:rsidR="00423BDA" w:rsidRPr="000A00BF" w:rsidRDefault="00423BDA" w:rsidP="001B09F0">
      <w:pPr>
        <w:pStyle w:val="FootnoteText"/>
      </w:pPr>
      <w:r w:rsidRPr="000A00BF">
        <w:rPr>
          <w:rStyle w:val="FootnoteReference"/>
          <w:rFonts w:ascii="Segoe UI" w:hAnsi="Segoe UI" w:cs="Segoe UI"/>
        </w:rPr>
        <w:footnoteRef/>
      </w:r>
      <w:r w:rsidRPr="000A00BF">
        <w:t xml:space="preserve"> From 2026 to 2034, there will be a gradual phase-out of ETS free allowances for CBAM sectors. The CBAM factor is equal to 100 % for the period between the entry into force of that Regulation and the end of 2025, equal to 97,5 % in 2026, 95 % in 2027, 90 % in 2028, 77,5 % in 2029, 51,5 % in 2030, 39 % in 2031, 26,5 % in 2032 and 14 % in 2033. From 2034, no CBAM factor applies.</w:t>
      </w:r>
      <w:r w:rsidR="002452C2">
        <w:t xml:space="preserve"> The EU Commission is expected to present legislative proposals in July 20</w:t>
      </w:r>
      <w:r w:rsidR="00C86B62">
        <w:t>26</w:t>
      </w:r>
      <w:r w:rsidR="002B6ED2">
        <w:t xml:space="preserve"> to align current </w:t>
      </w:r>
      <w:r w:rsidR="0021170F">
        <w:t xml:space="preserve">EU ETS </w:t>
      </w:r>
      <w:r w:rsidR="002B6ED2">
        <w:t xml:space="preserve">legislation </w:t>
      </w:r>
      <w:r w:rsidR="00417AF8">
        <w:t>with the 2040 EU climate goal</w:t>
      </w:r>
      <w:r w:rsidR="00D60107">
        <w:t xml:space="preserve">, involving for example </w:t>
      </w:r>
      <w:r w:rsidR="003F48C9">
        <w:t xml:space="preserve">tightening the </w:t>
      </w:r>
      <w:r w:rsidR="00D76384">
        <w:t>conditions for th</w:t>
      </w:r>
      <w:r w:rsidR="003F48C9">
        <w:t>e free allocation of EU ETS allowances</w:t>
      </w:r>
      <w:r w:rsidR="00FC4DE4">
        <w:t xml:space="preserve">. It remains to be seen what </w:t>
      </w:r>
      <w:r w:rsidR="00CC1419">
        <w:t>effect these changes will have on the CBAM legislation.</w:t>
      </w:r>
      <w:r w:rsidR="003F48C9">
        <w:t xml:space="preserve"> </w:t>
      </w:r>
    </w:p>
  </w:footnote>
  <w:footnote w:id="6">
    <w:p w14:paraId="17A26721" w14:textId="5C754EEF" w:rsidR="00BE4B3F" w:rsidRDefault="00BE4B3F" w:rsidP="001B09F0">
      <w:pPr>
        <w:pStyle w:val="FootnoteText"/>
      </w:pPr>
      <w:r>
        <w:rPr>
          <w:rStyle w:val="FootnoteReference"/>
        </w:rPr>
        <w:footnoteRef/>
      </w:r>
      <w:r>
        <w:t xml:space="preserve"> </w:t>
      </w:r>
      <w:r w:rsidR="00E256E3">
        <w:t xml:space="preserve">See </w:t>
      </w:r>
      <w:hyperlink r:id="rId2" w:history="1">
        <w:r w:rsidR="00D26976" w:rsidRPr="0035283E">
          <w:rPr>
            <w:rStyle w:val="Hyperlink"/>
          </w:rPr>
          <w:t>https://eur-lex.europa.eu/legal-content/EN/TXT/?uri=CELEX%3A52025PC0989</w:t>
        </w:r>
      </w:hyperlink>
      <w:r w:rsidR="00CC3A07">
        <w:t>.</w:t>
      </w:r>
      <w:r w:rsidR="00D26976">
        <w:t xml:space="preserve"> </w:t>
      </w:r>
    </w:p>
  </w:footnote>
  <w:footnote w:id="7">
    <w:p w14:paraId="031A2042" w14:textId="29DE3C8B" w:rsidR="00CC1B22" w:rsidRDefault="00CC1B22" w:rsidP="001B09F0">
      <w:pPr>
        <w:pStyle w:val="FootnoteText"/>
      </w:pPr>
      <w:r>
        <w:rPr>
          <w:rStyle w:val="FootnoteReference"/>
        </w:rPr>
        <w:footnoteRef/>
      </w:r>
      <w:r>
        <w:t xml:space="preserve"> See </w:t>
      </w:r>
      <w:r w:rsidRPr="00CC1B22">
        <w:t>https://taxation-customs.ec.europa.eu/carbon-border-adjustment-mechanism/cbam-legislation-and-guidance_en#default-values-and-benchmarks-definitive-period</w:t>
      </w:r>
    </w:p>
  </w:footnote>
  <w:footnote w:id="8">
    <w:p w14:paraId="22BD1043" w14:textId="4CDDE0B3" w:rsidR="00E23BD6" w:rsidRDefault="00E23BD6" w:rsidP="001B09F0">
      <w:pPr>
        <w:pStyle w:val="FootnoteText"/>
      </w:pPr>
      <w:r>
        <w:rPr>
          <w:rStyle w:val="FootnoteReference"/>
        </w:rPr>
        <w:footnoteRef/>
      </w:r>
      <w:r>
        <w:t xml:space="preserve">See </w:t>
      </w:r>
      <w:hyperlink r:id="rId3" w:history="1">
        <w:r w:rsidR="00AD099F" w:rsidRPr="0035283E">
          <w:rPr>
            <w:rStyle w:val="Hyperlink"/>
          </w:rPr>
          <w:t>https://eur-lex.europa.eu/legal-content/EN/TXT/?uri=OJ:L_202502547</w:t>
        </w:r>
      </w:hyperlink>
      <w:r w:rsidR="00E26BBB">
        <w:t>,</w:t>
      </w:r>
      <w:r w:rsidR="00D56EA9">
        <w:t xml:space="preserve"> and</w:t>
      </w:r>
      <w:r w:rsidR="00E26BBB">
        <w:t xml:space="preserve"> </w:t>
      </w:r>
      <w:hyperlink r:id="rId4" w:history="1">
        <w:r w:rsidR="004D0A1C" w:rsidRPr="0035283E">
          <w:rPr>
            <w:rStyle w:val="Hyperlink"/>
          </w:rPr>
          <w:t>https://eur-lex.europa.eu/legal-content/EN/TXT/?uri=OJ:L_202502546</w:t>
        </w:r>
      </w:hyperlink>
      <w:r w:rsidR="00350BFA">
        <w:t xml:space="preserve">. </w:t>
      </w:r>
    </w:p>
  </w:footnote>
  <w:footnote w:id="9">
    <w:p w14:paraId="786ABE37" w14:textId="22196F2B" w:rsidR="006D3B26" w:rsidRDefault="006D3B26" w:rsidP="001B09F0">
      <w:pPr>
        <w:pStyle w:val="FootnoteText"/>
      </w:pPr>
      <w:r>
        <w:rPr>
          <w:rStyle w:val="FootnoteReference"/>
        </w:rPr>
        <w:footnoteRef/>
      </w:r>
      <w:r>
        <w:t xml:space="preserve"> </w:t>
      </w:r>
      <w:r w:rsidRPr="006D3B26">
        <w:t>https://eur-lex.europa.eu/legal-content/EN/TXT/PDF/?uri=OJ:L_202502620</w:t>
      </w:r>
    </w:p>
  </w:footnote>
  <w:footnote w:id="10">
    <w:p w14:paraId="265D7787" w14:textId="34D8F54C" w:rsidR="00FC2E8F" w:rsidRPr="00F5053A" w:rsidRDefault="00AD4BE0" w:rsidP="001B09F0">
      <w:pPr>
        <w:pStyle w:val="FootnoteText"/>
      </w:pPr>
      <w:r>
        <w:rPr>
          <w:rStyle w:val="FootnoteReference"/>
        </w:rPr>
        <w:footnoteRef/>
      </w:r>
      <w:r>
        <w:t xml:space="preserve"> </w:t>
      </w:r>
      <w:r w:rsidR="00DA149A">
        <w:t xml:space="preserve">See </w:t>
      </w:r>
      <w:r w:rsidR="00FB11FA">
        <w:t xml:space="preserve">draft </w:t>
      </w:r>
      <w:r w:rsidR="00FC2E8F">
        <w:t xml:space="preserve">for public consultation 13 May until 10 June 2026 at </w:t>
      </w:r>
      <w:r w:rsidR="00FC2E8F" w:rsidRPr="00AF6469">
        <w:t xml:space="preserve">June  </w:t>
      </w:r>
      <w:hyperlink r:id="rId5" w:history="1">
        <w:r w:rsidR="00FC2E8F" w:rsidRPr="00AF6469">
          <w:rPr>
            <w:rStyle w:val="Hyperlink"/>
          </w:rPr>
          <w:t>https://ec.europa.eu/info/law/better-regulation/have-your-say/initiatives/14830-Carbon-border-adjustment-mechanism-CBAM-carbon-price-paid-in-a-third-country_en</w:t>
        </w:r>
      </w:hyperlink>
      <w:r w:rsidR="00F5053A">
        <w:t>.</w:t>
      </w:r>
    </w:p>
    <w:p w14:paraId="3EBBAB2D" w14:textId="6ABF3548" w:rsidR="00AD4BE0" w:rsidRPr="00AD4BE0" w:rsidRDefault="00AD4BE0" w:rsidP="001B09F0">
      <w:pPr>
        <w:pStyle w:val="FootnoteText"/>
      </w:pPr>
    </w:p>
  </w:footnote>
  <w:footnote w:id="11">
    <w:p w14:paraId="2A35CA84" w14:textId="77777777" w:rsidR="00553F91" w:rsidRDefault="00553F91" w:rsidP="00553F91">
      <w:pPr>
        <w:pStyle w:val="FootnoteText"/>
      </w:pPr>
      <w:r>
        <w:rPr>
          <w:rStyle w:val="FootnoteReference"/>
        </w:rPr>
        <w:footnoteRef/>
      </w:r>
      <w:r>
        <w:t xml:space="preserve"> CBAM Regulation (2023) Article 9 (4) as amended by CBAM Regulation Amendments (2025).</w:t>
      </w:r>
    </w:p>
  </w:footnote>
  <w:footnote w:id="12">
    <w:p w14:paraId="08654DE2" w14:textId="31BDE95B" w:rsidR="00F60F16" w:rsidRPr="00202979" w:rsidRDefault="00F60F16" w:rsidP="001B09F0">
      <w:pPr>
        <w:pStyle w:val="FootnoteText"/>
      </w:pPr>
      <w:r w:rsidRPr="71592105">
        <w:rPr>
          <w:rStyle w:val="FootnoteReference"/>
          <w:rFonts w:ascii="Segoe UI" w:hAnsi="Segoe UI" w:cs="Segoe UI"/>
        </w:rPr>
        <w:footnoteRef/>
      </w:r>
      <w:r w:rsidR="001A4B18" w:rsidRPr="000D3921">
        <w:rPr>
          <w:rFonts w:ascii="IBM Plex Sans" w:eastAsiaTheme="minorEastAsia" w:hAnsi="IBM Plex Sans" w:cs="IBM Plex Sans"/>
          <w:sz w:val="19"/>
          <w:szCs w:val="19"/>
          <w:lang w:val="de-DE"/>
        </w:rPr>
        <w:t xml:space="preserve"> </w:t>
      </w:r>
      <w:r w:rsidR="001A4B18" w:rsidRPr="000D3921">
        <w:t>Maliszewska, M</w:t>
      </w:r>
      <w:r w:rsidR="009C0A81">
        <w:t>aryla</w:t>
      </w:r>
      <w:r w:rsidR="001A4B18" w:rsidRPr="000D3921">
        <w:t>.</w:t>
      </w:r>
      <w:r w:rsidR="007610FF">
        <w:t>,</w:t>
      </w:r>
      <w:r w:rsidR="001A4B18" w:rsidRPr="000D3921">
        <w:t xml:space="preserve"> </w:t>
      </w:r>
      <w:r w:rsidR="009C0A81">
        <w:t>Carolyn</w:t>
      </w:r>
      <w:r w:rsidR="001A4B18">
        <w:t xml:space="preserve"> </w:t>
      </w:r>
      <w:r w:rsidR="001A4B18" w:rsidRPr="000D3921">
        <w:t xml:space="preserve">Fischer,  </w:t>
      </w:r>
      <w:r w:rsidR="009C0A81">
        <w:t>Euijin</w:t>
      </w:r>
      <w:r w:rsidR="001A4B18">
        <w:t xml:space="preserve"> </w:t>
      </w:r>
      <w:r w:rsidR="001A4B18" w:rsidRPr="000D3921">
        <w:t xml:space="preserve">Jung,  </w:t>
      </w:r>
      <w:r w:rsidR="00A8473B">
        <w:t>Maksym</w:t>
      </w:r>
      <w:r w:rsidR="001A4B18">
        <w:t xml:space="preserve"> </w:t>
      </w:r>
      <w:r w:rsidR="001A4B18" w:rsidRPr="000D3921">
        <w:t>Chepeliev, 2025. “Carbon Border Adjustment Mechanism (CBAM) Exposure Indices – Methodological Note.” Prosperity Note. Washington, DC: World Bank</w:t>
      </w:r>
      <w:r w:rsidR="71592105" w:rsidRPr="001A4B18">
        <w:t>.</w:t>
      </w:r>
      <w:r w:rsidR="71592105" w:rsidRPr="00202979">
        <w:t xml:space="preserve"> </w:t>
      </w:r>
    </w:p>
  </w:footnote>
  <w:footnote w:id="13">
    <w:p w14:paraId="57D2F661" w14:textId="544AA2A6" w:rsidR="00267BAF" w:rsidRDefault="00267BAF" w:rsidP="001B09F0">
      <w:pPr>
        <w:pStyle w:val="FootnoteText"/>
      </w:pPr>
      <w:r>
        <w:rPr>
          <w:rStyle w:val="FootnoteReference"/>
        </w:rPr>
        <w:footnoteRef/>
      </w:r>
      <w:r>
        <w:t xml:space="preserve"> </w:t>
      </w:r>
      <w:r w:rsidRPr="00267BAF">
        <w:t>https://worldsteel.org/data/annual-production-steel-data/?ind=P1_crude_steel_total_pub/EGY</w:t>
      </w:r>
    </w:p>
  </w:footnote>
  <w:footnote w:id="14">
    <w:p w14:paraId="31A95E55" w14:textId="72226372" w:rsidR="00A54CC7" w:rsidRDefault="00A54CC7" w:rsidP="001B09F0">
      <w:pPr>
        <w:pStyle w:val="FootnoteText"/>
      </w:pPr>
      <w:r>
        <w:rPr>
          <w:rStyle w:val="FootnoteReference"/>
        </w:rPr>
        <w:footnoteRef/>
      </w:r>
      <w:r>
        <w:t xml:space="preserve"> </w:t>
      </w:r>
      <w:r w:rsidRPr="00A54CC7">
        <w:t>https://www.trafigura.com/news-and-insights/press-releases/2026/trafigura-signs-term-sheet-for-the-development-of-new-aluminium-smelter-in-egypt/</w:t>
      </w:r>
    </w:p>
  </w:footnote>
  <w:footnote w:id="15">
    <w:p w14:paraId="63192572" w14:textId="6283EC15" w:rsidR="00B01CF6" w:rsidRDefault="00B01CF6" w:rsidP="001B09F0">
      <w:pPr>
        <w:pStyle w:val="FootnoteText"/>
      </w:pPr>
      <w:r>
        <w:rPr>
          <w:rStyle w:val="FootnoteReference"/>
        </w:rPr>
        <w:footnoteRef/>
      </w:r>
      <w:r>
        <w:t xml:space="preserve"> </w:t>
      </w:r>
      <w:r w:rsidRPr="00B01CF6">
        <w:t>https://aluminiumtoday.com/news/egyptian-2-billion-aluminium-plant-plan</w:t>
      </w:r>
    </w:p>
  </w:footnote>
  <w:footnote w:id="16">
    <w:p w14:paraId="3BD83C5B" w14:textId="0F0EAD25" w:rsidR="004E4A0E" w:rsidRDefault="004E4A0E" w:rsidP="001B09F0">
      <w:pPr>
        <w:pStyle w:val="FootnoteText"/>
      </w:pPr>
      <w:r>
        <w:rPr>
          <w:rStyle w:val="FootnoteReference"/>
        </w:rPr>
        <w:footnoteRef/>
      </w:r>
      <w:r>
        <w:t xml:space="preserve"> </w:t>
      </w:r>
      <w:r w:rsidR="00CD4711">
        <w:t xml:space="preserve">See </w:t>
      </w:r>
      <w:hyperlink r:id="rId6" w:history="1">
        <w:r w:rsidR="00CD4711" w:rsidRPr="004E0BEC">
          <w:rPr>
            <w:rStyle w:val="Hyperlink"/>
          </w:rPr>
          <w:t>https://www.eu.dk/samling/20251/kommissionsforslag/KOM(2025)0989/forslag/2189723/3113874.pdf</w:t>
        </w:r>
      </w:hyperlink>
      <w:r w:rsidR="00CD4711">
        <w:t>, Annexes 10 and 11.</w:t>
      </w:r>
    </w:p>
  </w:footnote>
  <w:footnote w:id="17">
    <w:p w14:paraId="01B2C142" w14:textId="05A59E42" w:rsidR="00EF06A9" w:rsidRDefault="00EF06A9" w:rsidP="001B09F0">
      <w:pPr>
        <w:pStyle w:val="FootnoteText"/>
      </w:pPr>
      <w:r>
        <w:rPr>
          <w:rStyle w:val="FootnoteReference"/>
        </w:rPr>
        <w:footnoteRef/>
      </w:r>
      <w:r>
        <w:t xml:space="preserve"> </w:t>
      </w:r>
      <w:r w:rsidRPr="00EF06A9">
        <w:t>https://climatepolicydatabase.org/policies/national-low-carbon-hydrogen-strategy</w:t>
      </w:r>
    </w:p>
  </w:footnote>
  <w:footnote w:id="18">
    <w:p w14:paraId="4476552E" w14:textId="1134635D" w:rsidR="00AD5741" w:rsidRDefault="00AD5741" w:rsidP="001B09F0">
      <w:pPr>
        <w:pStyle w:val="FootnoteText"/>
      </w:pPr>
      <w:r>
        <w:rPr>
          <w:rStyle w:val="FootnoteReference"/>
        </w:rPr>
        <w:footnoteRef/>
      </w:r>
      <w:r w:rsidR="00F20AAC">
        <w:t xml:space="preserve"> </w:t>
      </w:r>
      <w:r w:rsidRPr="00AD5741">
        <w:t>https://www.oecd.org/content/dam/oecd/en/about/programmes/cefim/green-hydrogen/2024-case-studies/Scatec-Egypt-case-study-2024.pdf</w:t>
      </w:r>
    </w:p>
  </w:footnote>
  <w:footnote w:id="19">
    <w:p w14:paraId="44C177B3" w14:textId="1A7B88C2" w:rsidR="004F11A6" w:rsidRDefault="004F11A6" w:rsidP="001B09F0">
      <w:pPr>
        <w:pStyle w:val="FootnoteText"/>
      </w:pPr>
      <w:r>
        <w:rPr>
          <w:rStyle w:val="FootnoteReference"/>
        </w:rPr>
        <w:footnoteRef/>
      </w:r>
      <w:r>
        <w:t xml:space="preserve"> </w:t>
      </w:r>
      <w:r w:rsidR="0011726F" w:rsidRPr="0011726F">
        <w:t>Alsharkas, Zeina, Jean Michel N. Marchat, Enrique Aldaz-Carroll, and Ana Goicoechea. 2026. Competing in the Face of Climate Risks: Evidence from Firms and Policy Priorities in MENAAP. Middle East, North Africa, Afghanistan, and Pakistan Development Report. Washington, DC: World Bank. doi: 10.1596/978-1-4648-2335-0. </w:t>
      </w:r>
    </w:p>
  </w:footnote>
  <w:footnote w:id="20">
    <w:p w14:paraId="7DB54CB3" w14:textId="784F1751" w:rsidR="003E28E0" w:rsidRDefault="003E28E0" w:rsidP="001B09F0">
      <w:pPr>
        <w:pStyle w:val="FootnoteText"/>
      </w:pPr>
      <w:r>
        <w:rPr>
          <w:rStyle w:val="FootnoteReference"/>
        </w:rPr>
        <w:footnoteRef/>
      </w:r>
      <w:r>
        <w:t xml:space="preserve"> </w:t>
      </w:r>
      <w:r w:rsidRPr="003E28E0">
        <w:t>Böhringer, Christoph and Dube, Isha and Fischer, Carolyn and Rutherford, Thomas, Border Carbon Adjustments Revisited (2026). CESifo Working Paper No. 12751, Available at SSRN: https://ssrn.com/abstract=6956665</w:t>
      </w:r>
    </w:p>
  </w:footnote>
  <w:footnote w:id="21">
    <w:p w14:paraId="0F02252A" w14:textId="77777777" w:rsidR="00EC29F8" w:rsidRDefault="00EC29F8" w:rsidP="001B09F0">
      <w:pPr>
        <w:pStyle w:val="FootnoteText"/>
      </w:pPr>
      <w:r>
        <w:rPr>
          <w:rStyle w:val="FootnoteReference"/>
        </w:rPr>
        <w:footnoteRef/>
      </w:r>
      <w:r>
        <w:t xml:space="preserve"> CBAM Regulation (2023) Article 9, as amended by CBAM Regulation Amendments (2025).</w:t>
      </w:r>
    </w:p>
  </w:footnote>
  <w:footnote w:id="22">
    <w:p w14:paraId="14E3B5DE" w14:textId="77777777" w:rsidR="00524C73" w:rsidRDefault="00524C73" w:rsidP="001B09F0">
      <w:pPr>
        <w:pStyle w:val="FootnoteText"/>
      </w:pPr>
      <w:r>
        <w:rPr>
          <w:rStyle w:val="FootnoteReference"/>
        </w:rPr>
        <w:footnoteRef/>
      </w:r>
      <w:r>
        <w:t xml:space="preserve"> CBAM Regulation (2023) Article 3 (29). </w:t>
      </w:r>
    </w:p>
  </w:footnote>
  <w:footnote w:id="23">
    <w:p w14:paraId="6C11E5CE" w14:textId="77777777" w:rsidR="00AC5174" w:rsidRDefault="00AC5174" w:rsidP="001B09F0">
      <w:pPr>
        <w:pStyle w:val="FootnoteText"/>
      </w:pPr>
      <w:r>
        <w:rPr>
          <w:rStyle w:val="FootnoteReference"/>
        </w:rPr>
        <w:footnoteRef/>
      </w:r>
      <w:r>
        <w:t xml:space="preserve"> See Section 3.3.3 of Annex 1 to the draft Implementing Regulation of the carbon price paid, available at </w:t>
      </w:r>
      <w:hyperlink r:id="rId7" w:history="1">
        <w:r w:rsidRPr="0035283E">
          <w:rPr>
            <w:rStyle w:val="Hyperlink"/>
          </w:rPr>
          <w:t>https://ec.europa.eu/info/law/better-regulation/have-your-say/initiatives/14830-Carbon-border-adjustment-mechanism-CBAM-carbon-price-paid-in-a-third-country_en</w:t>
        </w:r>
      </w:hyperlink>
      <w:r>
        <w:t xml:space="preserve">. </w:t>
      </w:r>
    </w:p>
  </w:footnote>
  <w:footnote w:id="24">
    <w:p w14:paraId="117FCB9F" w14:textId="77777777" w:rsidR="006339B9" w:rsidRPr="000A00BF" w:rsidRDefault="006339B9" w:rsidP="001B09F0">
      <w:pPr>
        <w:pStyle w:val="FootnoteText"/>
      </w:pPr>
      <w:r w:rsidRPr="002E0D6F">
        <w:rPr>
          <w:rStyle w:val="FootnoteReference"/>
          <w:rFonts w:ascii="Segoe UI" w:hAnsi="Segoe UI" w:cs="Segoe UI"/>
        </w:rPr>
        <w:footnoteRef/>
      </w:r>
      <w:r w:rsidRPr="002E0D6F">
        <w:t xml:space="preserve"> See, for example, evidence for Cote d’Ivoire (Timilsina et al., 2023), Ghana (Elmaleh et al., 2021, p. 154f ), Pakistan (Burns et al., 2021), China and India (Carson et al., 2021), Iran (Mirhosseini et al., 2017), Spain (Markandya et al., 2013), Eastern Europe (Skrok et al., 2022, p. 48f), the EU (Barrios et al., 2013), and globally (Bento et al., 2018, Schoder, 2023).</w:t>
      </w:r>
    </w:p>
  </w:footnote>
  <w:footnote w:id="25">
    <w:p w14:paraId="6EB35765" w14:textId="77777777" w:rsidR="006339B9" w:rsidRPr="00233B8A" w:rsidRDefault="006339B9" w:rsidP="001B09F0">
      <w:pPr>
        <w:pStyle w:val="FootnoteText"/>
      </w:pPr>
      <w:r w:rsidRPr="00233B8A">
        <w:rPr>
          <w:rStyle w:val="FootnoteReference"/>
          <w:rFonts w:ascii="Segoe UI" w:hAnsi="Segoe UI" w:cs="Segoe UI"/>
        </w:rPr>
        <w:footnoteRef/>
      </w:r>
      <w:r w:rsidRPr="00233B8A">
        <w:rPr>
          <w:lang w:val="sv-SE"/>
        </w:rPr>
        <w:t xml:space="preserve"> Schoder (2021), Elmaleh et al. (2021), Skrok et al. </w:t>
      </w:r>
      <w:r w:rsidRPr="00233B8A">
        <w:t>(2022), Metcalf and Stock (2023).</w:t>
      </w:r>
    </w:p>
  </w:footnote>
  <w:footnote w:id="26">
    <w:p w14:paraId="712CA637" w14:textId="77777777" w:rsidR="006339B9" w:rsidRPr="00233B8A" w:rsidRDefault="006339B9" w:rsidP="001B09F0">
      <w:pPr>
        <w:pStyle w:val="FootnoteText"/>
      </w:pPr>
      <w:r w:rsidRPr="00233B8A">
        <w:rPr>
          <w:rStyle w:val="FootnoteReference"/>
          <w:rFonts w:ascii="Segoe UI" w:hAnsi="Segoe UI" w:cs="Segoe UI"/>
        </w:rPr>
        <w:footnoteRef/>
      </w:r>
      <w:r w:rsidRPr="00233B8A">
        <w:t xml:space="preserve"> ILO and IDB (2020), Hille &amp; Moebius (2019), Moszoro (2021), Malerba and Wiebe (2021).</w:t>
      </w:r>
    </w:p>
  </w:footnote>
  <w:footnote w:id="27">
    <w:p w14:paraId="3B31608E" w14:textId="36ADEE7A" w:rsidR="008A2AB0" w:rsidRDefault="008A2AB0" w:rsidP="001B09F0">
      <w:pPr>
        <w:pStyle w:val="FootnoteText"/>
      </w:pPr>
      <w:r>
        <w:rPr>
          <w:rStyle w:val="FootnoteReference"/>
        </w:rPr>
        <w:footnoteRef/>
      </w:r>
      <w:r>
        <w:t xml:space="preserve"> </w:t>
      </w:r>
      <w:r w:rsidRPr="00FE6664">
        <w:t>Timilsina</w:t>
      </w:r>
      <w:r>
        <w:t xml:space="preserve"> </w:t>
      </w:r>
      <w:r w:rsidR="007B5D40">
        <w:t xml:space="preserve">and </w:t>
      </w:r>
      <w:r w:rsidR="007B5D40" w:rsidRPr="001B09F0">
        <w:t>Sebsibie</w:t>
      </w:r>
      <w:r w:rsidR="00292C91">
        <w:t xml:space="preserve"> (2026)</w:t>
      </w:r>
      <w:r>
        <w:t xml:space="preserve"> </w:t>
      </w:r>
    </w:p>
  </w:footnote>
  <w:footnote w:id="28">
    <w:p w14:paraId="58F174CE" w14:textId="77777777" w:rsidR="006339B9" w:rsidRPr="000D3921" w:rsidRDefault="006339B9" w:rsidP="001B09F0">
      <w:pPr>
        <w:pStyle w:val="FootnoteText"/>
      </w:pPr>
      <w:r w:rsidRPr="000D3921">
        <w:rPr>
          <w:rStyle w:val="FootnoteReference"/>
          <w:rFonts w:ascii="Segoe Fluent Icons" w:hAnsi="Segoe Fluent Icons" w:cs="Segoe UI"/>
        </w:rPr>
        <w:footnoteRef/>
      </w:r>
      <w:r w:rsidRPr="000D3921">
        <w:rPr>
          <w:lang w:val="sv-SE"/>
        </w:rPr>
        <w:t xml:space="preserve"> </w:t>
      </w:r>
      <w:r w:rsidRPr="00FE6664">
        <w:t>Vandyck</w:t>
      </w:r>
      <w:r w:rsidRPr="000D3921">
        <w:rPr>
          <w:lang w:val="fr-FR"/>
        </w:rPr>
        <w:t xml:space="preserve"> et al. (2018); Markandya et al. (2019); Scovronick et al. (2019); Weitzel et al. </w:t>
      </w:r>
      <w:r w:rsidRPr="000D3921">
        <w:t>(2019); Rauner et al. (2020).</w:t>
      </w:r>
    </w:p>
  </w:footnote>
  <w:footnote w:id="29">
    <w:p w14:paraId="421AE12C" w14:textId="77777777" w:rsidR="006339B9" w:rsidRPr="00FE6664" w:rsidRDefault="006339B9" w:rsidP="001B09F0">
      <w:pPr>
        <w:pStyle w:val="FootnoteText"/>
      </w:pPr>
      <w:r w:rsidRPr="000D3921">
        <w:rPr>
          <w:rStyle w:val="FootnoteReference"/>
          <w:rFonts w:ascii="Segoe Fluent Icons" w:hAnsi="Segoe Fluent Icons" w:cs="Segoe UI"/>
        </w:rPr>
        <w:footnoteRef/>
      </w:r>
      <w:r w:rsidRPr="000D3921">
        <w:t xml:space="preserve"> Heine &amp; Black (2019).</w:t>
      </w:r>
    </w:p>
  </w:footnote>
  <w:footnote w:id="30">
    <w:p w14:paraId="0E2B2F93" w14:textId="77777777" w:rsidR="0049504F" w:rsidRDefault="0049504F" w:rsidP="001B09F0">
      <w:pPr>
        <w:pStyle w:val="FootnoteText"/>
      </w:pPr>
      <w:r>
        <w:rPr>
          <w:rStyle w:val="FootnoteReference"/>
        </w:rPr>
        <w:footnoteRef/>
      </w:r>
      <w:r>
        <w:t xml:space="preserve"> S</w:t>
      </w:r>
      <w:r w:rsidRPr="00E7646C">
        <w:t>ee</w:t>
      </w:r>
      <w:r>
        <w:t>,</w:t>
      </w:r>
      <w:r w:rsidRPr="00E7646C">
        <w:t xml:space="preserve"> for example</w:t>
      </w:r>
      <w:r>
        <w:t>,</w:t>
      </w:r>
      <w:r w:rsidRPr="00E7646C">
        <w:t xml:space="preserve"> information on the Swedish carbon tax at https://www.government.se/carbontax and the UN Handbook on Carbon Taxation for Developing Countries, in particular chapters 6 and 8, for a presentation of its design and administration, at https://desapublications.un.org/publications/united-nations-handbook-carbon-taxation-developing-countries.</w:t>
      </w:r>
    </w:p>
  </w:footnote>
  <w:footnote w:id="31">
    <w:p w14:paraId="58CFB627" w14:textId="77777777" w:rsidR="007F34F1" w:rsidRPr="000A00BF" w:rsidRDefault="007F34F1" w:rsidP="001B09F0">
      <w:pPr>
        <w:pStyle w:val="FootnoteText"/>
      </w:pPr>
      <w:r w:rsidRPr="11357084">
        <w:rPr>
          <w:rStyle w:val="FootnoteReference"/>
          <w:rFonts w:ascii="Segoe UI" w:hAnsi="Segoe UI" w:cs="Segoe UI"/>
        </w:rPr>
        <w:footnoteRef/>
      </w:r>
      <w:r w:rsidRPr="00905734">
        <w:rPr>
          <w:lang w:val="it-IT"/>
        </w:rPr>
        <w:t xml:space="preserve"> Agnolucci, Paolo, Carolyn Fischer, Dirk Heine, Mariza Montes de Oca Leon, Joseph Pryor, Kathleen Patroni, Stéphane Hallegatte. </w:t>
      </w:r>
      <w:r w:rsidRPr="11357084">
        <w:t xml:space="preserve">2023. “Measuring Total Carbon Pricing”. </w:t>
      </w:r>
      <w:r w:rsidRPr="11357084">
        <w:rPr>
          <w:i/>
          <w:iCs/>
        </w:rPr>
        <w:t>The World Bank Research Observer</w:t>
      </w:r>
      <w:r w:rsidRPr="11357084">
        <w:t xml:space="preserve">. </w:t>
      </w:r>
      <w:hyperlink r:id="rId8" w:history="1">
        <w:r w:rsidRPr="11357084">
          <w:rPr>
            <w:rStyle w:val="Hyperlink"/>
          </w:rPr>
          <w:t>https://doi.org/10.1093/wbro/lkad009</w:t>
        </w:r>
      </w:hyperlink>
      <w:r w:rsidRPr="11357084">
        <w:t xml:space="preserve"> and Campmas, A., Gill, S., Al-Rikabi, J., Bastidas, D. Forthcoming. PFR Fundamentals: Total Carbon Price 2.0. World Bank.</w:t>
      </w:r>
    </w:p>
  </w:footnote>
  <w:footnote w:id="32">
    <w:p w14:paraId="51D03333" w14:textId="77777777" w:rsidR="00C713E1" w:rsidRDefault="00C713E1" w:rsidP="001B09F0">
      <w:pPr>
        <w:pStyle w:val="FootnoteText"/>
      </w:pPr>
      <w:r w:rsidRPr="000D3921">
        <w:rPr>
          <w:rStyle w:val="FootnoteReference"/>
          <w:rFonts w:ascii="Segoe Fluent Icons" w:hAnsi="Segoe Fluent Icons"/>
        </w:rPr>
        <w:footnoteRef/>
      </w:r>
      <w:r w:rsidRPr="000D3921">
        <w:t xml:space="preserve"> The South African Carbon Tax Act makes use of such default values for calculating taxable emissions from industrial processes, see </w:t>
      </w:r>
      <w:hyperlink r:id="rId9" w:anchor="att_1__subpart_nn_3" w:history="1">
        <w:r w:rsidRPr="000D3921">
          <w:rPr>
            <w:rStyle w:val="Hyperlink"/>
            <w:rFonts w:ascii="Segoe Fluent Icons" w:hAnsi="Segoe Fluent Icons"/>
          </w:rPr>
          <w:t>https://lawlibrary.org.za/akn/za/act/2019/15/eng@2019-05-23#att_1__subpart_nn_3</w:t>
        </w:r>
      </w:hyperlink>
      <w:r w:rsidRPr="000D3921">
        <w:t xml:space="preserve">.  </w:t>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D0A3"/>
    <w:multiLevelType w:val="hybridMultilevel"/>
    <w:tmpl w:val="F710D7E0"/>
    <w:lvl w:ilvl="0" w:tplc="2AC678FA">
      <w:start w:val="1"/>
      <w:numFmt w:val="bullet"/>
      <w:lvlText w:val=""/>
      <w:lvlJc w:val="left"/>
      <w:pPr>
        <w:ind w:left="720" w:hanging="360"/>
      </w:pPr>
      <w:rPr>
        <w:rFonts w:ascii="Symbol" w:hAnsi="Symbol" w:hint="default"/>
      </w:rPr>
    </w:lvl>
    <w:lvl w:ilvl="1" w:tplc="ABD6B770">
      <w:start w:val="1"/>
      <w:numFmt w:val="bullet"/>
      <w:lvlText w:val="o"/>
      <w:lvlJc w:val="left"/>
      <w:pPr>
        <w:ind w:left="1440" w:hanging="360"/>
      </w:pPr>
      <w:rPr>
        <w:rFonts w:ascii="Courier New" w:hAnsi="Courier New" w:hint="default"/>
      </w:rPr>
    </w:lvl>
    <w:lvl w:ilvl="2" w:tplc="E44E0EC0">
      <w:start w:val="1"/>
      <w:numFmt w:val="bullet"/>
      <w:lvlText w:val=""/>
      <w:lvlJc w:val="left"/>
      <w:pPr>
        <w:ind w:left="2160" w:hanging="360"/>
      </w:pPr>
      <w:rPr>
        <w:rFonts w:ascii="Wingdings" w:hAnsi="Wingdings" w:hint="default"/>
      </w:rPr>
    </w:lvl>
    <w:lvl w:ilvl="3" w:tplc="2E50384A">
      <w:start w:val="1"/>
      <w:numFmt w:val="bullet"/>
      <w:lvlText w:val=""/>
      <w:lvlJc w:val="left"/>
      <w:pPr>
        <w:ind w:left="2880" w:hanging="360"/>
      </w:pPr>
      <w:rPr>
        <w:rFonts w:ascii="Symbol" w:hAnsi="Symbol" w:hint="default"/>
      </w:rPr>
    </w:lvl>
    <w:lvl w:ilvl="4" w:tplc="CDCA3C8C">
      <w:start w:val="1"/>
      <w:numFmt w:val="bullet"/>
      <w:lvlText w:val="o"/>
      <w:lvlJc w:val="left"/>
      <w:pPr>
        <w:ind w:left="3600" w:hanging="360"/>
      </w:pPr>
      <w:rPr>
        <w:rFonts w:ascii="Courier New" w:hAnsi="Courier New" w:hint="default"/>
      </w:rPr>
    </w:lvl>
    <w:lvl w:ilvl="5" w:tplc="1936778C">
      <w:start w:val="1"/>
      <w:numFmt w:val="bullet"/>
      <w:lvlText w:val=""/>
      <w:lvlJc w:val="left"/>
      <w:pPr>
        <w:ind w:left="4320" w:hanging="360"/>
      </w:pPr>
      <w:rPr>
        <w:rFonts w:ascii="Wingdings" w:hAnsi="Wingdings" w:hint="default"/>
      </w:rPr>
    </w:lvl>
    <w:lvl w:ilvl="6" w:tplc="B478EA52">
      <w:start w:val="1"/>
      <w:numFmt w:val="bullet"/>
      <w:lvlText w:val=""/>
      <w:lvlJc w:val="left"/>
      <w:pPr>
        <w:ind w:left="5040" w:hanging="360"/>
      </w:pPr>
      <w:rPr>
        <w:rFonts w:ascii="Symbol" w:hAnsi="Symbol" w:hint="default"/>
      </w:rPr>
    </w:lvl>
    <w:lvl w:ilvl="7" w:tplc="F4B2F400">
      <w:start w:val="1"/>
      <w:numFmt w:val="bullet"/>
      <w:lvlText w:val="o"/>
      <w:lvlJc w:val="left"/>
      <w:pPr>
        <w:ind w:left="5760" w:hanging="360"/>
      </w:pPr>
      <w:rPr>
        <w:rFonts w:ascii="Courier New" w:hAnsi="Courier New" w:hint="default"/>
      </w:rPr>
    </w:lvl>
    <w:lvl w:ilvl="8" w:tplc="32AEAD26">
      <w:start w:val="1"/>
      <w:numFmt w:val="bullet"/>
      <w:lvlText w:val=""/>
      <w:lvlJc w:val="left"/>
      <w:pPr>
        <w:ind w:left="6480" w:hanging="360"/>
      </w:pPr>
      <w:rPr>
        <w:rFonts w:ascii="Wingdings" w:hAnsi="Wingdings" w:hint="default"/>
      </w:rPr>
    </w:lvl>
  </w:abstractNum>
  <w:abstractNum w:abstractNumId="1" w15:restartNumberingAfterBreak="0">
    <w:nsid w:val="04D646C4"/>
    <w:multiLevelType w:val="hybridMultilevel"/>
    <w:tmpl w:val="712E5954"/>
    <w:lvl w:ilvl="0" w:tplc="C77C714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40ADD"/>
    <w:multiLevelType w:val="hybridMultilevel"/>
    <w:tmpl w:val="4ABEB0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874AB8"/>
    <w:multiLevelType w:val="hybridMultilevel"/>
    <w:tmpl w:val="75B65B66"/>
    <w:lvl w:ilvl="0" w:tplc="C7848842">
      <w:start w:val="1"/>
      <w:numFmt w:val="decimal"/>
      <w:lvlText w:val="%1)"/>
      <w:lvlJc w:val="left"/>
      <w:pPr>
        <w:ind w:left="1020" w:hanging="360"/>
      </w:pPr>
    </w:lvl>
    <w:lvl w:ilvl="1" w:tplc="F00A2F8A">
      <w:start w:val="1"/>
      <w:numFmt w:val="decimal"/>
      <w:lvlText w:val="%2)"/>
      <w:lvlJc w:val="left"/>
      <w:pPr>
        <w:ind w:left="1020" w:hanging="360"/>
      </w:pPr>
    </w:lvl>
    <w:lvl w:ilvl="2" w:tplc="3606E81E">
      <w:start w:val="1"/>
      <w:numFmt w:val="decimal"/>
      <w:lvlText w:val="%3)"/>
      <w:lvlJc w:val="left"/>
      <w:pPr>
        <w:ind w:left="1020" w:hanging="360"/>
      </w:pPr>
    </w:lvl>
    <w:lvl w:ilvl="3" w:tplc="83D03552">
      <w:start w:val="1"/>
      <w:numFmt w:val="decimal"/>
      <w:lvlText w:val="%4)"/>
      <w:lvlJc w:val="left"/>
      <w:pPr>
        <w:ind w:left="1020" w:hanging="360"/>
      </w:pPr>
    </w:lvl>
    <w:lvl w:ilvl="4" w:tplc="D208F42E">
      <w:start w:val="1"/>
      <w:numFmt w:val="decimal"/>
      <w:lvlText w:val="%5)"/>
      <w:lvlJc w:val="left"/>
      <w:pPr>
        <w:ind w:left="1020" w:hanging="360"/>
      </w:pPr>
    </w:lvl>
    <w:lvl w:ilvl="5" w:tplc="19F4F37E">
      <w:start w:val="1"/>
      <w:numFmt w:val="decimal"/>
      <w:lvlText w:val="%6)"/>
      <w:lvlJc w:val="left"/>
      <w:pPr>
        <w:ind w:left="1020" w:hanging="360"/>
      </w:pPr>
    </w:lvl>
    <w:lvl w:ilvl="6" w:tplc="BE369C04">
      <w:start w:val="1"/>
      <w:numFmt w:val="decimal"/>
      <w:lvlText w:val="%7)"/>
      <w:lvlJc w:val="left"/>
      <w:pPr>
        <w:ind w:left="1020" w:hanging="360"/>
      </w:pPr>
    </w:lvl>
    <w:lvl w:ilvl="7" w:tplc="B840E960">
      <w:start w:val="1"/>
      <w:numFmt w:val="decimal"/>
      <w:lvlText w:val="%8)"/>
      <w:lvlJc w:val="left"/>
      <w:pPr>
        <w:ind w:left="1020" w:hanging="360"/>
      </w:pPr>
    </w:lvl>
    <w:lvl w:ilvl="8" w:tplc="AD34563A">
      <w:start w:val="1"/>
      <w:numFmt w:val="decimal"/>
      <w:lvlText w:val="%9)"/>
      <w:lvlJc w:val="left"/>
      <w:pPr>
        <w:ind w:left="1020" w:hanging="360"/>
      </w:pPr>
    </w:lvl>
  </w:abstractNum>
  <w:abstractNum w:abstractNumId="4" w15:restartNumberingAfterBreak="0">
    <w:nsid w:val="05BC3B2F"/>
    <w:multiLevelType w:val="hybridMultilevel"/>
    <w:tmpl w:val="81424234"/>
    <w:lvl w:ilvl="0" w:tplc="3F1EB766">
      <w:start w:val="1"/>
      <w:numFmt w:val="bullet"/>
      <w:lvlText w:val="•"/>
      <w:lvlJc w:val="left"/>
      <w:pPr>
        <w:tabs>
          <w:tab w:val="num" w:pos="720"/>
        </w:tabs>
        <w:ind w:left="720" w:hanging="360"/>
      </w:pPr>
      <w:rPr>
        <w:rFonts w:ascii="Arial" w:hAnsi="Arial" w:hint="default"/>
      </w:rPr>
    </w:lvl>
    <w:lvl w:ilvl="1" w:tplc="61E6247E">
      <w:numFmt w:val="bullet"/>
      <w:lvlText w:val="•"/>
      <w:lvlJc w:val="left"/>
      <w:pPr>
        <w:tabs>
          <w:tab w:val="num" w:pos="1440"/>
        </w:tabs>
        <w:ind w:left="1440" w:hanging="360"/>
      </w:pPr>
      <w:rPr>
        <w:rFonts w:ascii="Arial" w:hAnsi="Arial" w:hint="default"/>
      </w:rPr>
    </w:lvl>
    <w:lvl w:ilvl="2" w:tplc="6130E74A" w:tentative="1">
      <w:start w:val="1"/>
      <w:numFmt w:val="bullet"/>
      <w:lvlText w:val="•"/>
      <w:lvlJc w:val="left"/>
      <w:pPr>
        <w:tabs>
          <w:tab w:val="num" w:pos="2160"/>
        </w:tabs>
        <w:ind w:left="2160" w:hanging="360"/>
      </w:pPr>
      <w:rPr>
        <w:rFonts w:ascii="Arial" w:hAnsi="Arial" w:hint="default"/>
      </w:rPr>
    </w:lvl>
    <w:lvl w:ilvl="3" w:tplc="AE72BE6C" w:tentative="1">
      <w:start w:val="1"/>
      <w:numFmt w:val="bullet"/>
      <w:lvlText w:val="•"/>
      <w:lvlJc w:val="left"/>
      <w:pPr>
        <w:tabs>
          <w:tab w:val="num" w:pos="2880"/>
        </w:tabs>
        <w:ind w:left="2880" w:hanging="360"/>
      </w:pPr>
      <w:rPr>
        <w:rFonts w:ascii="Arial" w:hAnsi="Arial" w:hint="default"/>
      </w:rPr>
    </w:lvl>
    <w:lvl w:ilvl="4" w:tplc="D2F45780" w:tentative="1">
      <w:start w:val="1"/>
      <w:numFmt w:val="bullet"/>
      <w:lvlText w:val="•"/>
      <w:lvlJc w:val="left"/>
      <w:pPr>
        <w:tabs>
          <w:tab w:val="num" w:pos="3600"/>
        </w:tabs>
        <w:ind w:left="3600" w:hanging="360"/>
      </w:pPr>
      <w:rPr>
        <w:rFonts w:ascii="Arial" w:hAnsi="Arial" w:hint="default"/>
      </w:rPr>
    </w:lvl>
    <w:lvl w:ilvl="5" w:tplc="610A58DE" w:tentative="1">
      <w:start w:val="1"/>
      <w:numFmt w:val="bullet"/>
      <w:lvlText w:val="•"/>
      <w:lvlJc w:val="left"/>
      <w:pPr>
        <w:tabs>
          <w:tab w:val="num" w:pos="4320"/>
        </w:tabs>
        <w:ind w:left="4320" w:hanging="360"/>
      </w:pPr>
      <w:rPr>
        <w:rFonts w:ascii="Arial" w:hAnsi="Arial" w:hint="default"/>
      </w:rPr>
    </w:lvl>
    <w:lvl w:ilvl="6" w:tplc="9EFEE098" w:tentative="1">
      <w:start w:val="1"/>
      <w:numFmt w:val="bullet"/>
      <w:lvlText w:val="•"/>
      <w:lvlJc w:val="left"/>
      <w:pPr>
        <w:tabs>
          <w:tab w:val="num" w:pos="5040"/>
        </w:tabs>
        <w:ind w:left="5040" w:hanging="360"/>
      </w:pPr>
      <w:rPr>
        <w:rFonts w:ascii="Arial" w:hAnsi="Arial" w:hint="default"/>
      </w:rPr>
    </w:lvl>
    <w:lvl w:ilvl="7" w:tplc="E3B09628" w:tentative="1">
      <w:start w:val="1"/>
      <w:numFmt w:val="bullet"/>
      <w:lvlText w:val="•"/>
      <w:lvlJc w:val="left"/>
      <w:pPr>
        <w:tabs>
          <w:tab w:val="num" w:pos="5760"/>
        </w:tabs>
        <w:ind w:left="5760" w:hanging="360"/>
      </w:pPr>
      <w:rPr>
        <w:rFonts w:ascii="Arial" w:hAnsi="Arial" w:hint="default"/>
      </w:rPr>
    </w:lvl>
    <w:lvl w:ilvl="8" w:tplc="2676DE3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6260A41"/>
    <w:multiLevelType w:val="multilevel"/>
    <w:tmpl w:val="36F822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069C4327"/>
    <w:multiLevelType w:val="hybridMultilevel"/>
    <w:tmpl w:val="C866AAAC"/>
    <w:lvl w:ilvl="0" w:tplc="1974CCF6">
      <w:start w:val="1"/>
      <w:numFmt w:val="bullet"/>
      <w:lvlText w:val="•"/>
      <w:lvlJc w:val="left"/>
      <w:pPr>
        <w:tabs>
          <w:tab w:val="num" w:pos="720"/>
        </w:tabs>
        <w:ind w:left="720" w:hanging="360"/>
      </w:pPr>
      <w:rPr>
        <w:rFonts w:ascii="Arial" w:hAnsi="Arial" w:hint="default"/>
      </w:rPr>
    </w:lvl>
    <w:lvl w:ilvl="1" w:tplc="B3A08B86" w:tentative="1">
      <w:start w:val="1"/>
      <w:numFmt w:val="bullet"/>
      <w:lvlText w:val="•"/>
      <w:lvlJc w:val="left"/>
      <w:pPr>
        <w:tabs>
          <w:tab w:val="num" w:pos="1440"/>
        </w:tabs>
        <w:ind w:left="1440" w:hanging="360"/>
      </w:pPr>
      <w:rPr>
        <w:rFonts w:ascii="Arial" w:hAnsi="Arial" w:hint="default"/>
      </w:rPr>
    </w:lvl>
    <w:lvl w:ilvl="2" w:tplc="358C946A" w:tentative="1">
      <w:start w:val="1"/>
      <w:numFmt w:val="bullet"/>
      <w:lvlText w:val="•"/>
      <w:lvlJc w:val="left"/>
      <w:pPr>
        <w:tabs>
          <w:tab w:val="num" w:pos="2160"/>
        </w:tabs>
        <w:ind w:left="2160" w:hanging="360"/>
      </w:pPr>
      <w:rPr>
        <w:rFonts w:ascii="Arial" w:hAnsi="Arial" w:hint="default"/>
      </w:rPr>
    </w:lvl>
    <w:lvl w:ilvl="3" w:tplc="1C8A5FA8" w:tentative="1">
      <w:start w:val="1"/>
      <w:numFmt w:val="bullet"/>
      <w:lvlText w:val="•"/>
      <w:lvlJc w:val="left"/>
      <w:pPr>
        <w:tabs>
          <w:tab w:val="num" w:pos="2880"/>
        </w:tabs>
        <w:ind w:left="2880" w:hanging="360"/>
      </w:pPr>
      <w:rPr>
        <w:rFonts w:ascii="Arial" w:hAnsi="Arial" w:hint="default"/>
      </w:rPr>
    </w:lvl>
    <w:lvl w:ilvl="4" w:tplc="3CF01B2E" w:tentative="1">
      <w:start w:val="1"/>
      <w:numFmt w:val="bullet"/>
      <w:lvlText w:val="•"/>
      <w:lvlJc w:val="left"/>
      <w:pPr>
        <w:tabs>
          <w:tab w:val="num" w:pos="3600"/>
        </w:tabs>
        <w:ind w:left="3600" w:hanging="360"/>
      </w:pPr>
      <w:rPr>
        <w:rFonts w:ascii="Arial" w:hAnsi="Arial" w:hint="default"/>
      </w:rPr>
    </w:lvl>
    <w:lvl w:ilvl="5" w:tplc="F87EC2C6" w:tentative="1">
      <w:start w:val="1"/>
      <w:numFmt w:val="bullet"/>
      <w:lvlText w:val="•"/>
      <w:lvlJc w:val="left"/>
      <w:pPr>
        <w:tabs>
          <w:tab w:val="num" w:pos="4320"/>
        </w:tabs>
        <w:ind w:left="4320" w:hanging="360"/>
      </w:pPr>
      <w:rPr>
        <w:rFonts w:ascii="Arial" w:hAnsi="Arial" w:hint="default"/>
      </w:rPr>
    </w:lvl>
    <w:lvl w:ilvl="6" w:tplc="987C588C" w:tentative="1">
      <w:start w:val="1"/>
      <w:numFmt w:val="bullet"/>
      <w:lvlText w:val="•"/>
      <w:lvlJc w:val="left"/>
      <w:pPr>
        <w:tabs>
          <w:tab w:val="num" w:pos="5040"/>
        </w:tabs>
        <w:ind w:left="5040" w:hanging="360"/>
      </w:pPr>
      <w:rPr>
        <w:rFonts w:ascii="Arial" w:hAnsi="Arial" w:hint="default"/>
      </w:rPr>
    </w:lvl>
    <w:lvl w:ilvl="7" w:tplc="8440EDCC" w:tentative="1">
      <w:start w:val="1"/>
      <w:numFmt w:val="bullet"/>
      <w:lvlText w:val="•"/>
      <w:lvlJc w:val="left"/>
      <w:pPr>
        <w:tabs>
          <w:tab w:val="num" w:pos="5760"/>
        </w:tabs>
        <w:ind w:left="5760" w:hanging="360"/>
      </w:pPr>
      <w:rPr>
        <w:rFonts w:ascii="Arial" w:hAnsi="Arial" w:hint="default"/>
      </w:rPr>
    </w:lvl>
    <w:lvl w:ilvl="8" w:tplc="495E078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C374567"/>
    <w:multiLevelType w:val="hybridMultilevel"/>
    <w:tmpl w:val="7AF200B0"/>
    <w:lvl w:ilvl="0" w:tplc="BD72464A">
      <w:start w:val="1"/>
      <w:numFmt w:val="bullet"/>
      <w:lvlText w:val="•"/>
      <w:lvlJc w:val="left"/>
      <w:pPr>
        <w:tabs>
          <w:tab w:val="num" w:pos="720"/>
        </w:tabs>
        <w:ind w:left="720" w:hanging="360"/>
      </w:pPr>
      <w:rPr>
        <w:rFonts w:ascii="Arial" w:hAnsi="Arial" w:hint="default"/>
      </w:rPr>
    </w:lvl>
    <w:lvl w:ilvl="1" w:tplc="DFA44788">
      <w:numFmt w:val="bullet"/>
      <w:lvlText w:val="•"/>
      <w:lvlJc w:val="left"/>
      <w:pPr>
        <w:tabs>
          <w:tab w:val="num" w:pos="1440"/>
        </w:tabs>
        <w:ind w:left="1440" w:hanging="360"/>
      </w:pPr>
      <w:rPr>
        <w:rFonts w:ascii="Arial" w:hAnsi="Arial" w:hint="default"/>
      </w:rPr>
    </w:lvl>
    <w:lvl w:ilvl="2" w:tplc="A408658C">
      <w:numFmt w:val="bullet"/>
      <w:lvlText w:val="•"/>
      <w:lvlJc w:val="left"/>
      <w:pPr>
        <w:tabs>
          <w:tab w:val="num" w:pos="2160"/>
        </w:tabs>
        <w:ind w:left="2160" w:hanging="360"/>
      </w:pPr>
      <w:rPr>
        <w:rFonts w:ascii="Arial" w:hAnsi="Arial" w:hint="default"/>
      </w:rPr>
    </w:lvl>
    <w:lvl w:ilvl="3" w:tplc="48A40F30" w:tentative="1">
      <w:start w:val="1"/>
      <w:numFmt w:val="bullet"/>
      <w:lvlText w:val="•"/>
      <w:lvlJc w:val="left"/>
      <w:pPr>
        <w:tabs>
          <w:tab w:val="num" w:pos="2880"/>
        </w:tabs>
        <w:ind w:left="2880" w:hanging="360"/>
      </w:pPr>
      <w:rPr>
        <w:rFonts w:ascii="Arial" w:hAnsi="Arial" w:hint="default"/>
      </w:rPr>
    </w:lvl>
    <w:lvl w:ilvl="4" w:tplc="22DA5088" w:tentative="1">
      <w:start w:val="1"/>
      <w:numFmt w:val="bullet"/>
      <w:lvlText w:val="•"/>
      <w:lvlJc w:val="left"/>
      <w:pPr>
        <w:tabs>
          <w:tab w:val="num" w:pos="3600"/>
        </w:tabs>
        <w:ind w:left="3600" w:hanging="360"/>
      </w:pPr>
      <w:rPr>
        <w:rFonts w:ascii="Arial" w:hAnsi="Arial" w:hint="default"/>
      </w:rPr>
    </w:lvl>
    <w:lvl w:ilvl="5" w:tplc="E69A299C" w:tentative="1">
      <w:start w:val="1"/>
      <w:numFmt w:val="bullet"/>
      <w:lvlText w:val="•"/>
      <w:lvlJc w:val="left"/>
      <w:pPr>
        <w:tabs>
          <w:tab w:val="num" w:pos="4320"/>
        </w:tabs>
        <w:ind w:left="4320" w:hanging="360"/>
      </w:pPr>
      <w:rPr>
        <w:rFonts w:ascii="Arial" w:hAnsi="Arial" w:hint="default"/>
      </w:rPr>
    </w:lvl>
    <w:lvl w:ilvl="6" w:tplc="C008A0C6" w:tentative="1">
      <w:start w:val="1"/>
      <w:numFmt w:val="bullet"/>
      <w:lvlText w:val="•"/>
      <w:lvlJc w:val="left"/>
      <w:pPr>
        <w:tabs>
          <w:tab w:val="num" w:pos="5040"/>
        </w:tabs>
        <w:ind w:left="5040" w:hanging="360"/>
      </w:pPr>
      <w:rPr>
        <w:rFonts w:ascii="Arial" w:hAnsi="Arial" w:hint="default"/>
      </w:rPr>
    </w:lvl>
    <w:lvl w:ilvl="7" w:tplc="46E2DCC8" w:tentative="1">
      <w:start w:val="1"/>
      <w:numFmt w:val="bullet"/>
      <w:lvlText w:val="•"/>
      <w:lvlJc w:val="left"/>
      <w:pPr>
        <w:tabs>
          <w:tab w:val="num" w:pos="5760"/>
        </w:tabs>
        <w:ind w:left="5760" w:hanging="360"/>
      </w:pPr>
      <w:rPr>
        <w:rFonts w:ascii="Arial" w:hAnsi="Arial" w:hint="default"/>
      </w:rPr>
    </w:lvl>
    <w:lvl w:ilvl="8" w:tplc="71541AE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EEC15B5"/>
    <w:multiLevelType w:val="hybridMultilevel"/>
    <w:tmpl w:val="2314260E"/>
    <w:lvl w:ilvl="0" w:tplc="FFFFFFFF">
      <w:start w:val="1"/>
      <w:numFmt w:val="decimal"/>
      <w:lvlText w:val="%1."/>
      <w:lvlJc w:val="left"/>
      <w:pPr>
        <w:ind w:left="900" w:hanging="360"/>
      </w:pPr>
      <w:rPr>
        <w:rFonts w:hint="default"/>
        <w:color w:val="538135" w:themeColor="accent6" w:themeShade="BF"/>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FA38C1"/>
    <w:multiLevelType w:val="hybridMultilevel"/>
    <w:tmpl w:val="E1A4EF38"/>
    <w:lvl w:ilvl="0" w:tplc="FFFFFFFF">
      <w:start w:val="1"/>
      <w:numFmt w:val="decimal"/>
      <w:lvlText w:val="%1."/>
      <w:lvlJc w:val="left"/>
      <w:pPr>
        <w:ind w:left="900" w:hanging="360"/>
      </w:pPr>
      <w:rPr>
        <w:rFonts w:hint="default"/>
        <w:color w:val="538135" w:themeColor="accent6" w:themeShade="BF"/>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0A53072"/>
    <w:multiLevelType w:val="multilevel"/>
    <w:tmpl w:val="872AC44C"/>
    <w:lvl w:ilvl="0">
      <w:start w:val="1"/>
      <w:numFmt w:val="decimal"/>
      <w:pStyle w:val="Heading1"/>
      <w:lvlText w:val="%1"/>
      <w:lvlJc w:val="left"/>
      <w:pPr>
        <w:ind w:left="432" w:hanging="432"/>
      </w:pPr>
      <w:rPr>
        <w:b/>
        <w:bCs/>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i w:val="0"/>
        <w:iCs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1578575A"/>
    <w:multiLevelType w:val="hybridMultilevel"/>
    <w:tmpl w:val="228A5A80"/>
    <w:lvl w:ilvl="0" w:tplc="0128D6C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80244B"/>
    <w:multiLevelType w:val="hybridMultilevel"/>
    <w:tmpl w:val="A69EAABA"/>
    <w:lvl w:ilvl="0" w:tplc="62E6A314">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5F1234"/>
    <w:multiLevelType w:val="hybridMultilevel"/>
    <w:tmpl w:val="F1A8700A"/>
    <w:lvl w:ilvl="0" w:tplc="9D0EAE5C">
      <w:start w:val="1"/>
      <w:numFmt w:val="bullet"/>
      <w:lvlText w:val="•"/>
      <w:lvlJc w:val="left"/>
      <w:pPr>
        <w:tabs>
          <w:tab w:val="num" w:pos="720"/>
        </w:tabs>
        <w:ind w:left="720" w:hanging="360"/>
      </w:pPr>
      <w:rPr>
        <w:rFonts w:ascii="Arial" w:hAnsi="Arial" w:hint="default"/>
      </w:rPr>
    </w:lvl>
    <w:lvl w:ilvl="1" w:tplc="8DDCA244">
      <w:numFmt w:val="bullet"/>
      <w:lvlText w:val="•"/>
      <w:lvlJc w:val="left"/>
      <w:pPr>
        <w:tabs>
          <w:tab w:val="num" w:pos="1440"/>
        </w:tabs>
        <w:ind w:left="1440" w:hanging="360"/>
      </w:pPr>
      <w:rPr>
        <w:rFonts w:ascii="Arial" w:hAnsi="Arial" w:hint="default"/>
      </w:rPr>
    </w:lvl>
    <w:lvl w:ilvl="2" w:tplc="B01E18F0" w:tentative="1">
      <w:start w:val="1"/>
      <w:numFmt w:val="bullet"/>
      <w:lvlText w:val="•"/>
      <w:lvlJc w:val="left"/>
      <w:pPr>
        <w:tabs>
          <w:tab w:val="num" w:pos="2160"/>
        </w:tabs>
        <w:ind w:left="2160" w:hanging="360"/>
      </w:pPr>
      <w:rPr>
        <w:rFonts w:ascii="Arial" w:hAnsi="Arial" w:hint="default"/>
      </w:rPr>
    </w:lvl>
    <w:lvl w:ilvl="3" w:tplc="20A013EE" w:tentative="1">
      <w:start w:val="1"/>
      <w:numFmt w:val="bullet"/>
      <w:lvlText w:val="•"/>
      <w:lvlJc w:val="left"/>
      <w:pPr>
        <w:tabs>
          <w:tab w:val="num" w:pos="2880"/>
        </w:tabs>
        <w:ind w:left="2880" w:hanging="360"/>
      </w:pPr>
      <w:rPr>
        <w:rFonts w:ascii="Arial" w:hAnsi="Arial" w:hint="default"/>
      </w:rPr>
    </w:lvl>
    <w:lvl w:ilvl="4" w:tplc="F9D613A6" w:tentative="1">
      <w:start w:val="1"/>
      <w:numFmt w:val="bullet"/>
      <w:lvlText w:val="•"/>
      <w:lvlJc w:val="left"/>
      <w:pPr>
        <w:tabs>
          <w:tab w:val="num" w:pos="3600"/>
        </w:tabs>
        <w:ind w:left="3600" w:hanging="360"/>
      </w:pPr>
      <w:rPr>
        <w:rFonts w:ascii="Arial" w:hAnsi="Arial" w:hint="default"/>
      </w:rPr>
    </w:lvl>
    <w:lvl w:ilvl="5" w:tplc="07664216" w:tentative="1">
      <w:start w:val="1"/>
      <w:numFmt w:val="bullet"/>
      <w:lvlText w:val="•"/>
      <w:lvlJc w:val="left"/>
      <w:pPr>
        <w:tabs>
          <w:tab w:val="num" w:pos="4320"/>
        </w:tabs>
        <w:ind w:left="4320" w:hanging="360"/>
      </w:pPr>
      <w:rPr>
        <w:rFonts w:ascii="Arial" w:hAnsi="Arial" w:hint="default"/>
      </w:rPr>
    </w:lvl>
    <w:lvl w:ilvl="6" w:tplc="B9F80414" w:tentative="1">
      <w:start w:val="1"/>
      <w:numFmt w:val="bullet"/>
      <w:lvlText w:val="•"/>
      <w:lvlJc w:val="left"/>
      <w:pPr>
        <w:tabs>
          <w:tab w:val="num" w:pos="5040"/>
        </w:tabs>
        <w:ind w:left="5040" w:hanging="360"/>
      </w:pPr>
      <w:rPr>
        <w:rFonts w:ascii="Arial" w:hAnsi="Arial" w:hint="default"/>
      </w:rPr>
    </w:lvl>
    <w:lvl w:ilvl="7" w:tplc="F4F862FC" w:tentative="1">
      <w:start w:val="1"/>
      <w:numFmt w:val="bullet"/>
      <w:lvlText w:val="•"/>
      <w:lvlJc w:val="left"/>
      <w:pPr>
        <w:tabs>
          <w:tab w:val="num" w:pos="5760"/>
        </w:tabs>
        <w:ind w:left="5760" w:hanging="360"/>
      </w:pPr>
      <w:rPr>
        <w:rFonts w:ascii="Arial" w:hAnsi="Arial" w:hint="default"/>
      </w:rPr>
    </w:lvl>
    <w:lvl w:ilvl="8" w:tplc="BBD4574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54A3248"/>
    <w:multiLevelType w:val="hybridMultilevel"/>
    <w:tmpl w:val="74CC2E1C"/>
    <w:lvl w:ilvl="0" w:tplc="487A07B2">
      <w:start w:val="1"/>
      <w:numFmt w:val="bullet"/>
      <w:lvlText w:val="•"/>
      <w:lvlJc w:val="left"/>
      <w:pPr>
        <w:tabs>
          <w:tab w:val="num" w:pos="360"/>
        </w:tabs>
        <w:ind w:left="360" w:hanging="360"/>
      </w:pPr>
      <w:rPr>
        <w:rFonts w:ascii="Arial" w:hAnsi="Arial" w:hint="default"/>
      </w:rPr>
    </w:lvl>
    <w:lvl w:ilvl="1" w:tplc="754690AE">
      <w:numFmt w:val="bullet"/>
      <w:lvlText w:val=""/>
      <w:lvlJc w:val="left"/>
      <w:pPr>
        <w:tabs>
          <w:tab w:val="num" w:pos="1080"/>
        </w:tabs>
        <w:ind w:left="1080" w:hanging="360"/>
      </w:pPr>
      <w:rPr>
        <w:rFonts w:ascii="Wingdings" w:hAnsi="Wingdings" w:hint="default"/>
      </w:rPr>
    </w:lvl>
    <w:lvl w:ilvl="2" w:tplc="EE56FF60" w:tentative="1">
      <w:start w:val="1"/>
      <w:numFmt w:val="bullet"/>
      <w:lvlText w:val="•"/>
      <w:lvlJc w:val="left"/>
      <w:pPr>
        <w:tabs>
          <w:tab w:val="num" w:pos="1800"/>
        </w:tabs>
        <w:ind w:left="1800" w:hanging="360"/>
      </w:pPr>
      <w:rPr>
        <w:rFonts w:ascii="Arial" w:hAnsi="Arial" w:hint="default"/>
      </w:rPr>
    </w:lvl>
    <w:lvl w:ilvl="3" w:tplc="8F423A80" w:tentative="1">
      <w:start w:val="1"/>
      <w:numFmt w:val="bullet"/>
      <w:lvlText w:val="•"/>
      <w:lvlJc w:val="left"/>
      <w:pPr>
        <w:tabs>
          <w:tab w:val="num" w:pos="2520"/>
        </w:tabs>
        <w:ind w:left="2520" w:hanging="360"/>
      </w:pPr>
      <w:rPr>
        <w:rFonts w:ascii="Arial" w:hAnsi="Arial" w:hint="default"/>
      </w:rPr>
    </w:lvl>
    <w:lvl w:ilvl="4" w:tplc="C1E02FDE" w:tentative="1">
      <w:start w:val="1"/>
      <w:numFmt w:val="bullet"/>
      <w:lvlText w:val="•"/>
      <w:lvlJc w:val="left"/>
      <w:pPr>
        <w:tabs>
          <w:tab w:val="num" w:pos="3240"/>
        </w:tabs>
        <w:ind w:left="3240" w:hanging="360"/>
      </w:pPr>
      <w:rPr>
        <w:rFonts w:ascii="Arial" w:hAnsi="Arial" w:hint="default"/>
      </w:rPr>
    </w:lvl>
    <w:lvl w:ilvl="5" w:tplc="BA0288DA" w:tentative="1">
      <w:start w:val="1"/>
      <w:numFmt w:val="bullet"/>
      <w:lvlText w:val="•"/>
      <w:lvlJc w:val="left"/>
      <w:pPr>
        <w:tabs>
          <w:tab w:val="num" w:pos="3960"/>
        </w:tabs>
        <w:ind w:left="3960" w:hanging="360"/>
      </w:pPr>
      <w:rPr>
        <w:rFonts w:ascii="Arial" w:hAnsi="Arial" w:hint="default"/>
      </w:rPr>
    </w:lvl>
    <w:lvl w:ilvl="6" w:tplc="786C60C6" w:tentative="1">
      <w:start w:val="1"/>
      <w:numFmt w:val="bullet"/>
      <w:lvlText w:val="•"/>
      <w:lvlJc w:val="left"/>
      <w:pPr>
        <w:tabs>
          <w:tab w:val="num" w:pos="4680"/>
        </w:tabs>
        <w:ind w:left="4680" w:hanging="360"/>
      </w:pPr>
      <w:rPr>
        <w:rFonts w:ascii="Arial" w:hAnsi="Arial" w:hint="default"/>
      </w:rPr>
    </w:lvl>
    <w:lvl w:ilvl="7" w:tplc="258CADE8" w:tentative="1">
      <w:start w:val="1"/>
      <w:numFmt w:val="bullet"/>
      <w:lvlText w:val="•"/>
      <w:lvlJc w:val="left"/>
      <w:pPr>
        <w:tabs>
          <w:tab w:val="num" w:pos="5400"/>
        </w:tabs>
        <w:ind w:left="5400" w:hanging="360"/>
      </w:pPr>
      <w:rPr>
        <w:rFonts w:ascii="Arial" w:hAnsi="Arial" w:hint="default"/>
      </w:rPr>
    </w:lvl>
    <w:lvl w:ilvl="8" w:tplc="45BE0C56"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26391A5A"/>
    <w:multiLevelType w:val="hybridMultilevel"/>
    <w:tmpl w:val="2CAA03EE"/>
    <w:lvl w:ilvl="0" w:tplc="04090001">
      <w:start w:val="1"/>
      <w:numFmt w:val="bullet"/>
      <w:lvlText w:val=""/>
      <w:lvlJc w:val="left"/>
      <w:pPr>
        <w:ind w:left="720" w:hanging="360"/>
      </w:pPr>
      <w:rPr>
        <w:rFonts w:ascii="Symbol" w:hAnsi="Symbol" w:hint="default"/>
      </w:rPr>
    </w:lvl>
    <w:lvl w:ilvl="1" w:tplc="2BFE21D8">
      <w:numFmt w:val="bullet"/>
      <w:lvlText w:val="-"/>
      <w:lvlJc w:val="left"/>
      <w:pPr>
        <w:ind w:left="1605" w:hanging="525"/>
      </w:pPr>
      <w:rPr>
        <w:rFonts w:ascii="Segoe UI" w:eastAsiaTheme="minorEastAsia" w:hAnsi="Segoe UI" w:cs="Segoe U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992593"/>
    <w:multiLevelType w:val="hybridMultilevel"/>
    <w:tmpl w:val="3C6ECD78"/>
    <w:lvl w:ilvl="0" w:tplc="FFFFFFFF">
      <w:start w:val="1"/>
      <w:numFmt w:val="decimal"/>
      <w:lvlText w:val="%1."/>
      <w:lvlJc w:val="left"/>
      <w:pPr>
        <w:ind w:left="900" w:hanging="360"/>
      </w:pPr>
      <w:rPr>
        <w:rFonts w:hint="default"/>
        <w:color w:val="00B0F0"/>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E03018F"/>
    <w:multiLevelType w:val="hybridMultilevel"/>
    <w:tmpl w:val="72C44524"/>
    <w:lvl w:ilvl="0" w:tplc="0D328114">
      <w:start w:val="1"/>
      <w:numFmt w:val="bullet"/>
      <w:lvlText w:val=""/>
      <w:lvlJc w:val="left"/>
      <w:pPr>
        <w:ind w:left="720" w:hanging="360"/>
      </w:pPr>
      <w:rPr>
        <w:rFonts w:ascii="Symbol" w:hAnsi="Symbol" w:hint="default"/>
      </w:rPr>
    </w:lvl>
    <w:lvl w:ilvl="1" w:tplc="560C9DC2">
      <w:start w:val="1"/>
      <w:numFmt w:val="bullet"/>
      <w:lvlText w:val="o"/>
      <w:lvlJc w:val="left"/>
      <w:pPr>
        <w:ind w:left="1440" w:hanging="360"/>
      </w:pPr>
      <w:rPr>
        <w:rFonts w:ascii="Courier New" w:hAnsi="Courier New" w:hint="default"/>
      </w:rPr>
    </w:lvl>
    <w:lvl w:ilvl="2" w:tplc="A552B564">
      <w:start w:val="1"/>
      <w:numFmt w:val="bullet"/>
      <w:lvlText w:val=""/>
      <w:lvlJc w:val="left"/>
      <w:pPr>
        <w:ind w:left="2160" w:hanging="360"/>
      </w:pPr>
      <w:rPr>
        <w:rFonts w:ascii="Wingdings" w:hAnsi="Wingdings" w:hint="default"/>
      </w:rPr>
    </w:lvl>
    <w:lvl w:ilvl="3" w:tplc="2D348320">
      <w:start w:val="1"/>
      <w:numFmt w:val="bullet"/>
      <w:lvlText w:val=""/>
      <w:lvlJc w:val="left"/>
      <w:pPr>
        <w:ind w:left="2880" w:hanging="360"/>
      </w:pPr>
      <w:rPr>
        <w:rFonts w:ascii="Symbol" w:hAnsi="Symbol" w:hint="default"/>
      </w:rPr>
    </w:lvl>
    <w:lvl w:ilvl="4" w:tplc="FE884D4E">
      <w:start w:val="1"/>
      <w:numFmt w:val="bullet"/>
      <w:lvlText w:val="o"/>
      <w:lvlJc w:val="left"/>
      <w:pPr>
        <w:ind w:left="3600" w:hanging="360"/>
      </w:pPr>
      <w:rPr>
        <w:rFonts w:ascii="Courier New" w:hAnsi="Courier New" w:hint="default"/>
      </w:rPr>
    </w:lvl>
    <w:lvl w:ilvl="5" w:tplc="1B1EAC78">
      <w:start w:val="1"/>
      <w:numFmt w:val="bullet"/>
      <w:lvlText w:val=""/>
      <w:lvlJc w:val="left"/>
      <w:pPr>
        <w:ind w:left="4320" w:hanging="360"/>
      </w:pPr>
      <w:rPr>
        <w:rFonts w:ascii="Wingdings" w:hAnsi="Wingdings" w:hint="default"/>
      </w:rPr>
    </w:lvl>
    <w:lvl w:ilvl="6" w:tplc="2676E22C">
      <w:start w:val="1"/>
      <w:numFmt w:val="bullet"/>
      <w:lvlText w:val=""/>
      <w:lvlJc w:val="left"/>
      <w:pPr>
        <w:ind w:left="5040" w:hanging="360"/>
      </w:pPr>
      <w:rPr>
        <w:rFonts w:ascii="Symbol" w:hAnsi="Symbol" w:hint="default"/>
      </w:rPr>
    </w:lvl>
    <w:lvl w:ilvl="7" w:tplc="6402FC24">
      <w:start w:val="1"/>
      <w:numFmt w:val="bullet"/>
      <w:lvlText w:val="o"/>
      <w:lvlJc w:val="left"/>
      <w:pPr>
        <w:ind w:left="5760" w:hanging="360"/>
      </w:pPr>
      <w:rPr>
        <w:rFonts w:ascii="Courier New" w:hAnsi="Courier New" w:hint="default"/>
      </w:rPr>
    </w:lvl>
    <w:lvl w:ilvl="8" w:tplc="89D64970">
      <w:start w:val="1"/>
      <w:numFmt w:val="bullet"/>
      <w:lvlText w:val=""/>
      <w:lvlJc w:val="left"/>
      <w:pPr>
        <w:ind w:left="6480" w:hanging="360"/>
      </w:pPr>
      <w:rPr>
        <w:rFonts w:ascii="Wingdings" w:hAnsi="Wingdings" w:hint="default"/>
      </w:rPr>
    </w:lvl>
  </w:abstractNum>
  <w:abstractNum w:abstractNumId="18" w15:restartNumberingAfterBreak="0">
    <w:nsid w:val="2E996243"/>
    <w:multiLevelType w:val="hybridMultilevel"/>
    <w:tmpl w:val="5ACE24DE"/>
    <w:lvl w:ilvl="0" w:tplc="FFFFFFFF">
      <w:start w:val="1"/>
      <w:numFmt w:val="decimal"/>
      <w:lvlText w:val="%1."/>
      <w:lvlJc w:val="left"/>
      <w:pPr>
        <w:ind w:left="900" w:hanging="360"/>
      </w:pPr>
      <w:rPr>
        <w:rFonts w:hint="default"/>
        <w:color w:val="00B0F0"/>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5D40DD"/>
    <w:multiLevelType w:val="hybridMultilevel"/>
    <w:tmpl w:val="2368B418"/>
    <w:lvl w:ilvl="0" w:tplc="7F4E40E2">
      <w:start w:val="1"/>
      <w:numFmt w:val="bullet"/>
      <w:lvlText w:val="•"/>
      <w:lvlJc w:val="left"/>
      <w:pPr>
        <w:tabs>
          <w:tab w:val="num" w:pos="720"/>
        </w:tabs>
        <w:ind w:left="720" w:hanging="360"/>
      </w:pPr>
      <w:rPr>
        <w:rFonts w:ascii="Arial" w:hAnsi="Arial" w:hint="default"/>
      </w:rPr>
    </w:lvl>
    <w:lvl w:ilvl="1" w:tplc="970C44AC">
      <w:start w:val="1"/>
      <w:numFmt w:val="bullet"/>
      <w:lvlText w:val="•"/>
      <w:lvlJc w:val="left"/>
      <w:pPr>
        <w:tabs>
          <w:tab w:val="num" w:pos="1440"/>
        </w:tabs>
        <w:ind w:left="1440" w:hanging="360"/>
      </w:pPr>
      <w:rPr>
        <w:rFonts w:ascii="Arial" w:hAnsi="Arial" w:hint="default"/>
      </w:rPr>
    </w:lvl>
    <w:lvl w:ilvl="2" w:tplc="D132F7F4" w:tentative="1">
      <w:start w:val="1"/>
      <w:numFmt w:val="bullet"/>
      <w:lvlText w:val="•"/>
      <w:lvlJc w:val="left"/>
      <w:pPr>
        <w:tabs>
          <w:tab w:val="num" w:pos="2160"/>
        </w:tabs>
        <w:ind w:left="2160" w:hanging="360"/>
      </w:pPr>
      <w:rPr>
        <w:rFonts w:ascii="Arial" w:hAnsi="Arial" w:hint="default"/>
      </w:rPr>
    </w:lvl>
    <w:lvl w:ilvl="3" w:tplc="104CADC0" w:tentative="1">
      <w:start w:val="1"/>
      <w:numFmt w:val="bullet"/>
      <w:lvlText w:val="•"/>
      <w:lvlJc w:val="left"/>
      <w:pPr>
        <w:tabs>
          <w:tab w:val="num" w:pos="2880"/>
        </w:tabs>
        <w:ind w:left="2880" w:hanging="360"/>
      </w:pPr>
      <w:rPr>
        <w:rFonts w:ascii="Arial" w:hAnsi="Arial" w:hint="default"/>
      </w:rPr>
    </w:lvl>
    <w:lvl w:ilvl="4" w:tplc="28EEA442" w:tentative="1">
      <w:start w:val="1"/>
      <w:numFmt w:val="bullet"/>
      <w:lvlText w:val="•"/>
      <w:lvlJc w:val="left"/>
      <w:pPr>
        <w:tabs>
          <w:tab w:val="num" w:pos="3600"/>
        </w:tabs>
        <w:ind w:left="3600" w:hanging="360"/>
      </w:pPr>
      <w:rPr>
        <w:rFonts w:ascii="Arial" w:hAnsi="Arial" w:hint="default"/>
      </w:rPr>
    </w:lvl>
    <w:lvl w:ilvl="5" w:tplc="1FE01B90" w:tentative="1">
      <w:start w:val="1"/>
      <w:numFmt w:val="bullet"/>
      <w:lvlText w:val="•"/>
      <w:lvlJc w:val="left"/>
      <w:pPr>
        <w:tabs>
          <w:tab w:val="num" w:pos="4320"/>
        </w:tabs>
        <w:ind w:left="4320" w:hanging="360"/>
      </w:pPr>
      <w:rPr>
        <w:rFonts w:ascii="Arial" w:hAnsi="Arial" w:hint="default"/>
      </w:rPr>
    </w:lvl>
    <w:lvl w:ilvl="6" w:tplc="C0342000" w:tentative="1">
      <w:start w:val="1"/>
      <w:numFmt w:val="bullet"/>
      <w:lvlText w:val="•"/>
      <w:lvlJc w:val="left"/>
      <w:pPr>
        <w:tabs>
          <w:tab w:val="num" w:pos="5040"/>
        </w:tabs>
        <w:ind w:left="5040" w:hanging="360"/>
      </w:pPr>
      <w:rPr>
        <w:rFonts w:ascii="Arial" w:hAnsi="Arial" w:hint="default"/>
      </w:rPr>
    </w:lvl>
    <w:lvl w:ilvl="7" w:tplc="123CDEF6" w:tentative="1">
      <w:start w:val="1"/>
      <w:numFmt w:val="bullet"/>
      <w:lvlText w:val="•"/>
      <w:lvlJc w:val="left"/>
      <w:pPr>
        <w:tabs>
          <w:tab w:val="num" w:pos="5760"/>
        </w:tabs>
        <w:ind w:left="5760" w:hanging="360"/>
      </w:pPr>
      <w:rPr>
        <w:rFonts w:ascii="Arial" w:hAnsi="Arial" w:hint="default"/>
      </w:rPr>
    </w:lvl>
    <w:lvl w:ilvl="8" w:tplc="2D2AF50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6BB69A0"/>
    <w:multiLevelType w:val="hybridMultilevel"/>
    <w:tmpl w:val="E800E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8C11E2"/>
    <w:multiLevelType w:val="hybridMultilevel"/>
    <w:tmpl w:val="B9FCA29C"/>
    <w:lvl w:ilvl="0" w:tplc="FFFFFFFF">
      <w:start w:val="1"/>
      <w:numFmt w:val="decimal"/>
      <w:lvlText w:val="%1."/>
      <w:lvlJc w:val="left"/>
      <w:pPr>
        <w:ind w:left="900" w:hanging="360"/>
      </w:pPr>
      <w:rPr>
        <w:rFonts w:hint="default"/>
        <w:color w:val="538135" w:themeColor="accent6" w:themeShade="BF"/>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B6B38C3"/>
    <w:multiLevelType w:val="hybridMultilevel"/>
    <w:tmpl w:val="1E586410"/>
    <w:lvl w:ilvl="0" w:tplc="04090001">
      <w:start w:val="1"/>
      <w:numFmt w:val="bullet"/>
      <w:lvlText w:val=""/>
      <w:lvlJc w:val="left"/>
      <w:pPr>
        <w:ind w:left="697" w:hanging="360"/>
      </w:pPr>
      <w:rPr>
        <w:rFonts w:ascii="Symbol" w:hAnsi="Symbol" w:hint="default"/>
      </w:rPr>
    </w:lvl>
    <w:lvl w:ilvl="1" w:tplc="04090003" w:tentative="1">
      <w:start w:val="1"/>
      <w:numFmt w:val="bullet"/>
      <w:lvlText w:val="o"/>
      <w:lvlJc w:val="left"/>
      <w:pPr>
        <w:ind w:left="1417" w:hanging="360"/>
      </w:pPr>
      <w:rPr>
        <w:rFonts w:ascii="Courier New" w:hAnsi="Courier New" w:cs="Courier New" w:hint="default"/>
      </w:rPr>
    </w:lvl>
    <w:lvl w:ilvl="2" w:tplc="04090005" w:tentative="1">
      <w:start w:val="1"/>
      <w:numFmt w:val="bullet"/>
      <w:lvlText w:val=""/>
      <w:lvlJc w:val="left"/>
      <w:pPr>
        <w:ind w:left="2137" w:hanging="360"/>
      </w:pPr>
      <w:rPr>
        <w:rFonts w:ascii="Wingdings" w:hAnsi="Wingdings" w:hint="default"/>
      </w:rPr>
    </w:lvl>
    <w:lvl w:ilvl="3" w:tplc="04090001" w:tentative="1">
      <w:start w:val="1"/>
      <w:numFmt w:val="bullet"/>
      <w:lvlText w:val=""/>
      <w:lvlJc w:val="left"/>
      <w:pPr>
        <w:ind w:left="2857" w:hanging="360"/>
      </w:pPr>
      <w:rPr>
        <w:rFonts w:ascii="Symbol" w:hAnsi="Symbol" w:hint="default"/>
      </w:rPr>
    </w:lvl>
    <w:lvl w:ilvl="4" w:tplc="04090003" w:tentative="1">
      <w:start w:val="1"/>
      <w:numFmt w:val="bullet"/>
      <w:lvlText w:val="o"/>
      <w:lvlJc w:val="left"/>
      <w:pPr>
        <w:ind w:left="3577" w:hanging="360"/>
      </w:pPr>
      <w:rPr>
        <w:rFonts w:ascii="Courier New" w:hAnsi="Courier New" w:cs="Courier New" w:hint="default"/>
      </w:rPr>
    </w:lvl>
    <w:lvl w:ilvl="5" w:tplc="04090005" w:tentative="1">
      <w:start w:val="1"/>
      <w:numFmt w:val="bullet"/>
      <w:lvlText w:val=""/>
      <w:lvlJc w:val="left"/>
      <w:pPr>
        <w:ind w:left="4297" w:hanging="360"/>
      </w:pPr>
      <w:rPr>
        <w:rFonts w:ascii="Wingdings" w:hAnsi="Wingdings" w:hint="default"/>
      </w:rPr>
    </w:lvl>
    <w:lvl w:ilvl="6" w:tplc="04090001" w:tentative="1">
      <w:start w:val="1"/>
      <w:numFmt w:val="bullet"/>
      <w:lvlText w:val=""/>
      <w:lvlJc w:val="left"/>
      <w:pPr>
        <w:ind w:left="5017" w:hanging="360"/>
      </w:pPr>
      <w:rPr>
        <w:rFonts w:ascii="Symbol" w:hAnsi="Symbol" w:hint="default"/>
      </w:rPr>
    </w:lvl>
    <w:lvl w:ilvl="7" w:tplc="04090003" w:tentative="1">
      <w:start w:val="1"/>
      <w:numFmt w:val="bullet"/>
      <w:lvlText w:val="o"/>
      <w:lvlJc w:val="left"/>
      <w:pPr>
        <w:ind w:left="5737" w:hanging="360"/>
      </w:pPr>
      <w:rPr>
        <w:rFonts w:ascii="Courier New" w:hAnsi="Courier New" w:cs="Courier New" w:hint="default"/>
      </w:rPr>
    </w:lvl>
    <w:lvl w:ilvl="8" w:tplc="04090005" w:tentative="1">
      <w:start w:val="1"/>
      <w:numFmt w:val="bullet"/>
      <w:lvlText w:val=""/>
      <w:lvlJc w:val="left"/>
      <w:pPr>
        <w:ind w:left="6457" w:hanging="360"/>
      </w:pPr>
      <w:rPr>
        <w:rFonts w:ascii="Wingdings" w:hAnsi="Wingdings" w:hint="default"/>
      </w:rPr>
    </w:lvl>
  </w:abstractNum>
  <w:abstractNum w:abstractNumId="23" w15:restartNumberingAfterBreak="0">
    <w:nsid w:val="419B1572"/>
    <w:multiLevelType w:val="hybridMultilevel"/>
    <w:tmpl w:val="BB846390"/>
    <w:lvl w:ilvl="0" w:tplc="FA2646F4">
      <w:start w:val="1"/>
      <w:numFmt w:val="bullet"/>
      <w:lvlText w:val="•"/>
      <w:lvlJc w:val="left"/>
      <w:pPr>
        <w:tabs>
          <w:tab w:val="num" w:pos="720"/>
        </w:tabs>
        <w:ind w:left="720" w:hanging="360"/>
      </w:pPr>
      <w:rPr>
        <w:rFonts w:ascii="Arial" w:hAnsi="Arial" w:hint="default"/>
      </w:rPr>
    </w:lvl>
    <w:lvl w:ilvl="1" w:tplc="5C0460C0">
      <w:start w:val="1"/>
      <w:numFmt w:val="bullet"/>
      <w:lvlText w:val="•"/>
      <w:lvlJc w:val="left"/>
      <w:pPr>
        <w:tabs>
          <w:tab w:val="num" w:pos="1440"/>
        </w:tabs>
        <w:ind w:left="1440" w:hanging="360"/>
      </w:pPr>
      <w:rPr>
        <w:rFonts w:ascii="Arial" w:hAnsi="Arial" w:hint="default"/>
      </w:rPr>
    </w:lvl>
    <w:lvl w:ilvl="2" w:tplc="37BA46F0" w:tentative="1">
      <w:start w:val="1"/>
      <w:numFmt w:val="bullet"/>
      <w:lvlText w:val="•"/>
      <w:lvlJc w:val="left"/>
      <w:pPr>
        <w:tabs>
          <w:tab w:val="num" w:pos="2160"/>
        </w:tabs>
        <w:ind w:left="2160" w:hanging="360"/>
      </w:pPr>
      <w:rPr>
        <w:rFonts w:ascii="Arial" w:hAnsi="Arial" w:hint="default"/>
      </w:rPr>
    </w:lvl>
    <w:lvl w:ilvl="3" w:tplc="BCD26B2A" w:tentative="1">
      <w:start w:val="1"/>
      <w:numFmt w:val="bullet"/>
      <w:lvlText w:val="•"/>
      <w:lvlJc w:val="left"/>
      <w:pPr>
        <w:tabs>
          <w:tab w:val="num" w:pos="2880"/>
        </w:tabs>
        <w:ind w:left="2880" w:hanging="360"/>
      </w:pPr>
      <w:rPr>
        <w:rFonts w:ascii="Arial" w:hAnsi="Arial" w:hint="default"/>
      </w:rPr>
    </w:lvl>
    <w:lvl w:ilvl="4" w:tplc="8EB2C1E0" w:tentative="1">
      <w:start w:val="1"/>
      <w:numFmt w:val="bullet"/>
      <w:lvlText w:val="•"/>
      <w:lvlJc w:val="left"/>
      <w:pPr>
        <w:tabs>
          <w:tab w:val="num" w:pos="3600"/>
        </w:tabs>
        <w:ind w:left="3600" w:hanging="360"/>
      </w:pPr>
      <w:rPr>
        <w:rFonts w:ascii="Arial" w:hAnsi="Arial" w:hint="default"/>
      </w:rPr>
    </w:lvl>
    <w:lvl w:ilvl="5" w:tplc="4B460A68" w:tentative="1">
      <w:start w:val="1"/>
      <w:numFmt w:val="bullet"/>
      <w:lvlText w:val="•"/>
      <w:lvlJc w:val="left"/>
      <w:pPr>
        <w:tabs>
          <w:tab w:val="num" w:pos="4320"/>
        </w:tabs>
        <w:ind w:left="4320" w:hanging="360"/>
      </w:pPr>
      <w:rPr>
        <w:rFonts w:ascii="Arial" w:hAnsi="Arial" w:hint="default"/>
      </w:rPr>
    </w:lvl>
    <w:lvl w:ilvl="6" w:tplc="8ED285FE" w:tentative="1">
      <w:start w:val="1"/>
      <w:numFmt w:val="bullet"/>
      <w:lvlText w:val="•"/>
      <w:lvlJc w:val="left"/>
      <w:pPr>
        <w:tabs>
          <w:tab w:val="num" w:pos="5040"/>
        </w:tabs>
        <w:ind w:left="5040" w:hanging="360"/>
      </w:pPr>
      <w:rPr>
        <w:rFonts w:ascii="Arial" w:hAnsi="Arial" w:hint="default"/>
      </w:rPr>
    </w:lvl>
    <w:lvl w:ilvl="7" w:tplc="EB0EF4F8" w:tentative="1">
      <w:start w:val="1"/>
      <w:numFmt w:val="bullet"/>
      <w:lvlText w:val="•"/>
      <w:lvlJc w:val="left"/>
      <w:pPr>
        <w:tabs>
          <w:tab w:val="num" w:pos="5760"/>
        </w:tabs>
        <w:ind w:left="5760" w:hanging="360"/>
      </w:pPr>
      <w:rPr>
        <w:rFonts w:ascii="Arial" w:hAnsi="Arial" w:hint="default"/>
      </w:rPr>
    </w:lvl>
    <w:lvl w:ilvl="8" w:tplc="6E6C9B1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3846A50"/>
    <w:multiLevelType w:val="hybridMultilevel"/>
    <w:tmpl w:val="B3CC47F2"/>
    <w:lvl w:ilvl="0" w:tplc="914A62BA">
      <w:start w:val="1"/>
      <w:numFmt w:val="bullet"/>
      <w:lvlText w:val="•"/>
      <w:lvlJc w:val="left"/>
      <w:pPr>
        <w:tabs>
          <w:tab w:val="num" w:pos="720"/>
        </w:tabs>
        <w:ind w:left="720" w:hanging="360"/>
      </w:pPr>
      <w:rPr>
        <w:rFonts w:ascii="Arial" w:hAnsi="Arial" w:hint="default"/>
      </w:rPr>
    </w:lvl>
    <w:lvl w:ilvl="1" w:tplc="FB905844">
      <w:start w:val="1"/>
      <w:numFmt w:val="bullet"/>
      <w:lvlText w:val="•"/>
      <w:lvlJc w:val="left"/>
      <w:pPr>
        <w:tabs>
          <w:tab w:val="num" w:pos="1440"/>
        </w:tabs>
        <w:ind w:left="1440" w:hanging="360"/>
      </w:pPr>
      <w:rPr>
        <w:rFonts w:ascii="Arial" w:hAnsi="Arial" w:hint="default"/>
      </w:rPr>
    </w:lvl>
    <w:lvl w:ilvl="2" w:tplc="87E4AF6A" w:tentative="1">
      <w:start w:val="1"/>
      <w:numFmt w:val="bullet"/>
      <w:lvlText w:val="•"/>
      <w:lvlJc w:val="left"/>
      <w:pPr>
        <w:tabs>
          <w:tab w:val="num" w:pos="2160"/>
        </w:tabs>
        <w:ind w:left="2160" w:hanging="360"/>
      </w:pPr>
      <w:rPr>
        <w:rFonts w:ascii="Arial" w:hAnsi="Arial" w:hint="default"/>
      </w:rPr>
    </w:lvl>
    <w:lvl w:ilvl="3" w:tplc="FEDE1E24" w:tentative="1">
      <w:start w:val="1"/>
      <w:numFmt w:val="bullet"/>
      <w:lvlText w:val="•"/>
      <w:lvlJc w:val="left"/>
      <w:pPr>
        <w:tabs>
          <w:tab w:val="num" w:pos="2880"/>
        </w:tabs>
        <w:ind w:left="2880" w:hanging="360"/>
      </w:pPr>
      <w:rPr>
        <w:rFonts w:ascii="Arial" w:hAnsi="Arial" w:hint="default"/>
      </w:rPr>
    </w:lvl>
    <w:lvl w:ilvl="4" w:tplc="9A7CFFEE" w:tentative="1">
      <w:start w:val="1"/>
      <w:numFmt w:val="bullet"/>
      <w:lvlText w:val="•"/>
      <w:lvlJc w:val="left"/>
      <w:pPr>
        <w:tabs>
          <w:tab w:val="num" w:pos="3600"/>
        </w:tabs>
        <w:ind w:left="3600" w:hanging="360"/>
      </w:pPr>
      <w:rPr>
        <w:rFonts w:ascii="Arial" w:hAnsi="Arial" w:hint="default"/>
      </w:rPr>
    </w:lvl>
    <w:lvl w:ilvl="5" w:tplc="D8D85A28" w:tentative="1">
      <w:start w:val="1"/>
      <w:numFmt w:val="bullet"/>
      <w:lvlText w:val="•"/>
      <w:lvlJc w:val="left"/>
      <w:pPr>
        <w:tabs>
          <w:tab w:val="num" w:pos="4320"/>
        </w:tabs>
        <w:ind w:left="4320" w:hanging="360"/>
      </w:pPr>
      <w:rPr>
        <w:rFonts w:ascii="Arial" w:hAnsi="Arial" w:hint="default"/>
      </w:rPr>
    </w:lvl>
    <w:lvl w:ilvl="6" w:tplc="3F143FCC" w:tentative="1">
      <w:start w:val="1"/>
      <w:numFmt w:val="bullet"/>
      <w:lvlText w:val="•"/>
      <w:lvlJc w:val="left"/>
      <w:pPr>
        <w:tabs>
          <w:tab w:val="num" w:pos="5040"/>
        </w:tabs>
        <w:ind w:left="5040" w:hanging="360"/>
      </w:pPr>
      <w:rPr>
        <w:rFonts w:ascii="Arial" w:hAnsi="Arial" w:hint="default"/>
      </w:rPr>
    </w:lvl>
    <w:lvl w:ilvl="7" w:tplc="F69A29F6" w:tentative="1">
      <w:start w:val="1"/>
      <w:numFmt w:val="bullet"/>
      <w:lvlText w:val="•"/>
      <w:lvlJc w:val="left"/>
      <w:pPr>
        <w:tabs>
          <w:tab w:val="num" w:pos="5760"/>
        </w:tabs>
        <w:ind w:left="5760" w:hanging="360"/>
      </w:pPr>
      <w:rPr>
        <w:rFonts w:ascii="Arial" w:hAnsi="Arial" w:hint="default"/>
      </w:rPr>
    </w:lvl>
    <w:lvl w:ilvl="8" w:tplc="3890800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FDE3A1B"/>
    <w:multiLevelType w:val="hybridMultilevel"/>
    <w:tmpl w:val="BB88F88C"/>
    <w:lvl w:ilvl="0" w:tplc="B00AF776">
      <w:start w:val="1"/>
      <w:numFmt w:val="bullet"/>
      <w:lvlText w:val="•"/>
      <w:lvlJc w:val="left"/>
      <w:pPr>
        <w:tabs>
          <w:tab w:val="num" w:pos="720"/>
        </w:tabs>
        <w:ind w:left="720" w:hanging="360"/>
      </w:pPr>
      <w:rPr>
        <w:rFonts w:ascii="Arial" w:hAnsi="Arial" w:hint="default"/>
      </w:rPr>
    </w:lvl>
    <w:lvl w:ilvl="1" w:tplc="FF46CFE2">
      <w:start w:val="1"/>
      <w:numFmt w:val="bullet"/>
      <w:lvlText w:val="•"/>
      <w:lvlJc w:val="left"/>
      <w:pPr>
        <w:tabs>
          <w:tab w:val="num" w:pos="1440"/>
        </w:tabs>
        <w:ind w:left="1440" w:hanging="360"/>
      </w:pPr>
      <w:rPr>
        <w:rFonts w:ascii="Arial" w:hAnsi="Arial" w:hint="default"/>
      </w:rPr>
    </w:lvl>
    <w:lvl w:ilvl="2" w:tplc="87BA5C3A" w:tentative="1">
      <w:start w:val="1"/>
      <w:numFmt w:val="bullet"/>
      <w:lvlText w:val="•"/>
      <w:lvlJc w:val="left"/>
      <w:pPr>
        <w:tabs>
          <w:tab w:val="num" w:pos="2160"/>
        </w:tabs>
        <w:ind w:left="2160" w:hanging="360"/>
      </w:pPr>
      <w:rPr>
        <w:rFonts w:ascii="Arial" w:hAnsi="Arial" w:hint="default"/>
      </w:rPr>
    </w:lvl>
    <w:lvl w:ilvl="3" w:tplc="B532B05E" w:tentative="1">
      <w:start w:val="1"/>
      <w:numFmt w:val="bullet"/>
      <w:lvlText w:val="•"/>
      <w:lvlJc w:val="left"/>
      <w:pPr>
        <w:tabs>
          <w:tab w:val="num" w:pos="2880"/>
        </w:tabs>
        <w:ind w:left="2880" w:hanging="360"/>
      </w:pPr>
      <w:rPr>
        <w:rFonts w:ascii="Arial" w:hAnsi="Arial" w:hint="default"/>
      </w:rPr>
    </w:lvl>
    <w:lvl w:ilvl="4" w:tplc="86AAB6CA" w:tentative="1">
      <w:start w:val="1"/>
      <w:numFmt w:val="bullet"/>
      <w:lvlText w:val="•"/>
      <w:lvlJc w:val="left"/>
      <w:pPr>
        <w:tabs>
          <w:tab w:val="num" w:pos="3600"/>
        </w:tabs>
        <w:ind w:left="3600" w:hanging="360"/>
      </w:pPr>
      <w:rPr>
        <w:rFonts w:ascii="Arial" w:hAnsi="Arial" w:hint="default"/>
      </w:rPr>
    </w:lvl>
    <w:lvl w:ilvl="5" w:tplc="E6BAF00A" w:tentative="1">
      <w:start w:val="1"/>
      <w:numFmt w:val="bullet"/>
      <w:lvlText w:val="•"/>
      <w:lvlJc w:val="left"/>
      <w:pPr>
        <w:tabs>
          <w:tab w:val="num" w:pos="4320"/>
        </w:tabs>
        <w:ind w:left="4320" w:hanging="360"/>
      </w:pPr>
      <w:rPr>
        <w:rFonts w:ascii="Arial" w:hAnsi="Arial" w:hint="default"/>
      </w:rPr>
    </w:lvl>
    <w:lvl w:ilvl="6" w:tplc="4408577E" w:tentative="1">
      <w:start w:val="1"/>
      <w:numFmt w:val="bullet"/>
      <w:lvlText w:val="•"/>
      <w:lvlJc w:val="left"/>
      <w:pPr>
        <w:tabs>
          <w:tab w:val="num" w:pos="5040"/>
        </w:tabs>
        <w:ind w:left="5040" w:hanging="360"/>
      </w:pPr>
      <w:rPr>
        <w:rFonts w:ascii="Arial" w:hAnsi="Arial" w:hint="default"/>
      </w:rPr>
    </w:lvl>
    <w:lvl w:ilvl="7" w:tplc="DBD64182" w:tentative="1">
      <w:start w:val="1"/>
      <w:numFmt w:val="bullet"/>
      <w:lvlText w:val="•"/>
      <w:lvlJc w:val="left"/>
      <w:pPr>
        <w:tabs>
          <w:tab w:val="num" w:pos="5760"/>
        </w:tabs>
        <w:ind w:left="5760" w:hanging="360"/>
      </w:pPr>
      <w:rPr>
        <w:rFonts w:ascii="Arial" w:hAnsi="Arial" w:hint="default"/>
      </w:rPr>
    </w:lvl>
    <w:lvl w:ilvl="8" w:tplc="96D03D24"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D263DCE"/>
    <w:multiLevelType w:val="hybridMultilevel"/>
    <w:tmpl w:val="D17030A8"/>
    <w:lvl w:ilvl="0" w:tplc="3236B4EE">
      <w:start w:val="1"/>
      <w:numFmt w:val="decimal"/>
      <w:lvlText w:val="%1."/>
      <w:lvlJc w:val="left"/>
      <w:pPr>
        <w:ind w:left="900" w:hanging="360"/>
      </w:pPr>
      <w:rPr>
        <w:rFonts w:hint="default"/>
        <w:color w:val="00B0F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58248B"/>
    <w:multiLevelType w:val="hybridMultilevel"/>
    <w:tmpl w:val="2E6E95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8531E5"/>
    <w:multiLevelType w:val="hybridMultilevel"/>
    <w:tmpl w:val="9A44B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A2191F"/>
    <w:multiLevelType w:val="hybridMultilevel"/>
    <w:tmpl w:val="C09A5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FF7E06"/>
    <w:multiLevelType w:val="hybridMultilevel"/>
    <w:tmpl w:val="07EA0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FF7B23"/>
    <w:multiLevelType w:val="hybridMultilevel"/>
    <w:tmpl w:val="0BF4F484"/>
    <w:lvl w:ilvl="0" w:tplc="1BA4C63A">
      <w:start w:val="1"/>
      <w:numFmt w:val="lowerLetter"/>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2F23CE"/>
    <w:multiLevelType w:val="hybridMultilevel"/>
    <w:tmpl w:val="BD8A0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3331946">
    <w:abstractNumId w:val="0"/>
  </w:num>
  <w:num w:numId="2" w16cid:durableId="138108227">
    <w:abstractNumId w:val="17"/>
  </w:num>
  <w:num w:numId="3" w16cid:durableId="2010908012">
    <w:abstractNumId w:val="26"/>
  </w:num>
  <w:num w:numId="4" w16cid:durableId="1327632322">
    <w:abstractNumId w:val="21"/>
  </w:num>
  <w:num w:numId="5" w16cid:durableId="1983074403">
    <w:abstractNumId w:val="9"/>
  </w:num>
  <w:num w:numId="6" w16cid:durableId="2086223363">
    <w:abstractNumId w:val="8"/>
  </w:num>
  <w:num w:numId="7" w16cid:durableId="1056391917">
    <w:abstractNumId w:val="24"/>
  </w:num>
  <w:num w:numId="8" w16cid:durableId="870993546">
    <w:abstractNumId w:val="16"/>
  </w:num>
  <w:num w:numId="9" w16cid:durableId="2125533448">
    <w:abstractNumId w:val="18"/>
  </w:num>
  <w:num w:numId="10" w16cid:durableId="713650887">
    <w:abstractNumId w:val="11"/>
  </w:num>
  <w:num w:numId="11" w16cid:durableId="1371148064">
    <w:abstractNumId w:val="29"/>
  </w:num>
  <w:num w:numId="12" w16cid:durableId="332534663">
    <w:abstractNumId w:val="28"/>
  </w:num>
  <w:num w:numId="13" w16cid:durableId="1948272504">
    <w:abstractNumId w:val="1"/>
  </w:num>
  <w:num w:numId="14" w16cid:durableId="633407618">
    <w:abstractNumId w:val="2"/>
  </w:num>
  <w:num w:numId="15" w16cid:durableId="1368794315">
    <w:abstractNumId w:val="12"/>
  </w:num>
  <w:num w:numId="16" w16cid:durableId="1289430188">
    <w:abstractNumId w:val="15"/>
  </w:num>
  <w:num w:numId="17" w16cid:durableId="1176186035">
    <w:abstractNumId w:val="32"/>
  </w:num>
  <w:num w:numId="18" w16cid:durableId="570425382">
    <w:abstractNumId w:val="31"/>
  </w:num>
  <w:num w:numId="19" w16cid:durableId="1263565869">
    <w:abstractNumId w:val="10"/>
  </w:num>
  <w:num w:numId="20" w16cid:durableId="1082607294">
    <w:abstractNumId w:val="3"/>
  </w:num>
  <w:num w:numId="21" w16cid:durableId="1993948379">
    <w:abstractNumId w:val="30"/>
  </w:num>
  <w:num w:numId="22" w16cid:durableId="2041658756">
    <w:abstractNumId w:val="20"/>
  </w:num>
  <w:num w:numId="23" w16cid:durableId="1014263689">
    <w:abstractNumId w:val="22"/>
  </w:num>
  <w:num w:numId="24" w16cid:durableId="477301737">
    <w:abstractNumId w:val="10"/>
  </w:num>
  <w:num w:numId="25" w16cid:durableId="26102132">
    <w:abstractNumId w:val="27"/>
  </w:num>
  <w:num w:numId="26" w16cid:durableId="1395085777">
    <w:abstractNumId w:val="19"/>
  </w:num>
  <w:num w:numId="27" w16cid:durableId="1030453516">
    <w:abstractNumId w:val="5"/>
  </w:num>
  <w:num w:numId="28" w16cid:durableId="1244333304">
    <w:abstractNumId w:val="14"/>
  </w:num>
  <w:num w:numId="29" w16cid:durableId="1951624667">
    <w:abstractNumId w:val="25"/>
  </w:num>
  <w:num w:numId="30" w16cid:durableId="1055543843">
    <w:abstractNumId w:val="7"/>
  </w:num>
  <w:num w:numId="31" w16cid:durableId="562065306">
    <w:abstractNumId w:val="4"/>
  </w:num>
  <w:num w:numId="32" w16cid:durableId="1421679821">
    <w:abstractNumId w:val="23"/>
  </w:num>
  <w:num w:numId="33" w16cid:durableId="1904440036">
    <w:abstractNumId w:val="6"/>
  </w:num>
  <w:num w:numId="34" w16cid:durableId="1375234597">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yn Fischer">
    <w15:presenceInfo w15:providerId="AD" w15:userId="S::cfischer2@worldbank.org::113d740a-95fb-4f4c-8943-c2498927526b"/>
  </w15:person>
  <w15:person w15:author="Miguel Eduardo Sanchez Martin">
    <w15:presenceInfo w15:providerId="AD" w15:userId="S::msanchezmartin@worldbank.org::731f49e9-e6bd-40e4-857d-e785d981aa8c"/>
  </w15:person>
  <w15:person w15:author="Susanne Alice Charlotta Aakerfeldt">
    <w15:presenceInfo w15:providerId="AD" w15:userId="S::saakerfeldt@worldbank.org::a7b9390f-1d82-470f-9fbe-8375ec902109"/>
  </w15:person>
  <w15:person w15:author="Adeel Abbas">
    <w15:presenceInfo w15:providerId="AD" w15:userId="S::sabbas@worldbank.org::bb7256ef-61ea-4d91-bf68-c413463c2a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DFE"/>
    <w:rsid w:val="0000041D"/>
    <w:rsid w:val="0000051A"/>
    <w:rsid w:val="0000080B"/>
    <w:rsid w:val="000008F7"/>
    <w:rsid w:val="000009BB"/>
    <w:rsid w:val="00000A7F"/>
    <w:rsid w:val="00000BCC"/>
    <w:rsid w:val="00000EA3"/>
    <w:rsid w:val="00000FB0"/>
    <w:rsid w:val="00000FD3"/>
    <w:rsid w:val="000011D8"/>
    <w:rsid w:val="00001483"/>
    <w:rsid w:val="0000148A"/>
    <w:rsid w:val="000014E1"/>
    <w:rsid w:val="000017CF"/>
    <w:rsid w:val="000018DC"/>
    <w:rsid w:val="00001969"/>
    <w:rsid w:val="0000244E"/>
    <w:rsid w:val="0000259B"/>
    <w:rsid w:val="0000266C"/>
    <w:rsid w:val="00002C7C"/>
    <w:rsid w:val="00002EE9"/>
    <w:rsid w:val="00002EEB"/>
    <w:rsid w:val="000039E3"/>
    <w:rsid w:val="00003BF9"/>
    <w:rsid w:val="00003CBC"/>
    <w:rsid w:val="000041A8"/>
    <w:rsid w:val="000043A8"/>
    <w:rsid w:val="000043ED"/>
    <w:rsid w:val="00004429"/>
    <w:rsid w:val="00004733"/>
    <w:rsid w:val="000047C6"/>
    <w:rsid w:val="00004BB0"/>
    <w:rsid w:val="000053B7"/>
    <w:rsid w:val="0000545A"/>
    <w:rsid w:val="00005DA0"/>
    <w:rsid w:val="00006044"/>
    <w:rsid w:val="00006478"/>
    <w:rsid w:val="0000653B"/>
    <w:rsid w:val="00006773"/>
    <w:rsid w:val="00007032"/>
    <w:rsid w:val="00007374"/>
    <w:rsid w:val="00007678"/>
    <w:rsid w:val="0000784D"/>
    <w:rsid w:val="00007945"/>
    <w:rsid w:val="0000794A"/>
    <w:rsid w:val="00007A97"/>
    <w:rsid w:val="00007C98"/>
    <w:rsid w:val="00007D0B"/>
    <w:rsid w:val="000102F0"/>
    <w:rsid w:val="0001034B"/>
    <w:rsid w:val="0001034F"/>
    <w:rsid w:val="00010941"/>
    <w:rsid w:val="0001098B"/>
    <w:rsid w:val="00010CF7"/>
    <w:rsid w:val="00010E14"/>
    <w:rsid w:val="00011107"/>
    <w:rsid w:val="000112E2"/>
    <w:rsid w:val="00011619"/>
    <w:rsid w:val="00011D94"/>
    <w:rsid w:val="00011F56"/>
    <w:rsid w:val="0001221D"/>
    <w:rsid w:val="000126C5"/>
    <w:rsid w:val="00012A05"/>
    <w:rsid w:val="00012A68"/>
    <w:rsid w:val="00012A78"/>
    <w:rsid w:val="00012B4A"/>
    <w:rsid w:val="0001346F"/>
    <w:rsid w:val="00013845"/>
    <w:rsid w:val="000139AD"/>
    <w:rsid w:val="00013D01"/>
    <w:rsid w:val="000140C3"/>
    <w:rsid w:val="000141AB"/>
    <w:rsid w:val="00014593"/>
    <w:rsid w:val="00014739"/>
    <w:rsid w:val="00014A60"/>
    <w:rsid w:val="00014C34"/>
    <w:rsid w:val="00014DE3"/>
    <w:rsid w:val="00014E6A"/>
    <w:rsid w:val="0001519A"/>
    <w:rsid w:val="00015A09"/>
    <w:rsid w:val="00015B76"/>
    <w:rsid w:val="00015E2E"/>
    <w:rsid w:val="00015FB4"/>
    <w:rsid w:val="000161F9"/>
    <w:rsid w:val="00016C2F"/>
    <w:rsid w:val="00016C7E"/>
    <w:rsid w:val="00016D10"/>
    <w:rsid w:val="00016D8E"/>
    <w:rsid w:val="00016E80"/>
    <w:rsid w:val="00017973"/>
    <w:rsid w:val="00017A8F"/>
    <w:rsid w:val="0002047B"/>
    <w:rsid w:val="000204EE"/>
    <w:rsid w:val="000207C2"/>
    <w:rsid w:val="00020811"/>
    <w:rsid w:val="00020862"/>
    <w:rsid w:val="00020956"/>
    <w:rsid w:val="00020CAF"/>
    <w:rsid w:val="00021214"/>
    <w:rsid w:val="00021898"/>
    <w:rsid w:val="00021C8C"/>
    <w:rsid w:val="00021F84"/>
    <w:rsid w:val="000220B9"/>
    <w:rsid w:val="0002210C"/>
    <w:rsid w:val="000226BF"/>
    <w:rsid w:val="0002276C"/>
    <w:rsid w:val="00022772"/>
    <w:rsid w:val="00022D75"/>
    <w:rsid w:val="00022E15"/>
    <w:rsid w:val="00022ED8"/>
    <w:rsid w:val="00022F92"/>
    <w:rsid w:val="00023461"/>
    <w:rsid w:val="00023999"/>
    <w:rsid w:val="00023A5C"/>
    <w:rsid w:val="00023A9E"/>
    <w:rsid w:val="00023F34"/>
    <w:rsid w:val="00024223"/>
    <w:rsid w:val="00024327"/>
    <w:rsid w:val="00024383"/>
    <w:rsid w:val="00024785"/>
    <w:rsid w:val="00024884"/>
    <w:rsid w:val="00024BA4"/>
    <w:rsid w:val="000250FE"/>
    <w:rsid w:val="000254CE"/>
    <w:rsid w:val="0002574B"/>
    <w:rsid w:val="00025A81"/>
    <w:rsid w:val="00025BF6"/>
    <w:rsid w:val="00025E53"/>
    <w:rsid w:val="00025F4F"/>
    <w:rsid w:val="00025FC5"/>
    <w:rsid w:val="00026036"/>
    <w:rsid w:val="000261B8"/>
    <w:rsid w:val="000263ED"/>
    <w:rsid w:val="00026DB0"/>
    <w:rsid w:val="00027004"/>
    <w:rsid w:val="0002700E"/>
    <w:rsid w:val="0002759F"/>
    <w:rsid w:val="00027887"/>
    <w:rsid w:val="00027938"/>
    <w:rsid w:val="00027A4E"/>
    <w:rsid w:val="00027FCE"/>
    <w:rsid w:val="00030504"/>
    <w:rsid w:val="00030B6B"/>
    <w:rsid w:val="00030C5D"/>
    <w:rsid w:val="00030F2E"/>
    <w:rsid w:val="00030FA3"/>
    <w:rsid w:val="0003104F"/>
    <w:rsid w:val="00031119"/>
    <w:rsid w:val="000311B6"/>
    <w:rsid w:val="00031570"/>
    <w:rsid w:val="0003207E"/>
    <w:rsid w:val="000320EE"/>
    <w:rsid w:val="00032349"/>
    <w:rsid w:val="0003289F"/>
    <w:rsid w:val="00032D36"/>
    <w:rsid w:val="000331B9"/>
    <w:rsid w:val="00033210"/>
    <w:rsid w:val="000336C7"/>
    <w:rsid w:val="00033992"/>
    <w:rsid w:val="00033E7F"/>
    <w:rsid w:val="00033EE9"/>
    <w:rsid w:val="0003419E"/>
    <w:rsid w:val="000342C7"/>
    <w:rsid w:val="000343F8"/>
    <w:rsid w:val="00034790"/>
    <w:rsid w:val="00034A10"/>
    <w:rsid w:val="00034DDE"/>
    <w:rsid w:val="00035069"/>
    <w:rsid w:val="00035468"/>
    <w:rsid w:val="00035831"/>
    <w:rsid w:val="000358BB"/>
    <w:rsid w:val="00035CE0"/>
    <w:rsid w:val="00035D32"/>
    <w:rsid w:val="000361D4"/>
    <w:rsid w:val="00036B07"/>
    <w:rsid w:val="00036B55"/>
    <w:rsid w:val="00036CB3"/>
    <w:rsid w:val="00036E64"/>
    <w:rsid w:val="00036EE8"/>
    <w:rsid w:val="000373F9"/>
    <w:rsid w:val="000379CC"/>
    <w:rsid w:val="00037BF5"/>
    <w:rsid w:val="00037D40"/>
    <w:rsid w:val="00037FA9"/>
    <w:rsid w:val="000401C0"/>
    <w:rsid w:val="000401DB"/>
    <w:rsid w:val="00040490"/>
    <w:rsid w:val="000405A7"/>
    <w:rsid w:val="000405EE"/>
    <w:rsid w:val="000407AB"/>
    <w:rsid w:val="000409F7"/>
    <w:rsid w:val="00040E8A"/>
    <w:rsid w:val="000411AD"/>
    <w:rsid w:val="00041461"/>
    <w:rsid w:val="000418F5"/>
    <w:rsid w:val="0004194F"/>
    <w:rsid w:val="00041D9D"/>
    <w:rsid w:val="00041E2D"/>
    <w:rsid w:val="00041E6A"/>
    <w:rsid w:val="00042307"/>
    <w:rsid w:val="00042486"/>
    <w:rsid w:val="000428EF"/>
    <w:rsid w:val="000429C9"/>
    <w:rsid w:val="0004308D"/>
    <w:rsid w:val="00043228"/>
    <w:rsid w:val="00043266"/>
    <w:rsid w:val="00043BEA"/>
    <w:rsid w:val="000441F9"/>
    <w:rsid w:val="0004441F"/>
    <w:rsid w:val="0004459E"/>
    <w:rsid w:val="000446D4"/>
    <w:rsid w:val="0004474C"/>
    <w:rsid w:val="00044A73"/>
    <w:rsid w:val="00044B83"/>
    <w:rsid w:val="00044CD4"/>
    <w:rsid w:val="00044E37"/>
    <w:rsid w:val="00045003"/>
    <w:rsid w:val="000451B2"/>
    <w:rsid w:val="000454A2"/>
    <w:rsid w:val="0004569A"/>
    <w:rsid w:val="00045B6C"/>
    <w:rsid w:val="00045B6D"/>
    <w:rsid w:val="00046213"/>
    <w:rsid w:val="00046288"/>
    <w:rsid w:val="00046359"/>
    <w:rsid w:val="0004679A"/>
    <w:rsid w:val="0004686D"/>
    <w:rsid w:val="00046DFF"/>
    <w:rsid w:val="00047155"/>
    <w:rsid w:val="000471B5"/>
    <w:rsid w:val="000471FF"/>
    <w:rsid w:val="000472A3"/>
    <w:rsid w:val="000472B9"/>
    <w:rsid w:val="00047551"/>
    <w:rsid w:val="00047844"/>
    <w:rsid w:val="00047884"/>
    <w:rsid w:val="000479A8"/>
    <w:rsid w:val="00047CCD"/>
    <w:rsid w:val="000505C6"/>
    <w:rsid w:val="0005073B"/>
    <w:rsid w:val="00050796"/>
    <w:rsid w:val="000509B8"/>
    <w:rsid w:val="000509EE"/>
    <w:rsid w:val="00050A89"/>
    <w:rsid w:val="00050B3B"/>
    <w:rsid w:val="00050B40"/>
    <w:rsid w:val="00050B6E"/>
    <w:rsid w:val="00050D6E"/>
    <w:rsid w:val="0005142E"/>
    <w:rsid w:val="00051687"/>
    <w:rsid w:val="00051932"/>
    <w:rsid w:val="00051A71"/>
    <w:rsid w:val="00051DE9"/>
    <w:rsid w:val="00051F87"/>
    <w:rsid w:val="0005201F"/>
    <w:rsid w:val="000521A8"/>
    <w:rsid w:val="000521EB"/>
    <w:rsid w:val="00052838"/>
    <w:rsid w:val="000528A6"/>
    <w:rsid w:val="00052918"/>
    <w:rsid w:val="00052972"/>
    <w:rsid w:val="00052B85"/>
    <w:rsid w:val="00052E04"/>
    <w:rsid w:val="0005309D"/>
    <w:rsid w:val="00053120"/>
    <w:rsid w:val="00053271"/>
    <w:rsid w:val="0005328C"/>
    <w:rsid w:val="000536CC"/>
    <w:rsid w:val="00053EC5"/>
    <w:rsid w:val="00054544"/>
    <w:rsid w:val="0005457F"/>
    <w:rsid w:val="000546AA"/>
    <w:rsid w:val="00054C96"/>
    <w:rsid w:val="00054DF5"/>
    <w:rsid w:val="00054E3B"/>
    <w:rsid w:val="000550E7"/>
    <w:rsid w:val="000550F2"/>
    <w:rsid w:val="00055524"/>
    <w:rsid w:val="00055557"/>
    <w:rsid w:val="00055758"/>
    <w:rsid w:val="00055B0D"/>
    <w:rsid w:val="000567FA"/>
    <w:rsid w:val="000568C0"/>
    <w:rsid w:val="000568EB"/>
    <w:rsid w:val="000569EB"/>
    <w:rsid w:val="00057365"/>
    <w:rsid w:val="00057404"/>
    <w:rsid w:val="00057778"/>
    <w:rsid w:val="00057A3D"/>
    <w:rsid w:val="00057A8A"/>
    <w:rsid w:val="00057BD3"/>
    <w:rsid w:val="00057CBC"/>
    <w:rsid w:val="0006011C"/>
    <w:rsid w:val="00060A3F"/>
    <w:rsid w:val="00060E75"/>
    <w:rsid w:val="0006103C"/>
    <w:rsid w:val="000610C6"/>
    <w:rsid w:val="0006116E"/>
    <w:rsid w:val="000613A5"/>
    <w:rsid w:val="000613E6"/>
    <w:rsid w:val="000615A0"/>
    <w:rsid w:val="000618EB"/>
    <w:rsid w:val="00061CA5"/>
    <w:rsid w:val="00062328"/>
    <w:rsid w:val="000624F6"/>
    <w:rsid w:val="00062713"/>
    <w:rsid w:val="00062D99"/>
    <w:rsid w:val="00062FF6"/>
    <w:rsid w:val="00063016"/>
    <w:rsid w:val="0006310C"/>
    <w:rsid w:val="000631BF"/>
    <w:rsid w:val="00063910"/>
    <w:rsid w:val="000640B5"/>
    <w:rsid w:val="00064331"/>
    <w:rsid w:val="00064491"/>
    <w:rsid w:val="0006467D"/>
    <w:rsid w:val="00064A3B"/>
    <w:rsid w:val="00064E09"/>
    <w:rsid w:val="000653BC"/>
    <w:rsid w:val="000655A5"/>
    <w:rsid w:val="000655EA"/>
    <w:rsid w:val="000658A1"/>
    <w:rsid w:val="000659E4"/>
    <w:rsid w:val="00065A48"/>
    <w:rsid w:val="00065BCE"/>
    <w:rsid w:val="00066040"/>
    <w:rsid w:val="000661FB"/>
    <w:rsid w:val="00066439"/>
    <w:rsid w:val="00066717"/>
    <w:rsid w:val="000674F6"/>
    <w:rsid w:val="000675F0"/>
    <w:rsid w:val="00067927"/>
    <w:rsid w:val="00067A48"/>
    <w:rsid w:val="000703AF"/>
    <w:rsid w:val="000705D8"/>
    <w:rsid w:val="000705FF"/>
    <w:rsid w:val="00070C52"/>
    <w:rsid w:val="00070D60"/>
    <w:rsid w:val="00070DFD"/>
    <w:rsid w:val="00070F96"/>
    <w:rsid w:val="000711C7"/>
    <w:rsid w:val="000713D1"/>
    <w:rsid w:val="0007146D"/>
    <w:rsid w:val="000714AF"/>
    <w:rsid w:val="00071A6C"/>
    <w:rsid w:val="00071F69"/>
    <w:rsid w:val="0007218D"/>
    <w:rsid w:val="00072236"/>
    <w:rsid w:val="00072343"/>
    <w:rsid w:val="0007246E"/>
    <w:rsid w:val="0007299D"/>
    <w:rsid w:val="000729E7"/>
    <w:rsid w:val="00072B5A"/>
    <w:rsid w:val="00072F38"/>
    <w:rsid w:val="00073211"/>
    <w:rsid w:val="000736FC"/>
    <w:rsid w:val="000737DA"/>
    <w:rsid w:val="00073963"/>
    <w:rsid w:val="0007447A"/>
    <w:rsid w:val="000745BC"/>
    <w:rsid w:val="0007481C"/>
    <w:rsid w:val="00074890"/>
    <w:rsid w:val="00074910"/>
    <w:rsid w:val="000749BE"/>
    <w:rsid w:val="00074A98"/>
    <w:rsid w:val="00074B76"/>
    <w:rsid w:val="00074BE4"/>
    <w:rsid w:val="00075305"/>
    <w:rsid w:val="0007568B"/>
    <w:rsid w:val="0007597E"/>
    <w:rsid w:val="00075B3A"/>
    <w:rsid w:val="00075D22"/>
    <w:rsid w:val="00076438"/>
    <w:rsid w:val="0007643F"/>
    <w:rsid w:val="0007644F"/>
    <w:rsid w:val="000767B4"/>
    <w:rsid w:val="00076AE0"/>
    <w:rsid w:val="000770AF"/>
    <w:rsid w:val="00077381"/>
    <w:rsid w:val="000776FF"/>
    <w:rsid w:val="00077A02"/>
    <w:rsid w:val="00077AF3"/>
    <w:rsid w:val="00077CD4"/>
    <w:rsid w:val="000800C5"/>
    <w:rsid w:val="00080170"/>
    <w:rsid w:val="00080918"/>
    <w:rsid w:val="000809A1"/>
    <w:rsid w:val="00080D80"/>
    <w:rsid w:val="00080EF2"/>
    <w:rsid w:val="00080F3A"/>
    <w:rsid w:val="000811B8"/>
    <w:rsid w:val="00081617"/>
    <w:rsid w:val="0008167F"/>
    <w:rsid w:val="00081763"/>
    <w:rsid w:val="00081905"/>
    <w:rsid w:val="00081A70"/>
    <w:rsid w:val="00081D42"/>
    <w:rsid w:val="00081E33"/>
    <w:rsid w:val="00081F72"/>
    <w:rsid w:val="00081FC7"/>
    <w:rsid w:val="00082357"/>
    <w:rsid w:val="00082C0B"/>
    <w:rsid w:val="00082DE0"/>
    <w:rsid w:val="00082DFE"/>
    <w:rsid w:val="000831AB"/>
    <w:rsid w:val="000831F1"/>
    <w:rsid w:val="00083473"/>
    <w:rsid w:val="0008356F"/>
    <w:rsid w:val="00083D09"/>
    <w:rsid w:val="00083E12"/>
    <w:rsid w:val="000846E0"/>
    <w:rsid w:val="000846FE"/>
    <w:rsid w:val="00084706"/>
    <w:rsid w:val="00084B8E"/>
    <w:rsid w:val="00084C2E"/>
    <w:rsid w:val="00085018"/>
    <w:rsid w:val="0008510C"/>
    <w:rsid w:val="00085234"/>
    <w:rsid w:val="00085385"/>
    <w:rsid w:val="00085979"/>
    <w:rsid w:val="000859FF"/>
    <w:rsid w:val="00085B42"/>
    <w:rsid w:val="00085E06"/>
    <w:rsid w:val="00086054"/>
    <w:rsid w:val="00086554"/>
    <w:rsid w:val="000868E0"/>
    <w:rsid w:val="0008715B"/>
    <w:rsid w:val="00087407"/>
    <w:rsid w:val="000878BD"/>
    <w:rsid w:val="00087AEE"/>
    <w:rsid w:val="00087E75"/>
    <w:rsid w:val="00087FF7"/>
    <w:rsid w:val="00090746"/>
    <w:rsid w:val="0009083D"/>
    <w:rsid w:val="00090B4B"/>
    <w:rsid w:val="00090EDA"/>
    <w:rsid w:val="000912F2"/>
    <w:rsid w:val="00091740"/>
    <w:rsid w:val="00091A1B"/>
    <w:rsid w:val="00092141"/>
    <w:rsid w:val="000922C4"/>
    <w:rsid w:val="0009233E"/>
    <w:rsid w:val="00092566"/>
    <w:rsid w:val="00092586"/>
    <w:rsid w:val="000926FB"/>
    <w:rsid w:val="00092701"/>
    <w:rsid w:val="0009275C"/>
    <w:rsid w:val="0009279D"/>
    <w:rsid w:val="000928DC"/>
    <w:rsid w:val="00092A32"/>
    <w:rsid w:val="00092C84"/>
    <w:rsid w:val="00092E4D"/>
    <w:rsid w:val="00092EF0"/>
    <w:rsid w:val="000932B9"/>
    <w:rsid w:val="00093324"/>
    <w:rsid w:val="00093764"/>
    <w:rsid w:val="00093CB6"/>
    <w:rsid w:val="0009425D"/>
    <w:rsid w:val="00094304"/>
    <w:rsid w:val="00094489"/>
    <w:rsid w:val="00094BBB"/>
    <w:rsid w:val="00094BED"/>
    <w:rsid w:val="00094CC4"/>
    <w:rsid w:val="00094E57"/>
    <w:rsid w:val="000950D0"/>
    <w:rsid w:val="000950E1"/>
    <w:rsid w:val="00095369"/>
    <w:rsid w:val="0009539A"/>
    <w:rsid w:val="000953A3"/>
    <w:rsid w:val="00095419"/>
    <w:rsid w:val="00095A26"/>
    <w:rsid w:val="00095B23"/>
    <w:rsid w:val="00095C38"/>
    <w:rsid w:val="00095D7F"/>
    <w:rsid w:val="00095E20"/>
    <w:rsid w:val="00096600"/>
    <w:rsid w:val="000967C2"/>
    <w:rsid w:val="000967CD"/>
    <w:rsid w:val="00096827"/>
    <w:rsid w:val="00097446"/>
    <w:rsid w:val="0009754E"/>
    <w:rsid w:val="00097A6B"/>
    <w:rsid w:val="00097D03"/>
    <w:rsid w:val="00097EFD"/>
    <w:rsid w:val="00097F55"/>
    <w:rsid w:val="000A00BF"/>
    <w:rsid w:val="000A02BE"/>
    <w:rsid w:val="000A03F0"/>
    <w:rsid w:val="000A040D"/>
    <w:rsid w:val="000A07FD"/>
    <w:rsid w:val="000A0E2E"/>
    <w:rsid w:val="000A118E"/>
    <w:rsid w:val="000A121F"/>
    <w:rsid w:val="000A12E2"/>
    <w:rsid w:val="000A154A"/>
    <w:rsid w:val="000A17B4"/>
    <w:rsid w:val="000A186F"/>
    <w:rsid w:val="000A192C"/>
    <w:rsid w:val="000A196C"/>
    <w:rsid w:val="000A1E53"/>
    <w:rsid w:val="000A20BC"/>
    <w:rsid w:val="000A2633"/>
    <w:rsid w:val="000A272E"/>
    <w:rsid w:val="000A294B"/>
    <w:rsid w:val="000A29A5"/>
    <w:rsid w:val="000A2BA8"/>
    <w:rsid w:val="000A2CE3"/>
    <w:rsid w:val="000A340C"/>
    <w:rsid w:val="000A3494"/>
    <w:rsid w:val="000A3557"/>
    <w:rsid w:val="000A3F5E"/>
    <w:rsid w:val="000A42B7"/>
    <w:rsid w:val="000A43E1"/>
    <w:rsid w:val="000A4508"/>
    <w:rsid w:val="000A4872"/>
    <w:rsid w:val="000A494A"/>
    <w:rsid w:val="000A4992"/>
    <w:rsid w:val="000A4A3D"/>
    <w:rsid w:val="000A4A45"/>
    <w:rsid w:val="000A544E"/>
    <w:rsid w:val="000A546A"/>
    <w:rsid w:val="000A553D"/>
    <w:rsid w:val="000A5C5C"/>
    <w:rsid w:val="000A5E31"/>
    <w:rsid w:val="000A6326"/>
    <w:rsid w:val="000A64B1"/>
    <w:rsid w:val="000A6686"/>
    <w:rsid w:val="000A68FF"/>
    <w:rsid w:val="000A6B4B"/>
    <w:rsid w:val="000A6E6D"/>
    <w:rsid w:val="000A757F"/>
    <w:rsid w:val="000A7ACD"/>
    <w:rsid w:val="000A7D8D"/>
    <w:rsid w:val="000A7F37"/>
    <w:rsid w:val="000B0253"/>
    <w:rsid w:val="000B0270"/>
    <w:rsid w:val="000B06F3"/>
    <w:rsid w:val="000B0905"/>
    <w:rsid w:val="000B0A59"/>
    <w:rsid w:val="000B0C26"/>
    <w:rsid w:val="000B1417"/>
    <w:rsid w:val="000B1620"/>
    <w:rsid w:val="000B1875"/>
    <w:rsid w:val="000B18FE"/>
    <w:rsid w:val="000B19B5"/>
    <w:rsid w:val="000B1F3B"/>
    <w:rsid w:val="000B1F3D"/>
    <w:rsid w:val="000B2097"/>
    <w:rsid w:val="000B23C2"/>
    <w:rsid w:val="000B263A"/>
    <w:rsid w:val="000B2730"/>
    <w:rsid w:val="000B27C5"/>
    <w:rsid w:val="000B2A21"/>
    <w:rsid w:val="000B2A78"/>
    <w:rsid w:val="000B308C"/>
    <w:rsid w:val="000B32D7"/>
    <w:rsid w:val="000B3373"/>
    <w:rsid w:val="000B33FE"/>
    <w:rsid w:val="000B3AA3"/>
    <w:rsid w:val="000B41E9"/>
    <w:rsid w:val="000B4AEC"/>
    <w:rsid w:val="000B4DFF"/>
    <w:rsid w:val="000B4E5D"/>
    <w:rsid w:val="000B4F92"/>
    <w:rsid w:val="000B50EA"/>
    <w:rsid w:val="000B519D"/>
    <w:rsid w:val="000B5277"/>
    <w:rsid w:val="000B5869"/>
    <w:rsid w:val="000B5927"/>
    <w:rsid w:val="000B59BA"/>
    <w:rsid w:val="000B6446"/>
    <w:rsid w:val="000B657F"/>
    <w:rsid w:val="000B66E5"/>
    <w:rsid w:val="000B6868"/>
    <w:rsid w:val="000B68DE"/>
    <w:rsid w:val="000B6940"/>
    <w:rsid w:val="000B6C11"/>
    <w:rsid w:val="000B6DA4"/>
    <w:rsid w:val="000B734D"/>
    <w:rsid w:val="000B763E"/>
    <w:rsid w:val="000B77C1"/>
    <w:rsid w:val="000B7B6E"/>
    <w:rsid w:val="000C0015"/>
    <w:rsid w:val="000C0025"/>
    <w:rsid w:val="000C0094"/>
    <w:rsid w:val="000C0322"/>
    <w:rsid w:val="000C09BD"/>
    <w:rsid w:val="000C09E5"/>
    <w:rsid w:val="000C0EC8"/>
    <w:rsid w:val="000C0FB6"/>
    <w:rsid w:val="000C14D8"/>
    <w:rsid w:val="000C15A4"/>
    <w:rsid w:val="000C1822"/>
    <w:rsid w:val="000C186A"/>
    <w:rsid w:val="000C18DA"/>
    <w:rsid w:val="000C1909"/>
    <w:rsid w:val="000C1C24"/>
    <w:rsid w:val="000C2155"/>
    <w:rsid w:val="000C25DE"/>
    <w:rsid w:val="000C2AB4"/>
    <w:rsid w:val="000C2B54"/>
    <w:rsid w:val="000C2C8A"/>
    <w:rsid w:val="000C2DEB"/>
    <w:rsid w:val="000C2F6B"/>
    <w:rsid w:val="000C3540"/>
    <w:rsid w:val="000C3B45"/>
    <w:rsid w:val="000C3C08"/>
    <w:rsid w:val="000C430E"/>
    <w:rsid w:val="000C446C"/>
    <w:rsid w:val="000C447B"/>
    <w:rsid w:val="000C45C5"/>
    <w:rsid w:val="000C4953"/>
    <w:rsid w:val="000C4BB0"/>
    <w:rsid w:val="000C4EE4"/>
    <w:rsid w:val="000C5410"/>
    <w:rsid w:val="000C54BF"/>
    <w:rsid w:val="000C57EC"/>
    <w:rsid w:val="000C60C1"/>
    <w:rsid w:val="000C6346"/>
    <w:rsid w:val="000C689D"/>
    <w:rsid w:val="000C68AD"/>
    <w:rsid w:val="000C6AB0"/>
    <w:rsid w:val="000C6AE1"/>
    <w:rsid w:val="000C6F9F"/>
    <w:rsid w:val="000C70D0"/>
    <w:rsid w:val="000C7E73"/>
    <w:rsid w:val="000C7E92"/>
    <w:rsid w:val="000C7FB4"/>
    <w:rsid w:val="000D0008"/>
    <w:rsid w:val="000D0169"/>
    <w:rsid w:val="000D0399"/>
    <w:rsid w:val="000D0818"/>
    <w:rsid w:val="000D0A6F"/>
    <w:rsid w:val="000D0D21"/>
    <w:rsid w:val="000D122C"/>
    <w:rsid w:val="000D13A3"/>
    <w:rsid w:val="000D13E2"/>
    <w:rsid w:val="000D13F0"/>
    <w:rsid w:val="000D1544"/>
    <w:rsid w:val="000D159F"/>
    <w:rsid w:val="000D15B1"/>
    <w:rsid w:val="000D16E8"/>
    <w:rsid w:val="000D1785"/>
    <w:rsid w:val="000D1D25"/>
    <w:rsid w:val="000D1FF8"/>
    <w:rsid w:val="000D210A"/>
    <w:rsid w:val="000D259E"/>
    <w:rsid w:val="000D2A86"/>
    <w:rsid w:val="000D3485"/>
    <w:rsid w:val="000D3921"/>
    <w:rsid w:val="000D395A"/>
    <w:rsid w:val="000D397F"/>
    <w:rsid w:val="000D4233"/>
    <w:rsid w:val="000D4348"/>
    <w:rsid w:val="000D4437"/>
    <w:rsid w:val="000D48F5"/>
    <w:rsid w:val="000D4BE8"/>
    <w:rsid w:val="000D4C5A"/>
    <w:rsid w:val="000D4E7E"/>
    <w:rsid w:val="000D4EC3"/>
    <w:rsid w:val="000D4FC2"/>
    <w:rsid w:val="000D55FE"/>
    <w:rsid w:val="000D56F3"/>
    <w:rsid w:val="000D57DA"/>
    <w:rsid w:val="000D5BE3"/>
    <w:rsid w:val="000D5D8A"/>
    <w:rsid w:val="000D5ED6"/>
    <w:rsid w:val="000D5FE2"/>
    <w:rsid w:val="000D6071"/>
    <w:rsid w:val="000D60C5"/>
    <w:rsid w:val="000D622E"/>
    <w:rsid w:val="000D687E"/>
    <w:rsid w:val="000D6A5E"/>
    <w:rsid w:val="000D6CC7"/>
    <w:rsid w:val="000D71A1"/>
    <w:rsid w:val="000D743B"/>
    <w:rsid w:val="000D751A"/>
    <w:rsid w:val="000D774A"/>
    <w:rsid w:val="000D79E4"/>
    <w:rsid w:val="000D7B3F"/>
    <w:rsid w:val="000D7DBD"/>
    <w:rsid w:val="000D7DE9"/>
    <w:rsid w:val="000D7EAD"/>
    <w:rsid w:val="000E02CA"/>
    <w:rsid w:val="000E0496"/>
    <w:rsid w:val="000E06F1"/>
    <w:rsid w:val="000E0700"/>
    <w:rsid w:val="000E08B4"/>
    <w:rsid w:val="000E098C"/>
    <w:rsid w:val="000E0AD7"/>
    <w:rsid w:val="000E0EE1"/>
    <w:rsid w:val="000E1424"/>
    <w:rsid w:val="000E153F"/>
    <w:rsid w:val="000E1540"/>
    <w:rsid w:val="000E1C35"/>
    <w:rsid w:val="000E1E75"/>
    <w:rsid w:val="000E20D2"/>
    <w:rsid w:val="000E21EA"/>
    <w:rsid w:val="000E22B4"/>
    <w:rsid w:val="000E29A0"/>
    <w:rsid w:val="000E300D"/>
    <w:rsid w:val="000E308B"/>
    <w:rsid w:val="000E31CF"/>
    <w:rsid w:val="000E3316"/>
    <w:rsid w:val="000E3331"/>
    <w:rsid w:val="000E3547"/>
    <w:rsid w:val="000E39DD"/>
    <w:rsid w:val="000E3E37"/>
    <w:rsid w:val="000E3E81"/>
    <w:rsid w:val="000E4163"/>
    <w:rsid w:val="000E44E2"/>
    <w:rsid w:val="000E4635"/>
    <w:rsid w:val="000E4A32"/>
    <w:rsid w:val="000E5339"/>
    <w:rsid w:val="000E5652"/>
    <w:rsid w:val="000E579D"/>
    <w:rsid w:val="000E580D"/>
    <w:rsid w:val="000E5A3D"/>
    <w:rsid w:val="000E5E42"/>
    <w:rsid w:val="000E61BA"/>
    <w:rsid w:val="000E6922"/>
    <w:rsid w:val="000E6AE5"/>
    <w:rsid w:val="000E6B3F"/>
    <w:rsid w:val="000E6DF1"/>
    <w:rsid w:val="000E6F69"/>
    <w:rsid w:val="000E705F"/>
    <w:rsid w:val="000E7125"/>
    <w:rsid w:val="000E71BE"/>
    <w:rsid w:val="000E7372"/>
    <w:rsid w:val="000E7BF0"/>
    <w:rsid w:val="000E7D5D"/>
    <w:rsid w:val="000E7D8F"/>
    <w:rsid w:val="000F002A"/>
    <w:rsid w:val="000F0204"/>
    <w:rsid w:val="000F021F"/>
    <w:rsid w:val="000F041E"/>
    <w:rsid w:val="000F0713"/>
    <w:rsid w:val="000F0884"/>
    <w:rsid w:val="000F1050"/>
    <w:rsid w:val="000F10F9"/>
    <w:rsid w:val="000F1477"/>
    <w:rsid w:val="000F158E"/>
    <w:rsid w:val="000F1875"/>
    <w:rsid w:val="000F18DE"/>
    <w:rsid w:val="000F1B14"/>
    <w:rsid w:val="000F1D94"/>
    <w:rsid w:val="000F20EF"/>
    <w:rsid w:val="000F23D2"/>
    <w:rsid w:val="000F2A0D"/>
    <w:rsid w:val="000F2B3D"/>
    <w:rsid w:val="000F3087"/>
    <w:rsid w:val="000F310A"/>
    <w:rsid w:val="000F3359"/>
    <w:rsid w:val="000F35F9"/>
    <w:rsid w:val="000F3FDF"/>
    <w:rsid w:val="000F4806"/>
    <w:rsid w:val="000F4A27"/>
    <w:rsid w:val="000F4AE7"/>
    <w:rsid w:val="000F4AFE"/>
    <w:rsid w:val="000F4B7B"/>
    <w:rsid w:val="000F4BA5"/>
    <w:rsid w:val="000F5213"/>
    <w:rsid w:val="000F5288"/>
    <w:rsid w:val="000F5594"/>
    <w:rsid w:val="000F55ED"/>
    <w:rsid w:val="000F5900"/>
    <w:rsid w:val="000F5B2D"/>
    <w:rsid w:val="000F5F52"/>
    <w:rsid w:val="000F6C38"/>
    <w:rsid w:val="000F6F36"/>
    <w:rsid w:val="000F6FF6"/>
    <w:rsid w:val="000F78BF"/>
    <w:rsid w:val="00100332"/>
    <w:rsid w:val="001005A6"/>
    <w:rsid w:val="00100B09"/>
    <w:rsid w:val="00100BF8"/>
    <w:rsid w:val="001010E4"/>
    <w:rsid w:val="001010FA"/>
    <w:rsid w:val="00101675"/>
    <w:rsid w:val="001017A6"/>
    <w:rsid w:val="00101820"/>
    <w:rsid w:val="001019CC"/>
    <w:rsid w:val="001019E1"/>
    <w:rsid w:val="00101A2D"/>
    <w:rsid w:val="00101EAE"/>
    <w:rsid w:val="00102226"/>
    <w:rsid w:val="001022D9"/>
    <w:rsid w:val="001022EB"/>
    <w:rsid w:val="001024F9"/>
    <w:rsid w:val="001025B2"/>
    <w:rsid w:val="0010283C"/>
    <w:rsid w:val="001028DC"/>
    <w:rsid w:val="0010290E"/>
    <w:rsid w:val="00102941"/>
    <w:rsid w:val="00102AA4"/>
    <w:rsid w:val="00103176"/>
    <w:rsid w:val="001031EA"/>
    <w:rsid w:val="0010365F"/>
    <w:rsid w:val="001036D1"/>
    <w:rsid w:val="00103A55"/>
    <w:rsid w:val="00103FE9"/>
    <w:rsid w:val="001041CE"/>
    <w:rsid w:val="001042B8"/>
    <w:rsid w:val="001045FD"/>
    <w:rsid w:val="001046CD"/>
    <w:rsid w:val="001048BA"/>
    <w:rsid w:val="00104C94"/>
    <w:rsid w:val="00104CDD"/>
    <w:rsid w:val="00104DBB"/>
    <w:rsid w:val="00104DEA"/>
    <w:rsid w:val="00104E4C"/>
    <w:rsid w:val="001056AB"/>
    <w:rsid w:val="001056EE"/>
    <w:rsid w:val="001065EB"/>
    <w:rsid w:val="0010697D"/>
    <w:rsid w:val="00106BE3"/>
    <w:rsid w:val="00106BED"/>
    <w:rsid w:val="00106C15"/>
    <w:rsid w:val="00106C55"/>
    <w:rsid w:val="00106CD3"/>
    <w:rsid w:val="00106E90"/>
    <w:rsid w:val="00107202"/>
    <w:rsid w:val="00107256"/>
    <w:rsid w:val="001072EC"/>
    <w:rsid w:val="001072F7"/>
    <w:rsid w:val="00107369"/>
    <w:rsid w:val="00107425"/>
    <w:rsid w:val="001074AB"/>
    <w:rsid w:val="00107A96"/>
    <w:rsid w:val="001105AE"/>
    <w:rsid w:val="00110650"/>
    <w:rsid w:val="001106C4"/>
    <w:rsid w:val="00110C1F"/>
    <w:rsid w:val="00110DF7"/>
    <w:rsid w:val="00111321"/>
    <w:rsid w:val="00111482"/>
    <w:rsid w:val="0011153D"/>
    <w:rsid w:val="00111E3F"/>
    <w:rsid w:val="001120E2"/>
    <w:rsid w:val="001123A7"/>
    <w:rsid w:val="00112751"/>
    <w:rsid w:val="00112C2B"/>
    <w:rsid w:val="00112C86"/>
    <w:rsid w:val="00112ED5"/>
    <w:rsid w:val="00112F7F"/>
    <w:rsid w:val="001133F5"/>
    <w:rsid w:val="0011360A"/>
    <w:rsid w:val="00113992"/>
    <w:rsid w:val="0011447F"/>
    <w:rsid w:val="00114645"/>
    <w:rsid w:val="00114729"/>
    <w:rsid w:val="00115233"/>
    <w:rsid w:val="00115279"/>
    <w:rsid w:val="0011604A"/>
    <w:rsid w:val="0011616F"/>
    <w:rsid w:val="0011630B"/>
    <w:rsid w:val="00116321"/>
    <w:rsid w:val="001163FC"/>
    <w:rsid w:val="00116593"/>
    <w:rsid w:val="001166BC"/>
    <w:rsid w:val="0011711F"/>
    <w:rsid w:val="0011726F"/>
    <w:rsid w:val="00117346"/>
    <w:rsid w:val="00117CFD"/>
    <w:rsid w:val="00117DA9"/>
    <w:rsid w:val="00117E8C"/>
    <w:rsid w:val="00117FB4"/>
    <w:rsid w:val="0012038C"/>
    <w:rsid w:val="00120A2C"/>
    <w:rsid w:val="00120CFF"/>
    <w:rsid w:val="00121201"/>
    <w:rsid w:val="001215E6"/>
    <w:rsid w:val="00121C94"/>
    <w:rsid w:val="00122183"/>
    <w:rsid w:val="001221C7"/>
    <w:rsid w:val="001221DE"/>
    <w:rsid w:val="00122510"/>
    <w:rsid w:val="001225D4"/>
    <w:rsid w:val="00122899"/>
    <w:rsid w:val="001228A0"/>
    <w:rsid w:val="00122A88"/>
    <w:rsid w:val="00122EFD"/>
    <w:rsid w:val="001230D3"/>
    <w:rsid w:val="00123812"/>
    <w:rsid w:val="00123BEF"/>
    <w:rsid w:val="00123F7F"/>
    <w:rsid w:val="00124036"/>
    <w:rsid w:val="0012405A"/>
    <w:rsid w:val="0012410B"/>
    <w:rsid w:val="0012452D"/>
    <w:rsid w:val="001245F4"/>
    <w:rsid w:val="00124919"/>
    <w:rsid w:val="001249B5"/>
    <w:rsid w:val="00124EEE"/>
    <w:rsid w:val="00125080"/>
    <w:rsid w:val="001250EF"/>
    <w:rsid w:val="0012516A"/>
    <w:rsid w:val="00125255"/>
    <w:rsid w:val="0012526D"/>
    <w:rsid w:val="001252DA"/>
    <w:rsid w:val="00125938"/>
    <w:rsid w:val="00125E08"/>
    <w:rsid w:val="001262E1"/>
    <w:rsid w:val="00126638"/>
    <w:rsid w:val="0012666A"/>
    <w:rsid w:val="00126884"/>
    <w:rsid w:val="00126AB9"/>
    <w:rsid w:val="00126CF4"/>
    <w:rsid w:val="001274E4"/>
    <w:rsid w:val="00127611"/>
    <w:rsid w:val="00127B1B"/>
    <w:rsid w:val="00127E51"/>
    <w:rsid w:val="00127E8C"/>
    <w:rsid w:val="00127EAE"/>
    <w:rsid w:val="00127F42"/>
    <w:rsid w:val="001303FE"/>
    <w:rsid w:val="00130483"/>
    <w:rsid w:val="001305EE"/>
    <w:rsid w:val="001307A3"/>
    <w:rsid w:val="0013098A"/>
    <w:rsid w:val="00130ACE"/>
    <w:rsid w:val="0013113C"/>
    <w:rsid w:val="00131205"/>
    <w:rsid w:val="00131916"/>
    <w:rsid w:val="0013201E"/>
    <w:rsid w:val="00132189"/>
    <w:rsid w:val="00132DC7"/>
    <w:rsid w:val="00132E41"/>
    <w:rsid w:val="001336D1"/>
    <w:rsid w:val="00133898"/>
    <w:rsid w:val="00133F58"/>
    <w:rsid w:val="0013437E"/>
    <w:rsid w:val="0013442C"/>
    <w:rsid w:val="00134739"/>
    <w:rsid w:val="00134847"/>
    <w:rsid w:val="001348E8"/>
    <w:rsid w:val="00134A93"/>
    <w:rsid w:val="00134B83"/>
    <w:rsid w:val="001350FB"/>
    <w:rsid w:val="001352B8"/>
    <w:rsid w:val="001358D2"/>
    <w:rsid w:val="001358E9"/>
    <w:rsid w:val="00135B6F"/>
    <w:rsid w:val="00135D71"/>
    <w:rsid w:val="00135D8E"/>
    <w:rsid w:val="00135E34"/>
    <w:rsid w:val="00136014"/>
    <w:rsid w:val="0013602D"/>
    <w:rsid w:val="0013616F"/>
    <w:rsid w:val="0013617F"/>
    <w:rsid w:val="001366F6"/>
    <w:rsid w:val="001366FE"/>
    <w:rsid w:val="00136871"/>
    <w:rsid w:val="00136C89"/>
    <w:rsid w:val="001371E6"/>
    <w:rsid w:val="00137358"/>
    <w:rsid w:val="00137615"/>
    <w:rsid w:val="0013768F"/>
    <w:rsid w:val="00137761"/>
    <w:rsid w:val="001378E7"/>
    <w:rsid w:val="00137967"/>
    <w:rsid w:val="001379BB"/>
    <w:rsid w:val="00137A4F"/>
    <w:rsid w:val="00137F2E"/>
    <w:rsid w:val="0014008B"/>
    <w:rsid w:val="001401D9"/>
    <w:rsid w:val="00140621"/>
    <w:rsid w:val="0014071A"/>
    <w:rsid w:val="00140A6E"/>
    <w:rsid w:val="00140D76"/>
    <w:rsid w:val="00140D7F"/>
    <w:rsid w:val="0014100C"/>
    <w:rsid w:val="001410BF"/>
    <w:rsid w:val="0014112D"/>
    <w:rsid w:val="0014152D"/>
    <w:rsid w:val="0014197E"/>
    <w:rsid w:val="001426D1"/>
    <w:rsid w:val="001426E6"/>
    <w:rsid w:val="00142921"/>
    <w:rsid w:val="00142AD5"/>
    <w:rsid w:val="00142D60"/>
    <w:rsid w:val="00142F00"/>
    <w:rsid w:val="0014312A"/>
    <w:rsid w:val="001432BA"/>
    <w:rsid w:val="00143445"/>
    <w:rsid w:val="00143572"/>
    <w:rsid w:val="0014363A"/>
    <w:rsid w:val="00144014"/>
    <w:rsid w:val="0014404E"/>
    <w:rsid w:val="001441E1"/>
    <w:rsid w:val="001443F5"/>
    <w:rsid w:val="00144521"/>
    <w:rsid w:val="0014472C"/>
    <w:rsid w:val="00144994"/>
    <w:rsid w:val="0014549C"/>
    <w:rsid w:val="0014576F"/>
    <w:rsid w:val="00145864"/>
    <w:rsid w:val="0014592E"/>
    <w:rsid w:val="00145CE4"/>
    <w:rsid w:val="0014609E"/>
    <w:rsid w:val="00146231"/>
    <w:rsid w:val="001467E5"/>
    <w:rsid w:val="001468A4"/>
    <w:rsid w:val="00146C3D"/>
    <w:rsid w:val="00146E2A"/>
    <w:rsid w:val="001471C5"/>
    <w:rsid w:val="001477ED"/>
    <w:rsid w:val="00147914"/>
    <w:rsid w:val="00147A34"/>
    <w:rsid w:val="00147AE5"/>
    <w:rsid w:val="00147BCA"/>
    <w:rsid w:val="00150096"/>
    <w:rsid w:val="0015020E"/>
    <w:rsid w:val="0015032F"/>
    <w:rsid w:val="00150761"/>
    <w:rsid w:val="001507EC"/>
    <w:rsid w:val="0015089C"/>
    <w:rsid w:val="00150E89"/>
    <w:rsid w:val="00151986"/>
    <w:rsid w:val="00151B2A"/>
    <w:rsid w:val="00151BDF"/>
    <w:rsid w:val="00151C72"/>
    <w:rsid w:val="00151F4E"/>
    <w:rsid w:val="00152223"/>
    <w:rsid w:val="001523C6"/>
    <w:rsid w:val="001525EF"/>
    <w:rsid w:val="00152E72"/>
    <w:rsid w:val="00152E78"/>
    <w:rsid w:val="00152EEF"/>
    <w:rsid w:val="00152FDE"/>
    <w:rsid w:val="00153016"/>
    <w:rsid w:val="001531D8"/>
    <w:rsid w:val="001532E7"/>
    <w:rsid w:val="001534B5"/>
    <w:rsid w:val="00153626"/>
    <w:rsid w:val="0015395C"/>
    <w:rsid w:val="001542DD"/>
    <w:rsid w:val="00154318"/>
    <w:rsid w:val="00154664"/>
    <w:rsid w:val="00154DB4"/>
    <w:rsid w:val="00155BF5"/>
    <w:rsid w:val="00155FB5"/>
    <w:rsid w:val="00156264"/>
    <w:rsid w:val="00156373"/>
    <w:rsid w:val="00156971"/>
    <w:rsid w:val="00157133"/>
    <w:rsid w:val="00157149"/>
    <w:rsid w:val="00157196"/>
    <w:rsid w:val="00157275"/>
    <w:rsid w:val="00157580"/>
    <w:rsid w:val="001577EA"/>
    <w:rsid w:val="001578E3"/>
    <w:rsid w:val="00157B77"/>
    <w:rsid w:val="00157D10"/>
    <w:rsid w:val="00157F43"/>
    <w:rsid w:val="001601F6"/>
    <w:rsid w:val="00160274"/>
    <w:rsid w:val="0016092A"/>
    <w:rsid w:val="00160B57"/>
    <w:rsid w:val="001610A4"/>
    <w:rsid w:val="00161140"/>
    <w:rsid w:val="001611E9"/>
    <w:rsid w:val="001612D1"/>
    <w:rsid w:val="00161387"/>
    <w:rsid w:val="001616F4"/>
    <w:rsid w:val="00161722"/>
    <w:rsid w:val="001618DE"/>
    <w:rsid w:val="00161BA5"/>
    <w:rsid w:val="00161C63"/>
    <w:rsid w:val="00161DB6"/>
    <w:rsid w:val="00161EF5"/>
    <w:rsid w:val="001620E3"/>
    <w:rsid w:val="001621F2"/>
    <w:rsid w:val="00162270"/>
    <w:rsid w:val="0016251B"/>
    <w:rsid w:val="00162852"/>
    <w:rsid w:val="0016307D"/>
    <w:rsid w:val="001631F7"/>
    <w:rsid w:val="0016320C"/>
    <w:rsid w:val="001639F6"/>
    <w:rsid w:val="00163A59"/>
    <w:rsid w:val="00163D2A"/>
    <w:rsid w:val="00163D4E"/>
    <w:rsid w:val="0016401D"/>
    <w:rsid w:val="0016421B"/>
    <w:rsid w:val="00164344"/>
    <w:rsid w:val="001644AE"/>
    <w:rsid w:val="001648A9"/>
    <w:rsid w:val="00164B15"/>
    <w:rsid w:val="001654D0"/>
    <w:rsid w:val="001655E5"/>
    <w:rsid w:val="001656E6"/>
    <w:rsid w:val="00165753"/>
    <w:rsid w:val="00165B43"/>
    <w:rsid w:val="00165BFB"/>
    <w:rsid w:val="00165CF7"/>
    <w:rsid w:val="00165DA0"/>
    <w:rsid w:val="00165E26"/>
    <w:rsid w:val="00165EBA"/>
    <w:rsid w:val="0016606B"/>
    <w:rsid w:val="00166790"/>
    <w:rsid w:val="00166B90"/>
    <w:rsid w:val="00166C9D"/>
    <w:rsid w:val="0016705A"/>
    <w:rsid w:val="001671DB"/>
    <w:rsid w:val="00167310"/>
    <w:rsid w:val="00167680"/>
    <w:rsid w:val="001677C7"/>
    <w:rsid w:val="001677F3"/>
    <w:rsid w:val="00167A5F"/>
    <w:rsid w:val="00167E28"/>
    <w:rsid w:val="00167F2B"/>
    <w:rsid w:val="001700BC"/>
    <w:rsid w:val="00170377"/>
    <w:rsid w:val="0017069B"/>
    <w:rsid w:val="00170743"/>
    <w:rsid w:val="00170F34"/>
    <w:rsid w:val="00171739"/>
    <w:rsid w:val="00171821"/>
    <w:rsid w:val="00171D70"/>
    <w:rsid w:val="00171E93"/>
    <w:rsid w:val="001724D0"/>
    <w:rsid w:val="00172A53"/>
    <w:rsid w:val="00173568"/>
    <w:rsid w:val="0017385B"/>
    <w:rsid w:val="00173CF2"/>
    <w:rsid w:val="00173E78"/>
    <w:rsid w:val="00173FA2"/>
    <w:rsid w:val="00174069"/>
    <w:rsid w:val="00174072"/>
    <w:rsid w:val="0017409F"/>
    <w:rsid w:val="0017432D"/>
    <w:rsid w:val="0017441E"/>
    <w:rsid w:val="00174545"/>
    <w:rsid w:val="00174B04"/>
    <w:rsid w:val="0017527F"/>
    <w:rsid w:val="001752DC"/>
    <w:rsid w:val="00175ACF"/>
    <w:rsid w:val="00175B2F"/>
    <w:rsid w:val="00175C42"/>
    <w:rsid w:val="00175E4C"/>
    <w:rsid w:val="00176903"/>
    <w:rsid w:val="00176B39"/>
    <w:rsid w:val="00176B69"/>
    <w:rsid w:val="00176C6D"/>
    <w:rsid w:val="00176D29"/>
    <w:rsid w:val="00176DA5"/>
    <w:rsid w:val="00176DE7"/>
    <w:rsid w:val="00176EBB"/>
    <w:rsid w:val="00176F81"/>
    <w:rsid w:val="0017706A"/>
    <w:rsid w:val="001772B4"/>
    <w:rsid w:val="001777F6"/>
    <w:rsid w:val="00177807"/>
    <w:rsid w:val="00177AF0"/>
    <w:rsid w:val="001802BB"/>
    <w:rsid w:val="0018097C"/>
    <w:rsid w:val="00180A68"/>
    <w:rsid w:val="00180C2D"/>
    <w:rsid w:val="00180C85"/>
    <w:rsid w:val="00180D71"/>
    <w:rsid w:val="00180E38"/>
    <w:rsid w:val="00181195"/>
    <w:rsid w:val="001812A2"/>
    <w:rsid w:val="001815D9"/>
    <w:rsid w:val="001816A6"/>
    <w:rsid w:val="00181763"/>
    <w:rsid w:val="00181ABC"/>
    <w:rsid w:val="00181C2E"/>
    <w:rsid w:val="00182361"/>
    <w:rsid w:val="0018283E"/>
    <w:rsid w:val="00182D22"/>
    <w:rsid w:val="00182F0C"/>
    <w:rsid w:val="001834CB"/>
    <w:rsid w:val="00183619"/>
    <w:rsid w:val="00183BE6"/>
    <w:rsid w:val="00183E55"/>
    <w:rsid w:val="00184552"/>
    <w:rsid w:val="00184590"/>
    <w:rsid w:val="00184E62"/>
    <w:rsid w:val="001850ED"/>
    <w:rsid w:val="001851AF"/>
    <w:rsid w:val="001855D6"/>
    <w:rsid w:val="00185619"/>
    <w:rsid w:val="001858A4"/>
    <w:rsid w:val="001859DC"/>
    <w:rsid w:val="00185A7B"/>
    <w:rsid w:val="00185C1A"/>
    <w:rsid w:val="00185FE2"/>
    <w:rsid w:val="00186119"/>
    <w:rsid w:val="00186C11"/>
    <w:rsid w:val="001870C6"/>
    <w:rsid w:val="00187745"/>
    <w:rsid w:val="00187BF1"/>
    <w:rsid w:val="00187C81"/>
    <w:rsid w:val="00187C8B"/>
    <w:rsid w:val="00187E3B"/>
    <w:rsid w:val="00190415"/>
    <w:rsid w:val="00190587"/>
    <w:rsid w:val="001907DE"/>
    <w:rsid w:val="001908A3"/>
    <w:rsid w:val="001909EF"/>
    <w:rsid w:val="00190CE4"/>
    <w:rsid w:val="001910D4"/>
    <w:rsid w:val="00191371"/>
    <w:rsid w:val="0019164A"/>
    <w:rsid w:val="00191723"/>
    <w:rsid w:val="001918EE"/>
    <w:rsid w:val="001918F4"/>
    <w:rsid w:val="00191984"/>
    <w:rsid w:val="00191B6D"/>
    <w:rsid w:val="00191EF3"/>
    <w:rsid w:val="00191F1A"/>
    <w:rsid w:val="0019225C"/>
    <w:rsid w:val="00192332"/>
    <w:rsid w:val="00192785"/>
    <w:rsid w:val="00192A12"/>
    <w:rsid w:val="00192A7D"/>
    <w:rsid w:val="00192C41"/>
    <w:rsid w:val="00192F19"/>
    <w:rsid w:val="00192F4C"/>
    <w:rsid w:val="001930D5"/>
    <w:rsid w:val="00193440"/>
    <w:rsid w:val="001939DE"/>
    <w:rsid w:val="00193AA8"/>
    <w:rsid w:val="00193DB8"/>
    <w:rsid w:val="001941F6"/>
    <w:rsid w:val="00194574"/>
    <w:rsid w:val="001950DB"/>
    <w:rsid w:val="00195147"/>
    <w:rsid w:val="001954C6"/>
    <w:rsid w:val="0019570A"/>
    <w:rsid w:val="001957A5"/>
    <w:rsid w:val="00195A59"/>
    <w:rsid w:val="00195D61"/>
    <w:rsid w:val="00195DAA"/>
    <w:rsid w:val="001960FF"/>
    <w:rsid w:val="0019610C"/>
    <w:rsid w:val="00196170"/>
    <w:rsid w:val="00196234"/>
    <w:rsid w:val="0019634D"/>
    <w:rsid w:val="00196376"/>
    <w:rsid w:val="00196698"/>
    <w:rsid w:val="00196818"/>
    <w:rsid w:val="001969D1"/>
    <w:rsid w:val="00196A1F"/>
    <w:rsid w:val="00196B87"/>
    <w:rsid w:val="00196BFC"/>
    <w:rsid w:val="00196DF0"/>
    <w:rsid w:val="00196F0B"/>
    <w:rsid w:val="00197003"/>
    <w:rsid w:val="00197528"/>
    <w:rsid w:val="001975EF"/>
    <w:rsid w:val="001976C4"/>
    <w:rsid w:val="00197A52"/>
    <w:rsid w:val="00197A89"/>
    <w:rsid w:val="00197AF9"/>
    <w:rsid w:val="00197BAE"/>
    <w:rsid w:val="00197BBA"/>
    <w:rsid w:val="00197C98"/>
    <w:rsid w:val="00197E0A"/>
    <w:rsid w:val="001A0345"/>
    <w:rsid w:val="001A06B3"/>
    <w:rsid w:val="001A08DA"/>
    <w:rsid w:val="001A0C59"/>
    <w:rsid w:val="001A10BF"/>
    <w:rsid w:val="001A122F"/>
    <w:rsid w:val="001A134C"/>
    <w:rsid w:val="001A1408"/>
    <w:rsid w:val="001A1A68"/>
    <w:rsid w:val="001A1D3D"/>
    <w:rsid w:val="001A1F1D"/>
    <w:rsid w:val="001A23A9"/>
    <w:rsid w:val="001A242C"/>
    <w:rsid w:val="001A27AF"/>
    <w:rsid w:val="001A3D9C"/>
    <w:rsid w:val="001A3DD0"/>
    <w:rsid w:val="001A44C0"/>
    <w:rsid w:val="001A45D3"/>
    <w:rsid w:val="001A48B0"/>
    <w:rsid w:val="001A49A6"/>
    <w:rsid w:val="001A4A23"/>
    <w:rsid w:val="001A4B18"/>
    <w:rsid w:val="001A5105"/>
    <w:rsid w:val="001A514C"/>
    <w:rsid w:val="001A5435"/>
    <w:rsid w:val="001A5604"/>
    <w:rsid w:val="001A5666"/>
    <w:rsid w:val="001A5C79"/>
    <w:rsid w:val="001A63D8"/>
    <w:rsid w:val="001A6753"/>
    <w:rsid w:val="001A69B4"/>
    <w:rsid w:val="001A6ABF"/>
    <w:rsid w:val="001A6D1E"/>
    <w:rsid w:val="001A6FE2"/>
    <w:rsid w:val="001A70D1"/>
    <w:rsid w:val="001A7122"/>
    <w:rsid w:val="001A7165"/>
    <w:rsid w:val="001A76CB"/>
    <w:rsid w:val="001A7B79"/>
    <w:rsid w:val="001B00DF"/>
    <w:rsid w:val="001B040A"/>
    <w:rsid w:val="001B068C"/>
    <w:rsid w:val="001B0803"/>
    <w:rsid w:val="001B09F0"/>
    <w:rsid w:val="001B0D8D"/>
    <w:rsid w:val="001B0F78"/>
    <w:rsid w:val="001B10C0"/>
    <w:rsid w:val="001B122F"/>
    <w:rsid w:val="001B1336"/>
    <w:rsid w:val="001B165D"/>
    <w:rsid w:val="001B1674"/>
    <w:rsid w:val="001B177C"/>
    <w:rsid w:val="001B178F"/>
    <w:rsid w:val="001B1862"/>
    <w:rsid w:val="001B19E5"/>
    <w:rsid w:val="001B19F2"/>
    <w:rsid w:val="001B1FB8"/>
    <w:rsid w:val="001B2113"/>
    <w:rsid w:val="001B2397"/>
    <w:rsid w:val="001B2448"/>
    <w:rsid w:val="001B2914"/>
    <w:rsid w:val="001B2CD2"/>
    <w:rsid w:val="001B2EEE"/>
    <w:rsid w:val="001B30A8"/>
    <w:rsid w:val="001B3173"/>
    <w:rsid w:val="001B33E3"/>
    <w:rsid w:val="001B3787"/>
    <w:rsid w:val="001B3892"/>
    <w:rsid w:val="001B3D86"/>
    <w:rsid w:val="001B3EE3"/>
    <w:rsid w:val="001B401B"/>
    <w:rsid w:val="001B441E"/>
    <w:rsid w:val="001B4518"/>
    <w:rsid w:val="001B4A4A"/>
    <w:rsid w:val="001B4B03"/>
    <w:rsid w:val="001B4CBB"/>
    <w:rsid w:val="001B512C"/>
    <w:rsid w:val="001B59FC"/>
    <w:rsid w:val="001B5C5E"/>
    <w:rsid w:val="001B5CFE"/>
    <w:rsid w:val="001B5D2C"/>
    <w:rsid w:val="001B5DCD"/>
    <w:rsid w:val="001B5EF0"/>
    <w:rsid w:val="001B6084"/>
    <w:rsid w:val="001B686F"/>
    <w:rsid w:val="001B6896"/>
    <w:rsid w:val="001B6C13"/>
    <w:rsid w:val="001B6D04"/>
    <w:rsid w:val="001B6D06"/>
    <w:rsid w:val="001B7119"/>
    <w:rsid w:val="001B7B25"/>
    <w:rsid w:val="001B7B3D"/>
    <w:rsid w:val="001B7C72"/>
    <w:rsid w:val="001B7D23"/>
    <w:rsid w:val="001B7DBA"/>
    <w:rsid w:val="001B7DC3"/>
    <w:rsid w:val="001C03D5"/>
    <w:rsid w:val="001C04D6"/>
    <w:rsid w:val="001C09B6"/>
    <w:rsid w:val="001C09C2"/>
    <w:rsid w:val="001C0C79"/>
    <w:rsid w:val="001C0E89"/>
    <w:rsid w:val="001C1032"/>
    <w:rsid w:val="001C115E"/>
    <w:rsid w:val="001C13AD"/>
    <w:rsid w:val="001C13C3"/>
    <w:rsid w:val="001C1420"/>
    <w:rsid w:val="001C149C"/>
    <w:rsid w:val="001C18B6"/>
    <w:rsid w:val="001C18C7"/>
    <w:rsid w:val="001C192D"/>
    <w:rsid w:val="001C1F80"/>
    <w:rsid w:val="001C21BF"/>
    <w:rsid w:val="001C2453"/>
    <w:rsid w:val="001C2475"/>
    <w:rsid w:val="001C2549"/>
    <w:rsid w:val="001C256B"/>
    <w:rsid w:val="001C257F"/>
    <w:rsid w:val="001C2704"/>
    <w:rsid w:val="001C270B"/>
    <w:rsid w:val="001C2A44"/>
    <w:rsid w:val="001C2DEC"/>
    <w:rsid w:val="001C30F3"/>
    <w:rsid w:val="001C3246"/>
    <w:rsid w:val="001C32A3"/>
    <w:rsid w:val="001C3EC6"/>
    <w:rsid w:val="001C411C"/>
    <w:rsid w:val="001C45F5"/>
    <w:rsid w:val="001C47FA"/>
    <w:rsid w:val="001C4828"/>
    <w:rsid w:val="001C4C73"/>
    <w:rsid w:val="001C50A7"/>
    <w:rsid w:val="001C528B"/>
    <w:rsid w:val="001C528C"/>
    <w:rsid w:val="001C52BD"/>
    <w:rsid w:val="001C567B"/>
    <w:rsid w:val="001C59BB"/>
    <w:rsid w:val="001C5F6C"/>
    <w:rsid w:val="001C627E"/>
    <w:rsid w:val="001C649D"/>
    <w:rsid w:val="001C65DD"/>
    <w:rsid w:val="001C69B9"/>
    <w:rsid w:val="001C6AD9"/>
    <w:rsid w:val="001C70DA"/>
    <w:rsid w:val="001C7540"/>
    <w:rsid w:val="001C7643"/>
    <w:rsid w:val="001C77CC"/>
    <w:rsid w:val="001C7DED"/>
    <w:rsid w:val="001C7E99"/>
    <w:rsid w:val="001C7F85"/>
    <w:rsid w:val="001D02C2"/>
    <w:rsid w:val="001D078A"/>
    <w:rsid w:val="001D07A4"/>
    <w:rsid w:val="001D09BD"/>
    <w:rsid w:val="001D0CD8"/>
    <w:rsid w:val="001D162B"/>
    <w:rsid w:val="001D17FC"/>
    <w:rsid w:val="001D1BBD"/>
    <w:rsid w:val="001D23BB"/>
    <w:rsid w:val="001D24CA"/>
    <w:rsid w:val="001D2781"/>
    <w:rsid w:val="001D27CE"/>
    <w:rsid w:val="001D29E9"/>
    <w:rsid w:val="001D2AFB"/>
    <w:rsid w:val="001D2D27"/>
    <w:rsid w:val="001D320E"/>
    <w:rsid w:val="001D3293"/>
    <w:rsid w:val="001D32DB"/>
    <w:rsid w:val="001D392B"/>
    <w:rsid w:val="001D3C52"/>
    <w:rsid w:val="001D3FE2"/>
    <w:rsid w:val="001D417E"/>
    <w:rsid w:val="001D462C"/>
    <w:rsid w:val="001D4744"/>
    <w:rsid w:val="001D4B97"/>
    <w:rsid w:val="001D4CAC"/>
    <w:rsid w:val="001D4EBC"/>
    <w:rsid w:val="001D50A3"/>
    <w:rsid w:val="001D5338"/>
    <w:rsid w:val="001D5595"/>
    <w:rsid w:val="001D579E"/>
    <w:rsid w:val="001D59E1"/>
    <w:rsid w:val="001D5A2B"/>
    <w:rsid w:val="001D5BFA"/>
    <w:rsid w:val="001D5C45"/>
    <w:rsid w:val="001D5E9D"/>
    <w:rsid w:val="001D5F47"/>
    <w:rsid w:val="001D5FAF"/>
    <w:rsid w:val="001D66B9"/>
    <w:rsid w:val="001D6A9F"/>
    <w:rsid w:val="001D6CD6"/>
    <w:rsid w:val="001D6D36"/>
    <w:rsid w:val="001D6E7B"/>
    <w:rsid w:val="001D706F"/>
    <w:rsid w:val="001D73C4"/>
    <w:rsid w:val="001D7B96"/>
    <w:rsid w:val="001D7CC0"/>
    <w:rsid w:val="001D7D3D"/>
    <w:rsid w:val="001D7ED2"/>
    <w:rsid w:val="001D7F01"/>
    <w:rsid w:val="001E01B7"/>
    <w:rsid w:val="001E0212"/>
    <w:rsid w:val="001E0762"/>
    <w:rsid w:val="001E0940"/>
    <w:rsid w:val="001E0CEA"/>
    <w:rsid w:val="001E0EB4"/>
    <w:rsid w:val="001E106A"/>
    <w:rsid w:val="001E10D2"/>
    <w:rsid w:val="001E14F8"/>
    <w:rsid w:val="001E1542"/>
    <w:rsid w:val="001E1832"/>
    <w:rsid w:val="001E189A"/>
    <w:rsid w:val="001E19B0"/>
    <w:rsid w:val="001E1A88"/>
    <w:rsid w:val="001E1B1A"/>
    <w:rsid w:val="001E2104"/>
    <w:rsid w:val="001E26CA"/>
    <w:rsid w:val="001E26EF"/>
    <w:rsid w:val="001E29D0"/>
    <w:rsid w:val="001E29DE"/>
    <w:rsid w:val="001E2AF4"/>
    <w:rsid w:val="001E2D8E"/>
    <w:rsid w:val="001E3299"/>
    <w:rsid w:val="001E360F"/>
    <w:rsid w:val="001E3668"/>
    <w:rsid w:val="001E3733"/>
    <w:rsid w:val="001E37C3"/>
    <w:rsid w:val="001E39C5"/>
    <w:rsid w:val="001E3C69"/>
    <w:rsid w:val="001E44E9"/>
    <w:rsid w:val="001E46A6"/>
    <w:rsid w:val="001E46FF"/>
    <w:rsid w:val="001E4807"/>
    <w:rsid w:val="001E494C"/>
    <w:rsid w:val="001E5033"/>
    <w:rsid w:val="001E50C6"/>
    <w:rsid w:val="001E528A"/>
    <w:rsid w:val="001E52A0"/>
    <w:rsid w:val="001E53BB"/>
    <w:rsid w:val="001E56E2"/>
    <w:rsid w:val="001E5839"/>
    <w:rsid w:val="001E596A"/>
    <w:rsid w:val="001E60FC"/>
    <w:rsid w:val="001E6390"/>
    <w:rsid w:val="001E6954"/>
    <w:rsid w:val="001E69AB"/>
    <w:rsid w:val="001E6A06"/>
    <w:rsid w:val="001E6A84"/>
    <w:rsid w:val="001E6E80"/>
    <w:rsid w:val="001E6EDB"/>
    <w:rsid w:val="001E742F"/>
    <w:rsid w:val="001F004C"/>
    <w:rsid w:val="001F040B"/>
    <w:rsid w:val="001F0502"/>
    <w:rsid w:val="001F072E"/>
    <w:rsid w:val="001F07B6"/>
    <w:rsid w:val="001F0805"/>
    <w:rsid w:val="001F0836"/>
    <w:rsid w:val="001F0F84"/>
    <w:rsid w:val="001F10B4"/>
    <w:rsid w:val="001F1527"/>
    <w:rsid w:val="001F1DCB"/>
    <w:rsid w:val="001F2166"/>
    <w:rsid w:val="001F2180"/>
    <w:rsid w:val="001F21D8"/>
    <w:rsid w:val="001F243A"/>
    <w:rsid w:val="001F2464"/>
    <w:rsid w:val="001F2522"/>
    <w:rsid w:val="001F26C0"/>
    <w:rsid w:val="001F3151"/>
    <w:rsid w:val="001F338B"/>
    <w:rsid w:val="001F3504"/>
    <w:rsid w:val="001F3724"/>
    <w:rsid w:val="001F3752"/>
    <w:rsid w:val="001F3B1B"/>
    <w:rsid w:val="001F3DC9"/>
    <w:rsid w:val="001F4037"/>
    <w:rsid w:val="001F4149"/>
    <w:rsid w:val="001F41E1"/>
    <w:rsid w:val="001F4810"/>
    <w:rsid w:val="001F4887"/>
    <w:rsid w:val="001F4ACE"/>
    <w:rsid w:val="001F4E6D"/>
    <w:rsid w:val="001F4F16"/>
    <w:rsid w:val="001F5319"/>
    <w:rsid w:val="001F5A7A"/>
    <w:rsid w:val="001F5AAC"/>
    <w:rsid w:val="001F6B2B"/>
    <w:rsid w:val="001F6E65"/>
    <w:rsid w:val="001F6F33"/>
    <w:rsid w:val="001F712F"/>
    <w:rsid w:val="001F7346"/>
    <w:rsid w:val="001F7398"/>
    <w:rsid w:val="001F758A"/>
    <w:rsid w:val="001F7DFE"/>
    <w:rsid w:val="002006B8"/>
    <w:rsid w:val="00200861"/>
    <w:rsid w:val="002008D9"/>
    <w:rsid w:val="0020093F"/>
    <w:rsid w:val="00200FE5"/>
    <w:rsid w:val="00201004"/>
    <w:rsid w:val="00201109"/>
    <w:rsid w:val="00201533"/>
    <w:rsid w:val="002019AD"/>
    <w:rsid w:val="00202204"/>
    <w:rsid w:val="002022F7"/>
    <w:rsid w:val="0020235F"/>
    <w:rsid w:val="00202633"/>
    <w:rsid w:val="0020276A"/>
    <w:rsid w:val="0020293C"/>
    <w:rsid w:val="00202979"/>
    <w:rsid w:val="00202988"/>
    <w:rsid w:val="00202EBF"/>
    <w:rsid w:val="002031E3"/>
    <w:rsid w:val="002034A8"/>
    <w:rsid w:val="002035FB"/>
    <w:rsid w:val="00204FAE"/>
    <w:rsid w:val="00204FC0"/>
    <w:rsid w:val="00205378"/>
    <w:rsid w:val="002053CE"/>
    <w:rsid w:val="002056A3"/>
    <w:rsid w:val="00205B37"/>
    <w:rsid w:val="00205E96"/>
    <w:rsid w:val="00205F90"/>
    <w:rsid w:val="002063C3"/>
    <w:rsid w:val="00206E2E"/>
    <w:rsid w:val="00207794"/>
    <w:rsid w:val="002077B4"/>
    <w:rsid w:val="00207984"/>
    <w:rsid w:val="00207AB4"/>
    <w:rsid w:val="00207D01"/>
    <w:rsid w:val="00210022"/>
    <w:rsid w:val="00210147"/>
    <w:rsid w:val="002104D1"/>
    <w:rsid w:val="00210BD8"/>
    <w:rsid w:val="00210D47"/>
    <w:rsid w:val="0021151A"/>
    <w:rsid w:val="002115C0"/>
    <w:rsid w:val="0021170F"/>
    <w:rsid w:val="00211B75"/>
    <w:rsid w:val="00211B86"/>
    <w:rsid w:val="00211E45"/>
    <w:rsid w:val="00211EF7"/>
    <w:rsid w:val="002123AF"/>
    <w:rsid w:val="00212828"/>
    <w:rsid w:val="00212933"/>
    <w:rsid w:val="00212C1C"/>
    <w:rsid w:val="00212CC7"/>
    <w:rsid w:val="00212DCC"/>
    <w:rsid w:val="00212E65"/>
    <w:rsid w:val="002132D8"/>
    <w:rsid w:val="00213824"/>
    <w:rsid w:val="00213994"/>
    <w:rsid w:val="00213A2F"/>
    <w:rsid w:val="00213EBF"/>
    <w:rsid w:val="00213FDD"/>
    <w:rsid w:val="002141A1"/>
    <w:rsid w:val="002144C3"/>
    <w:rsid w:val="0021451E"/>
    <w:rsid w:val="002146D5"/>
    <w:rsid w:val="002149D8"/>
    <w:rsid w:val="00214ABE"/>
    <w:rsid w:val="00214E76"/>
    <w:rsid w:val="00214F59"/>
    <w:rsid w:val="002150C3"/>
    <w:rsid w:val="00215243"/>
    <w:rsid w:val="0021534B"/>
    <w:rsid w:val="0021584F"/>
    <w:rsid w:val="00215B75"/>
    <w:rsid w:val="00215BA9"/>
    <w:rsid w:val="00215C5A"/>
    <w:rsid w:val="00215EE3"/>
    <w:rsid w:val="00216408"/>
    <w:rsid w:val="00216809"/>
    <w:rsid w:val="00216A0E"/>
    <w:rsid w:val="00216C76"/>
    <w:rsid w:val="00216F31"/>
    <w:rsid w:val="002170C6"/>
    <w:rsid w:val="00217373"/>
    <w:rsid w:val="0021762F"/>
    <w:rsid w:val="00217685"/>
    <w:rsid w:val="002176DC"/>
    <w:rsid w:val="002178F6"/>
    <w:rsid w:val="00217D8F"/>
    <w:rsid w:val="00217E4B"/>
    <w:rsid w:val="00217F40"/>
    <w:rsid w:val="002203AA"/>
    <w:rsid w:val="0022085B"/>
    <w:rsid w:val="00220913"/>
    <w:rsid w:val="0022091D"/>
    <w:rsid w:val="00220995"/>
    <w:rsid w:val="00220A8B"/>
    <w:rsid w:val="00220A91"/>
    <w:rsid w:val="00221065"/>
    <w:rsid w:val="002212E7"/>
    <w:rsid w:val="002215C6"/>
    <w:rsid w:val="00221608"/>
    <w:rsid w:val="00221897"/>
    <w:rsid w:val="00222009"/>
    <w:rsid w:val="00222056"/>
    <w:rsid w:val="00222348"/>
    <w:rsid w:val="002224CA"/>
    <w:rsid w:val="0022285C"/>
    <w:rsid w:val="00222AB5"/>
    <w:rsid w:val="00222D83"/>
    <w:rsid w:val="00223105"/>
    <w:rsid w:val="0022334F"/>
    <w:rsid w:val="002234E3"/>
    <w:rsid w:val="0022350B"/>
    <w:rsid w:val="002236E5"/>
    <w:rsid w:val="00223BE5"/>
    <w:rsid w:val="00223F52"/>
    <w:rsid w:val="0022418D"/>
    <w:rsid w:val="002241B4"/>
    <w:rsid w:val="00224568"/>
    <w:rsid w:val="00224970"/>
    <w:rsid w:val="002249B7"/>
    <w:rsid w:val="00224C69"/>
    <w:rsid w:val="00224D28"/>
    <w:rsid w:val="00224D5B"/>
    <w:rsid w:val="00225264"/>
    <w:rsid w:val="00225282"/>
    <w:rsid w:val="002256EE"/>
    <w:rsid w:val="00225B3B"/>
    <w:rsid w:val="00225F6A"/>
    <w:rsid w:val="00225FBF"/>
    <w:rsid w:val="00225FE3"/>
    <w:rsid w:val="00226264"/>
    <w:rsid w:val="0022658C"/>
    <w:rsid w:val="00226697"/>
    <w:rsid w:val="00226E63"/>
    <w:rsid w:val="0022703E"/>
    <w:rsid w:val="00227166"/>
    <w:rsid w:val="002271E6"/>
    <w:rsid w:val="00227730"/>
    <w:rsid w:val="00227C50"/>
    <w:rsid w:val="00227E8B"/>
    <w:rsid w:val="00227EF6"/>
    <w:rsid w:val="00230A21"/>
    <w:rsid w:val="00230B7C"/>
    <w:rsid w:val="00230B9C"/>
    <w:rsid w:val="00230C5A"/>
    <w:rsid w:val="00230ED8"/>
    <w:rsid w:val="00231113"/>
    <w:rsid w:val="00231186"/>
    <w:rsid w:val="0023153F"/>
    <w:rsid w:val="00231F25"/>
    <w:rsid w:val="00232151"/>
    <w:rsid w:val="002321BF"/>
    <w:rsid w:val="002327DA"/>
    <w:rsid w:val="0023294F"/>
    <w:rsid w:val="00232A3A"/>
    <w:rsid w:val="00232E7B"/>
    <w:rsid w:val="00232EC1"/>
    <w:rsid w:val="00233833"/>
    <w:rsid w:val="00233B8A"/>
    <w:rsid w:val="00233C51"/>
    <w:rsid w:val="00233D4D"/>
    <w:rsid w:val="00233DBA"/>
    <w:rsid w:val="002343B9"/>
    <w:rsid w:val="0023458B"/>
    <w:rsid w:val="002345E6"/>
    <w:rsid w:val="00234794"/>
    <w:rsid w:val="002348CB"/>
    <w:rsid w:val="00234C1D"/>
    <w:rsid w:val="00235296"/>
    <w:rsid w:val="00235B50"/>
    <w:rsid w:val="00235DA6"/>
    <w:rsid w:val="00236084"/>
    <w:rsid w:val="002361DB"/>
    <w:rsid w:val="002363C3"/>
    <w:rsid w:val="0023678C"/>
    <w:rsid w:val="002369E4"/>
    <w:rsid w:val="00236A81"/>
    <w:rsid w:val="00237117"/>
    <w:rsid w:val="002371C5"/>
    <w:rsid w:val="002371D1"/>
    <w:rsid w:val="0023737D"/>
    <w:rsid w:val="0023745D"/>
    <w:rsid w:val="002374A7"/>
    <w:rsid w:val="00237623"/>
    <w:rsid w:val="00237991"/>
    <w:rsid w:val="00237C08"/>
    <w:rsid w:val="00237C69"/>
    <w:rsid w:val="00237DEC"/>
    <w:rsid w:val="002407F0"/>
    <w:rsid w:val="002407FB"/>
    <w:rsid w:val="00240B7B"/>
    <w:rsid w:val="00241130"/>
    <w:rsid w:val="002411D4"/>
    <w:rsid w:val="00241345"/>
    <w:rsid w:val="002413E9"/>
    <w:rsid w:val="00241465"/>
    <w:rsid w:val="002419CD"/>
    <w:rsid w:val="00241ABC"/>
    <w:rsid w:val="00241C34"/>
    <w:rsid w:val="00241DC3"/>
    <w:rsid w:val="00241F6F"/>
    <w:rsid w:val="00242185"/>
    <w:rsid w:val="0024236C"/>
    <w:rsid w:val="00242536"/>
    <w:rsid w:val="002427ED"/>
    <w:rsid w:val="002428C0"/>
    <w:rsid w:val="00242A8F"/>
    <w:rsid w:val="00242B04"/>
    <w:rsid w:val="00242BAC"/>
    <w:rsid w:val="00242C50"/>
    <w:rsid w:val="002430E7"/>
    <w:rsid w:val="002435EF"/>
    <w:rsid w:val="002437DC"/>
    <w:rsid w:val="002438D0"/>
    <w:rsid w:val="00243AFC"/>
    <w:rsid w:val="00243C07"/>
    <w:rsid w:val="00243F33"/>
    <w:rsid w:val="002441CE"/>
    <w:rsid w:val="0024482D"/>
    <w:rsid w:val="002449D5"/>
    <w:rsid w:val="00244AD4"/>
    <w:rsid w:val="00244CF6"/>
    <w:rsid w:val="00244E8E"/>
    <w:rsid w:val="00244ECA"/>
    <w:rsid w:val="002452C2"/>
    <w:rsid w:val="002453F5"/>
    <w:rsid w:val="00245855"/>
    <w:rsid w:val="00245A5F"/>
    <w:rsid w:val="00245B5B"/>
    <w:rsid w:val="00245C5F"/>
    <w:rsid w:val="00245CF1"/>
    <w:rsid w:val="002460FE"/>
    <w:rsid w:val="00246394"/>
    <w:rsid w:val="0024655A"/>
    <w:rsid w:val="00246A44"/>
    <w:rsid w:val="00246D1F"/>
    <w:rsid w:val="00246ED2"/>
    <w:rsid w:val="00246F2B"/>
    <w:rsid w:val="00247012"/>
    <w:rsid w:val="002472A8"/>
    <w:rsid w:val="0024742C"/>
    <w:rsid w:val="0024767A"/>
    <w:rsid w:val="00247E0C"/>
    <w:rsid w:val="00247F9B"/>
    <w:rsid w:val="00247FFB"/>
    <w:rsid w:val="002504EA"/>
    <w:rsid w:val="002505BC"/>
    <w:rsid w:val="00250833"/>
    <w:rsid w:val="00251A51"/>
    <w:rsid w:val="00251AAC"/>
    <w:rsid w:val="00251DAD"/>
    <w:rsid w:val="00251E53"/>
    <w:rsid w:val="00252095"/>
    <w:rsid w:val="002521F4"/>
    <w:rsid w:val="002522CF"/>
    <w:rsid w:val="00252493"/>
    <w:rsid w:val="002524B2"/>
    <w:rsid w:val="00252D20"/>
    <w:rsid w:val="002530A4"/>
    <w:rsid w:val="0025324C"/>
    <w:rsid w:val="0025357D"/>
    <w:rsid w:val="002538E0"/>
    <w:rsid w:val="002541BA"/>
    <w:rsid w:val="00254669"/>
    <w:rsid w:val="002548B4"/>
    <w:rsid w:val="00254A32"/>
    <w:rsid w:val="00254C9B"/>
    <w:rsid w:val="00254E3B"/>
    <w:rsid w:val="00254ED1"/>
    <w:rsid w:val="00255145"/>
    <w:rsid w:val="002562FA"/>
    <w:rsid w:val="0025650B"/>
    <w:rsid w:val="0025659B"/>
    <w:rsid w:val="002565E2"/>
    <w:rsid w:val="002567A1"/>
    <w:rsid w:val="00256A69"/>
    <w:rsid w:val="00256FAA"/>
    <w:rsid w:val="00257370"/>
    <w:rsid w:val="00257580"/>
    <w:rsid w:val="00257931"/>
    <w:rsid w:val="0025797A"/>
    <w:rsid w:val="00257AB5"/>
    <w:rsid w:val="002603EA"/>
    <w:rsid w:val="00260494"/>
    <w:rsid w:val="00260712"/>
    <w:rsid w:val="00260C24"/>
    <w:rsid w:val="00260CD3"/>
    <w:rsid w:val="00260CE5"/>
    <w:rsid w:val="00260FA5"/>
    <w:rsid w:val="002610EC"/>
    <w:rsid w:val="0026113F"/>
    <w:rsid w:val="00261187"/>
    <w:rsid w:val="00261401"/>
    <w:rsid w:val="00261D04"/>
    <w:rsid w:val="00261D3F"/>
    <w:rsid w:val="0026213B"/>
    <w:rsid w:val="0026237B"/>
    <w:rsid w:val="002623FB"/>
    <w:rsid w:val="0026278E"/>
    <w:rsid w:val="0026288F"/>
    <w:rsid w:val="0026294F"/>
    <w:rsid w:val="00262A17"/>
    <w:rsid w:val="00262C2A"/>
    <w:rsid w:val="00263182"/>
    <w:rsid w:val="00263217"/>
    <w:rsid w:val="00263304"/>
    <w:rsid w:val="0026341A"/>
    <w:rsid w:val="0026345D"/>
    <w:rsid w:val="0026357A"/>
    <w:rsid w:val="00263C19"/>
    <w:rsid w:val="00263D15"/>
    <w:rsid w:val="00263E1A"/>
    <w:rsid w:val="00264193"/>
    <w:rsid w:val="0026458F"/>
    <w:rsid w:val="0026491D"/>
    <w:rsid w:val="00264A41"/>
    <w:rsid w:val="00264F3C"/>
    <w:rsid w:val="00264FFC"/>
    <w:rsid w:val="00265529"/>
    <w:rsid w:val="002659C9"/>
    <w:rsid w:val="00265E37"/>
    <w:rsid w:val="002660C7"/>
    <w:rsid w:val="00266125"/>
    <w:rsid w:val="002661A0"/>
    <w:rsid w:val="00266222"/>
    <w:rsid w:val="0026637A"/>
    <w:rsid w:val="002664F2"/>
    <w:rsid w:val="00266820"/>
    <w:rsid w:val="00266962"/>
    <w:rsid w:val="00266B0A"/>
    <w:rsid w:val="00266B20"/>
    <w:rsid w:val="0026716A"/>
    <w:rsid w:val="00267315"/>
    <w:rsid w:val="00267BA8"/>
    <w:rsid w:val="00267BAF"/>
    <w:rsid w:val="00267F90"/>
    <w:rsid w:val="00270360"/>
    <w:rsid w:val="00270BC5"/>
    <w:rsid w:val="00270F50"/>
    <w:rsid w:val="0027110F"/>
    <w:rsid w:val="002712DB"/>
    <w:rsid w:val="002714FB"/>
    <w:rsid w:val="00271678"/>
    <w:rsid w:val="00271933"/>
    <w:rsid w:val="00271C7D"/>
    <w:rsid w:val="00271CF8"/>
    <w:rsid w:val="00271D3F"/>
    <w:rsid w:val="00272065"/>
    <w:rsid w:val="00272295"/>
    <w:rsid w:val="00272301"/>
    <w:rsid w:val="00272384"/>
    <w:rsid w:val="00272409"/>
    <w:rsid w:val="00272456"/>
    <w:rsid w:val="00272596"/>
    <w:rsid w:val="00272BF5"/>
    <w:rsid w:val="00272D76"/>
    <w:rsid w:val="002730C0"/>
    <w:rsid w:val="0027312E"/>
    <w:rsid w:val="0027333F"/>
    <w:rsid w:val="00273342"/>
    <w:rsid w:val="0027345B"/>
    <w:rsid w:val="00273991"/>
    <w:rsid w:val="00273CB1"/>
    <w:rsid w:val="00273E2A"/>
    <w:rsid w:val="0027410B"/>
    <w:rsid w:val="002741AE"/>
    <w:rsid w:val="0027428C"/>
    <w:rsid w:val="002742A9"/>
    <w:rsid w:val="00274350"/>
    <w:rsid w:val="0027457C"/>
    <w:rsid w:val="002745DC"/>
    <w:rsid w:val="002749E8"/>
    <w:rsid w:val="00274ED9"/>
    <w:rsid w:val="00274F53"/>
    <w:rsid w:val="00275077"/>
    <w:rsid w:val="0027523B"/>
    <w:rsid w:val="002755DE"/>
    <w:rsid w:val="002758B0"/>
    <w:rsid w:val="00275B7D"/>
    <w:rsid w:val="00275C74"/>
    <w:rsid w:val="00275D71"/>
    <w:rsid w:val="00276483"/>
    <w:rsid w:val="002765EE"/>
    <w:rsid w:val="0027681C"/>
    <w:rsid w:val="00276E60"/>
    <w:rsid w:val="00277186"/>
    <w:rsid w:val="0027737C"/>
    <w:rsid w:val="002777DD"/>
    <w:rsid w:val="00280351"/>
    <w:rsid w:val="002803EA"/>
    <w:rsid w:val="00280488"/>
    <w:rsid w:val="00280749"/>
    <w:rsid w:val="0028086A"/>
    <w:rsid w:val="00280972"/>
    <w:rsid w:val="002809F3"/>
    <w:rsid w:val="00280CCE"/>
    <w:rsid w:val="002813B0"/>
    <w:rsid w:val="002818B3"/>
    <w:rsid w:val="00281AB8"/>
    <w:rsid w:val="00281D4C"/>
    <w:rsid w:val="00281E49"/>
    <w:rsid w:val="00281F59"/>
    <w:rsid w:val="002821F1"/>
    <w:rsid w:val="00282519"/>
    <w:rsid w:val="00282919"/>
    <w:rsid w:val="00282974"/>
    <w:rsid w:val="00282C4A"/>
    <w:rsid w:val="00282E8B"/>
    <w:rsid w:val="00283413"/>
    <w:rsid w:val="0028380C"/>
    <w:rsid w:val="002838BF"/>
    <w:rsid w:val="002838D2"/>
    <w:rsid w:val="0028392C"/>
    <w:rsid w:val="00283CF3"/>
    <w:rsid w:val="00283D28"/>
    <w:rsid w:val="00283E98"/>
    <w:rsid w:val="002840D0"/>
    <w:rsid w:val="00284377"/>
    <w:rsid w:val="00284568"/>
    <w:rsid w:val="002847C2"/>
    <w:rsid w:val="00284DD5"/>
    <w:rsid w:val="0028518A"/>
    <w:rsid w:val="002851DE"/>
    <w:rsid w:val="002851EC"/>
    <w:rsid w:val="00285456"/>
    <w:rsid w:val="0028575F"/>
    <w:rsid w:val="002859F3"/>
    <w:rsid w:val="00285A3E"/>
    <w:rsid w:val="00285C96"/>
    <w:rsid w:val="00285D28"/>
    <w:rsid w:val="00286300"/>
    <w:rsid w:val="002863EE"/>
    <w:rsid w:val="0028697F"/>
    <w:rsid w:val="00286DFE"/>
    <w:rsid w:val="00286F31"/>
    <w:rsid w:val="00287147"/>
    <w:rsid w:val="0028762E"/>
    <w:rsid w:val="0028775C"/>
    <w:rsid w:val="0028777B"/>
    <w:rsid w:val="002877D2"/>
    <w:rsid w:val="00287933"/>
    <w:rsid w:val="00287995"/>
    <w:rsid w:val="002879E9"/>
    <w:rsid w:val="00287ACF"/>
    <w:rsid w:val="00287B4D"/>
    <w:rsid w:val="00287BC1"/>
    <w:rsid w:val="0029003B"/>
    <w:rsid w:val="00290085"/>
    <w:rsid w:val="002901A1"/>
    <w:rsid w:val="00290247"/>
    <w:rsid w:val="00290853"/>
    <w:rsid w:val="00290914"/>
    <w:rsid w:val="00290B48"/>
    <w:rsid w:val="00290FC5"/>
    <w:rsid w:val="00290FED"/>
    <w:rsid w:val="00291307"/>
    <w:rsid w:val="00291A8B"/>
    <w:rsid w:val="00291C84"/>
    <w:rsid w:val="00291DB1"/>
    <w:rsid w:val="00291ECB"/>
    <w:rsid w:val="00292073"/>
    <w:rsid w:val="002921AC"/>
    <w:rsid w:val="002925F7"/>
    <w:rsid w:val="00292606"/>
    <w:rsid w:val="002926D2"/>
    <w:rsid w:val="002926D8"/>
    <w:rsid w:val="00292911"/>
    <w:rsid w:val="00292A62"/>
    <w:rsid w:val="00292B1B"/>
    <w:rsid w:val="00292C89"/>
    <w:rsid w:val="00292C91"/>
    <w:rsid w:val="00292D56"/>
    <w:rsid w:val="00292D81"/>
    <w:rsid w:val="0029322E"/>
    <w:rsid w:val="002934E5"/>
    <w:rsid w:val="00293674"/>
    <w:rsid w:val="00293921"/>
    <w:rsid w:val="00293986"/>
    <w:rsid w:val="00293BFF"/>
    <w:rsid w:val="00293C2B"/>
    <w:rsid w:val="00293E46"/>
    <w:rsid w:val="00293FCF"/>
    <w:rsid w:val="00294098"/>
    <w:rsid w:val="002941BB"/>
    <w:rsid w:val="002942C0"/>
    <w:rsid w:val="00294FED"/>
    <w:rsid w:val="00294FF1"/>
    <w:rsid w:val="002954AC"/>
    <w:rsid w:val="002958C9"/>
    <w:rsid w:val="00295DB0"/>
    <w:rsid w:val="00295E00"/>
    <w:rsid w:val="00296297"/>
    <w:rsid w:val="002965A0"/>
    <w:rsid w:val="002965E8"/>
    <w:rsid w:val="00296799"/>
    <w:rsid w:val="002967AD"/>
    <w:rsid w:val="002967FC"/>
    <w:rsid w:val="002967FF"/>
    <w:rsid w:val="00296CCF"/>
    <w:rsid w:val="0029712B"/>
    <w:rsid w:val="00297458"/>
    <w:rsid w:val="00297CB5"/>
    <w:rsid w:val="002A003D"/>
    <w:rsid w:val="002A01A2"/>
    <w:rsid w:val="002A0416"/>
    <w:rsid w:val="002A0777"/>
    <w:rsid w:val="002A079A"/>
    <w:rsid w:val="002A08C7"/>
    <w:rsid w:val="002A0D3C"/>
    <w:rsid w:val="002A0D58"/>
    <w:rsid w:val="002A0F43"/>
    <w:rsid w:val="002A1233"/>
    <w:rsid w:val="002A1483"/>
    <w:rsid w:val="002A168C"/>
    <w:rsid w:val="002A18A6"/>
    <w:rsid w:val="002A1A76"/>
    <w:rsid w:val="002A1C08"/>
    <w:rsid w:val="002A220C"/>
    <w:rsid w:val="002A2891"/>
    <w:rsid w:val="002A2CA4"/>
    <w:rsid w:val="002A2D03"/>
    <w:rsid w:val="002A2F21"/>
    <w:rsid w:val="002A304F"/>
    <w:rsid w:val="002A317B"/>
    <w:rsid w:val="002A331A"/>
    <w:rsid w:val="002A338A"/>
    <w:rsid w:val="002A33BB"/>
    <w:rsid w:val="002A358D"/>
    <w:rsid w:val="002A36E5"/>
    <w:rsid w:val="002A37B7"/>
    <w:rsid w:val="002A387E"/>
    <w:rsid w:val="002A3AB1"/>
    <w:rsid w:val="002A3F80"/>
    <w:rsid w:val="002A3FB3"/>
    <w:rsid w:val="002A401D"/>
    <w:rsid w:val="002A4373"/>
    <w:rsid w:val="002A46B1"/>
    <w:rsid w:val="002A4787"/>
    <w:rsid w:val="002A4893"/>
    <w:rsid w:val="002A494A"/>
    <w:rsid w:val="002A4D24"/>
    <w:rsid w:val="002A5092"/>
    <w:rsid w:val="002A5264"/>
    <w:rsid w:val="002A5379"/>
    <w:rsid w:val="002A590D"/>
    <w:rsid w:val="002A5CC5"/>
    <w:rsid w:val="002A5D11"/>
    <w:rsid w:val="002A6018"/>
    <w:rsid w:val="002A60CF"/>
    <w:rsid w:val="002A646D"/>
    <w:rsid w:val="002A6AC9"/>
    <w:rsid w:val="002A6CB8"/>
    <w:rsid w:val="002A6F50"/>
    <w:rsid w:val="002A73CD"/>
    <w:rsid w:val="002A73DB"/>
    <w:rsid w:val="002A7A6A"/>
    <w:rsid w:val="002A7A9C"/>
    <w:rsid w:val="002A7AC8"/>
    <w:rsid w:val="002A7AF9"/>
    <w:rsid w:val="002A7C8E"/>
    <w:rsid w:val="002A7E74"/>
    <w:rsid w:val="002A7F7B"/>
    <w:rsid w:val="002B07CB"/>
    <w:rsid w:val="002B0D23"/>
    <w:rsid w:val="002B0DAB"/>
    <w:rsid w:val="002B0E9E"/>
    <w:rsid w:val="002B0FEC"/>
    <w:rsid w:val="002B142E"/>
    <w:rsid w:val="002B14C0"/>
    <w:rsid w:val="002B1593"/>
    <w:rsid w:val="002B1696"/>
    <w:rsid w:val="002B17DB"/>
    <w:rsid w:val="002B186B"/>
    <w:rsid w:val="002B19C9"/>
    <w:rsid w:val="002B19D7"/>
    <w:rsid w:val="002B1A6E"/>
    <w:rsid w:val="002B1CA5"/>
    <w:rsid w:val="002B1CCF"/>
    <w:rsid w:val="002B1E26"/>
    <w:rsid w:val="002B226A"/>
    <w:rsid w:val="002B2B47"/>
    <w:rsid w:val="002B2BDF"/>
    <w:rsid w:val="002B2C64"/>
    <w:rsid w:val="002B2E82"/>
    <w:rsid w:val="002B3230"/>
    <w:rsid w:val="002B3401"/>
    <w:rsid w:val="002B3460"/>
    <w:rsid w:val="002B34DC"/>
    <w:rsid w:val="002B3A53"/>
    <w:rsid w:val="002B3B11"/>
    <w:rsid w:val="002B3C0A"/>
    <w:rsid w:val="002B4500"/>
    <w:rsid w:val="002B4623"/>
    <w:rsid w:val="002B4687"/>
    <w:rsid w:val="002B46C8"/>
    <w:rsid w:val="002B491A"/>
    <w:rsid w:val="002B4984"/>
    <w:rsid w:val="002B499D"/>
    <w:rsid w:val="002B4A7E"/>
    <w:rsid w:val="002B4E77"/>
    <w:rsid w:val="002B50B6"/>
    <w:rsid w:val="002B516B"/>
    <w:rsid w:val="002B5177"/>
    <w:rsid w:val="002B52C4"/>
    <w:rsid w:val="002B5468"/>
    <w:rsid w:val="002B5550"/>
    <w:rsid w:val="002B5555"/>
    <w:rsid w:val="002B55BB"/>
    <w:rsid w:val="002B58E5"/>
    <w:rsid w:val="002B622A"/>
    <w:rsid w:val="002B6789"/>
    <w:rsid w:val="002B68AE"/>
    <w:rsid w:val="002B68FD"/>
    <w:rsid w:val="002B6C0C"/>
    <w:rsid w:val="002B6E15"/>
    <w:rsid w:val="002B6ED2"/>
    <w:rsid w:val="002B7531"/>
    <w:rsid w:val="002B7549"/>
    <w:rsid w:val="002B75E0"/>
    <w:rsid w:val="002B7657"/>
    <w:rsid w:val="002B7806"/>
    <w:rsid w:val="002B780F"/>
    <w:rsid w:val="002B7A6B"/>
    <w:rsid w:val="002B7B68"/>
    <w:rsid w:val="002B7C15"/>
    <w:rsid w:val="002C00B7"/>
    <w:rsid w:val="002C043E"/>
    <w:rsid w:val="002C09E3"/>
    <w:rsid w:val="002C1909"/>
    <w:rsid w:val="002C1935"/>
    <w:rsid w:val="002C1B4F"/>
    <w:rsid w:val="002C21EC"/>
    <w:rsid w:val="002C268A"/>
    <w:rsid w:val="002C2C87"/>
    <w:rsid w:val="002C325F"/>
    <w:rsid w:val="002C34B9"/>
    <w:rsid w:val="002C352C"/>
    <w:rsid w:val="002C3872"/>
    <w:rsid w:val="002C3CBF"/>
    <w:rsid w:val="002C3CE6"/>
    <w:rsid w:val="002C456F"/>
    <w:rsid w:val="002C477F"/>
    <w:rsid w:val="002C4AA1"/>
    <w:rsid w:val="002C4AB6"/>
    <w:rsid w:val="002C4DCD"/>
    <w:rsid w:val="002C5249"/>
    <w:rsid w:val="002C5442"/>
    <w:rsid w:val="002C5772"/>
    <w:rsid w:val="002C5BB0"/>
    <w:rsid w:val="002C5CAE"/>
    <w:rsid w:val="002C5CF8"/>
    <w:rsid w:val="002C6054"/>
    <w:rsid w:val="002C6685"/>
    <w:rsid w:val="002C680D"/>
    <w:rsid w:val="002C697F"/>
    <w:rsid w:val="002C698F"/>
    <w:rsid w:val="002C6AA4"/>
    <w:rsid w:val="002C6C0F"/>
    <w:rsid w:val="002C6F19"/>
    <w:rsid w:val="002C7091"/>
    <w:rsid w:val="002C70F9"/>
    <w:rsid w:val="002C7406"/>
    <w:rsid w:val="002C7477"/>
    <w:rsid w:val="002C74F9"/>
    <w:rsid w:val="002C7AA8"/>
    <w:rsid w:val="002C7BF4"/>
    <w:rsid w:val="002C7D65"/>
    <w:rsid w:val="002C7D86"/>
    <w:rsid w:val="002C7FF9"/>
    <w:rsid w:val="002D0047"/>
    <w:rsid w:val="002D025E"/>
    <w:rsid w:val="002D0293"/>
    <w:rsid w:val="002D0565"/>
    <w:rsid w:val="002D062E"/>
    <w:rsid w:val="002D07AB"/>
    <w:rsid w:val="002D092D"/>
    <w:rsid w:val="002D0999"/>
    <w:rsid w:val="002D09D5"/>
    <w:rsid w:val="002D0AB5"/>
    <w:rsid w:val="002D0B71"/>
    <w:rsid w:val="002D1076"/>
    <w:rsid w:val="002D124B"/>
    <w:rsid w:val="002D14C5"/>
    <w:rsid w:val="002D1A7B"/>
    <w:rsid w:val="002D1B8E"/>
    <w:rsid w:val="002D1F6F"/>
    <w:rsid w:val="002D233A"/>
    <w:rsid w:val="002D2360"/>
    <w:rsid w:val="002D247F"/>
    <w:rsid w:val="002D255B"/>
    <w:rsid w:val="002D25A8"/>
    <w:rsid w:val="002D28FC"/>
    <w:rsid w:val="002D2ABA"/>
    <w:rsid w:val="002D310B"/>
    <w:rsid w:val="002D3814"/>
    <w:rsid w:val="002D38D9"/>
    <w:rsid w:val="002D3907"/>
    <w:rsid w:val="002D3CA2"/>
    <w:rsid w:val="002D3CDA"/>
    <w:rsid w:val="002D3EDA"/>
    <w:rsid w:val="002D4011"/>
    <w:rsid w:val="002D417F"/>
    <w:rsid w:val="002D482A"/>
    <w:rsid w:val="002D49A1"/>
    <w:rsid w:val="002D4B41"/>
    <w:rsid w:val="002D4CF7"/>
    <w:rsid w:val="002D4ED1"/>
    <w:rsid w:val="002D5434"/>
    <w:rsid w:val="002D59D3"/>
    <w:rsid w:val="002D5B38"/>
    <w:rsid w:val="002D60E9"/>
    <w:rsid w:val="002D64E1"/>
    <w:rsid w:val="002D69DB"/>
    <w:rsid w:val="002D6F08"/>
    <w:rsid w:val="002D70B2"/>
    <w:rsid w:val="002D77F6"/>
    <w:rsid w:val="002D7A98"/>
    <w:rsid w:val="002D7FD5"/>
    <w:rsid w:val="002E00B7"/>
    <w:rsid w:val="002E0C51"/>
    <w:rsid w:val="002E0D6F"/>
    <w:rsid w:val="002E0E00"/>
    <w:rsid w:val="002E0F2D"/>
    <w:rsid w:val="002E102D"/>
    <w:rsid w:val="002E15E1"/>
    <w:rsid w:val="002E1C7D"/>
    <w:rsid w:val="002E1D45"/>
    <w:rsid w:val="002E1E0D"/>
    <w:rsid w:val="002E2687"/>
    <w:rsid w:val="002E28CA"/>
    <w:rsid w:val="002E29EC"/>
    <w:rsid w:val="002E2D74"/>
    <w:rsid w:val="002E2EFC"/>
    <w:rsid w:val="002E2F78"/>
    <w:rsid w:val="002E3028"/>
    <w:rsid w:val="002E316A"/>
    <w:rsid w:val="002E3248"/>
    <w:rsid w:val="002E357C"/>
    <w:rsid w:val="002E3B6A"/>
    <w:rsid w:val="002E3C2C"/>
    <w:rsid w:val="002E52C3"/>
    <w:rsid w:val="002E5392"/>
    <w:rsid w:val="002E587A"/>
    <w:rsid w:val="002E5AF4"/>
    <w:rsid w:val="002E5BE4"/>
    <w:rsid w:val="002E5CFA"/>
    <w:rsid w:val="002E601D"/>
    <w:rsid w:val="002E650B"/>
    <w:rsid w:val="002E660C"/>
    <w:rsid w:val="002E675C"/>
    <w:rsid w:val="002E67D3"/>
    <w:rsid w:val="002E6814"/>
    <w:rsid w:val="002E6BBF"/>
    <w:rsid w:val="002E710C"/>
    <w:rsid w:val="002E7253"/>
    <w:rsid w:val="002E7339"/>
    <w:rsid w:val="002E7616"/>
    <w:rsid w:val="002E77C5"/>
    <w:rsid w:val="002E7A53"/>
    <w:rsid w:val="002E7AF1"/>
    <w:rsid w:val="002E7B8F"/>
    <w:rsid w:val="002E7C01"/>
    <w:rsid w:val="002E7D3E"/>
    <w:rsid w:val="002E7D5B"/>
    <w:rsid w:val="002E7FB7"/>
    <w:rsid w:val="002F0119"/>
    <w:rsid w:val="002F042C"/>
    <w:rsid w:val="002F05E6"/>
    <w:rsid w:val="002F09F1"/>
    <w:rsid w:val="002F0E4A"/>
    <w:rsid w:val="002F1345"/>
    <w:rsid w:val="002F168A"/>
    <w:rsid w:val="002F16FF"/>
    <w:rsid w:val="002F1777"/>
    <w:rsid w:val="002F17FD"/>
    <w:rsid w:val="002F182B"/>
    <w:rsid w:val="002F18C6"/>
    <w:rsid w:val="002F1AF9"/>
    <w:rsid w:val="002F1C0C"/>
    <w:rsid w:val="002F217C"/>
    <w:rsid w:val="002F21F7"/>
    <w:rsid w:val="002F2416"/>
    <w:rsid w:val="002F2742"/>
    <w:rsid w:val="002F2AD0"/>
    <w:rsid w:val="002F2B34"/>
    <w:rsid w:val="002F2BF4"/>
    <w:rsid w:val="002F2C82"/>
    <w:rsid w:val="002F2FEE"/>
    <w:rsid w:val="002F3446"/>
    <w:rsid w:val="002F34BA"/>
    <w:rsid w:val="002F3760"/>
    <w:rsid w:val="002F3A06"/>
    <w:rsid w:val="002F3D69"/>
    <w:rsid w:val="002F3F91"/>
    <w:rsid w:val="002F4439"/>
    <w:rsid w:val="002F4754"/>
    <w:rsid w:val="002F4B32"/>
    <w:rsid w:val="002F4C6A"/>
    <w:rsid w:val="002F50A6"/>
    <w:rsid w:val="002F52B1"/>
    <w:rsid w:val="002F53F4"/>
    <w:rsid w:val="002F54EB"/>
    <w:rsid w:val="002F58E6"/>
    <w:rsid w:val="002F593C"/>
    <w:rsid w:val="002F5C9E"/>
    <w:rsid w:val="002F6246"/>
    <w:rsid w:val="002F6423"/>
    <w:rsid w:val="002F64C1"/>
    <w:rsid w:val="002F6B45"/>
    <w:rsid w:val="002F6F2B"/>
    <w:rsid w:val="002F7737"/>
    <w:rsid w:val="002F77C6"/>
    <w:rsid w:val="002F79EF"/>
    <w:rsid w:val="002F7CE8"/>
    <w:rsid w:val="002F7D8D"/>
    <w:rsid w:val="002F7DB8"/>
    <w:rsid w:val="0030044C"/>
    <w:rsid w:val="0030093F"/>
    <w:rsid w:val="00300FF2"/>
    <w:rsid w:val="00301199"/>
    <w:rsid w:val="00301286"/>
    <w:rsid w:val="00301381"/>
    <w:rsid w:val="00301B66"/>
    <w:rsid w:val="00301B75"/>
    <w:rsid w:val="00301E71"/>
    <w:rsid w:val="003029F1"/>
    <w:rsid w:val="00302B04"/>
    <w:rsid w:val="00302BF9"/>
    <w:rsid w:val="00302CEF"/>
    <w:rsid w:val="00302F84"/>
    <w:rsid w:val="00303671"/>
    <w:rsid w:val="003039AB"/>
    <w:rsid w:val="00303EE9"/>
    <w:rsid w:val="0030406C"/>
    <w:rsid w:val="00304174"/>
    <w:rsid w:val="003044D5"/>
    <w:rsid w:val="003044E3"/>
    <w:rsid w:val="003044F8"/>
    <w:rsid w:val="00304CFA"/>
    <w:rsid w:val="00304D15"/>
    <w:rsid w:val="003058BF"/>
    <w:rsid w:val="00305947"/>
    <w:rsid w:val="00305A3A"/>
    <w:rsid w:val="00305CC4"/>
    <w:rsid w:val="00305D39"/>
    <w:rsid w:val="00305E5E"/>
    <w:rsid w:val="00305FF4"/>
    <w:rsid w:val="00306117"/>
    <w:rsid w:val="00306491"/>
    <w:rsid w:val="003067AA"/>
    <w:rsid w:val="003069F5"/>
    <w:rsid w:val="00306A06"/>
    <w:rsid w:val="00306A46"/>
    <w:rsid w:val="00306DF7"/>
    <w:rsid w:val="0030704D"/>
    <w:rsid w:val="00307E47"/>
    <w:rsid w:val="00307F2F"/>
    <w:rsid w:val="00310412"/>
    <w:rsid w:val="003105D0"/>
    <w:rsid w:val="00310701"/>
    <w:rsid w:val="00310A9F"/>
    <w:rsid w:val="0031106F"/>
    <w:rsid w:val="00311160"/>
    <w:rsid w:val="00311732"/>
    <w:rsid w:val="003118C5"/>
    <w:rsid w:val="00311B0C"/>
    <w:rsid w:val="00311FF9"/>
    <w:rsid w:val="0031231B"/>
    <w:rsid w:val="0031279A"/>
    <w:rsid w:val="0031294C"/>
    <w:rsid w:val="00312F60"/>
    <w:rsid w:val="003130EF"/>
    <w:rsid w:val="00313575"/>
    <w:rsid w:val="00313799"/>
    <w:rsid w:val="003139F3"/>
    <w:rsid w:val="00313C9D"/>
    <w:rsid w:val="00313CA5"/>
    <w:rsid w:val="003140CF"/>
    <w:rsid w:val="00314486"/>
    <w:rsid w:val="00314A87"/>
    <w:rsid w:val="00314A9A"/>
    <w:rsid w:val="00314AF7"/>
    <w:rsid w:val="00314C11"/>
    <w:rsid w:val="00315061"/>
    <w:rsid w:val="003151C9"/>
    <w:rsid w:val="003153B3"/>
    <w:rsid w:val="0031543C"/>
    <w:rsid w:val="00315E5C"/>
    <w:rsid w:val="00315FF5"/>
    <w:rsid w:val="0031619E"/>
    <w:rsid w:val="003162BF"/>
    <w:rsid w:val="003162E3"/>
    <w:rsid w:val="00316451"/>
    <w:rsid w:val="0031679B"/>
    <w:rsid w:val="003167CB"/>
    <w:rsid w:val="003169AA"/>
    <w:rsid w:val="00316A44"/>
    <w:rsid w:val="00316A5F"/>
    <w:rsid w:val="00316BEB"/>
    <w:rsid w:val="00316DE8"/>
    <w:rsid w:val="00316EC3"/>
    <w:rsid w:val="00317329"/>
    <w:rsid w:val="0031799A"/>
    <w:rsid w:val="00317ADA"/>
    <w:rsid w:val="00317AED"/>
    <w:rsid w:val="00317EC0"/>
    <w:rsid w:val="00320151"/>
    <w:rsid w:val="0032026E"/>
    <w:rsid w:val="00320B4B"/>
    <w:rsid w:val="00320B55"/>
    <w:rsid w:val="00320E4D"/>
    <w:rsid w:val="003213BA"/>
    <w:rsid w:val="0032185B"/>
    <w:rsid w:val="00321D8D"/>
    <w:rsid w:val="00322074"/>
    <w:rsid w:val="00322264"/>
    <w:rsid w:val="003228E6"/>
    <w:rsid w:val="00322937"/>
    <w:rsid w:val="00322C29"/>
    <w:rsid w:val="00322D98"/>
    <w:rsid w:val="00322EC1"/>
    <w:rsid w:val="00323DE8"/>
    <w:rsid w:val="00323FCC"/>
    <w:rsid w:val="00324FBD"/>
    <w:rsid w:val="00325220"/>
    <w:rsid w:val="00325364"/>
    <w:rsid w:val="00325390"/>
    <w:rsid w:val="00325705"/>
    <w:rsid w:val="00325739"/>
    <w:rsid w:val="00325748"/>
    <w:rsid w:val="003257AC"/>
    <w:rsid w:val="00325DD3"/>
    <w:rsid w:val="00325E9A"/>
    <w:rsid w:val="0032624D"/>
    <w:rsid w:val="003263D7"/>
    <w:rsid w:val="003268DE"/>
    <w:rsid w:val="00326AED"/>
    <w:rsid w:val="00326B77"/>
    <w:rsid w:val="003271AE"/>
    <w:rsid w:val="00327C72"/>
    <w:rsid w:val="00327D1B"/>
    <w:rsid w:val="00327D75"/>
    <w:rsid w:val="00330552"/>
    <w:rsid w:val="00330723"/>
    <w:rsid w:val="00330B17"/>
    <w:rsid w:val="00330BCE"/>
    <w:rsid w:val="0033200E"/>
    <w:rsid w:val="0033212D"/>
    <w:rsid w:val="003326DE"/>
    <w:rsid w:val="0033279F"/>
    <w:rsid w:val="00332C01"/>
    <w:rsid w:val="00332C55"/>
    <w:rsid w:val="0033301B"/>
    <w:rsid w:val="003335D0"/>
    <w:rsid w:val="003338AF"/>
    <w:rsid w:val="003339BD"/>
    <w:rsid w:val="00333DD8"/>
    <w:rsid w:val="00334108"/>
    <w:rsid w:val="003347A6"/>
    <w:rsid w:val="00334855"/>
    <w:rsid w:val="003349FE"/>
    <w:rsid w:val="00335122"/>
    <w:rsid w:val="00335747"/>
    <w:rsid w:val="00335890"/>
    <w:rsid w:val="00335CE6"/>
    <w:rsid w:val="00335FC5"/>
    <w:rsid w:val="0033601C"/>
    <w:rsid w:val="00336297"/>
    <w:rsid w:val="003362AF"/>
    <w:rsid w:val="00336444"/>
    <w:rsid w:val="003364C8"/>
    <w:rsid w:val="00336BB5"/>
    <w:rsid w:val="00336BBE"/>
    <w:rsid w:val="003371B0"/>
    <w:rsid w:val="003371DC"/>
    <w:rsid w:val="003373DE"/>
    <w:rsid w:val="00337407"/>
    <w:rsid w:val="003374A5"/>
    <w:rsid w:val="00337836"/>
    <w:rsid w:val="0033786A"/>
    <w:rsid w:val="00337B56"/>
    <w:rsid w:val="00337D3A"/>
    <w:rsid w:val="0034024A"/>
    <w:rsid w:val="003402A0"/>
    <w:rsid w:val="0034075F"/>
    <w:rsid w:val="003407CC"/>
    <w:rsid w:val="003407FE"/>
    <w:rsid w:val="00340F41"/>
    <w:rsid w:val="003410AF"/>
    <w:rsid w:val="0034123A"/>
    <w:rsid w:val="00341295"/>
    <w:rsid w:val="003412DE"/>
    <w:rsid w:val="0034133D"/>
    <w:rsid w:val="0034194C"/>
    <w:rsid w:val="00341CFE"/>
    <w:rsid w:val="003421BC"/>
    <w:rsid w:val="00342214"/>
    <w:rsid w:val="003426CD"/>
    <w:rsid w:val="003427B2"/>
    <w:rsid w:val="00342A30"/>
    <w:rsid w:val="003430E6"/>
    <w:rsid w:val="00343208"/>
    <w:rsid w:val="003436B9"/>
    <w:rsid w:val="00343A04"/>
    <w:rsid w:val="00344081"/>
    <w:rsid w:val="00344149"/>
    <w:rsid w:val="003444B6"/>
    <w:rsid w:val="00344AD0"/>
    <w:rsid w:val="00344CCD"/>
    <w:rsid w:val="00344F3A"/>
    <w:rsid w:val="003451B6"/>
    <w:rsid w:val="003451D6"/>
    <w:rsid w:val="00345413"/>
    <w:rsid w:val="003455F5"/>
    <w:rsid w:val="00345698"/>
    <w:rsid w:val="003459CB"/>
    <w:rsid w:val="00345B4F"/>
    <w:rsid w:val="00345CBB"/>
    <w:rsid w:val="00345DA7"/>
    <w:rsid w:val="0034628D"/>
    <w:rsid w:val="00346FD3"/>
    <w:rsid w:val="00346FDB"/>
    <w:rsid w:val="0034732F"/>
    <w:rsid w:val="0034766E"/>
    <w:rsid w:val="003476B6"/>
    <w:rsid w:val="00347730"/>
    <w:rsid w:val="00347740"/>
    <w:rsid w:val="00347A7C"/>
    <w:rsid w:val="00347C35"/>
    <w:rsid w:val="00350090"/>
    <w:rsid w:val="003501F1"/>
    <w:rsid w:val="00350200"/>
    <w:rsid w:val="0035042A"/>
    <w:rsid w:val="0035061E"/>
    <w:rsid w:val="00350BFA"/>
    <w:rsid w:val="00350EC2"/>
    <w:rsid w:val="00351042"/>
    <w:rsid w:val="00351223"/>
    <w:rsid w:val="003513A2"/>
    <w:rsid w:val="003514A8"/>
    <w:rsid w:val="00351679"/>
    <w:rsid w:val="003516A4"/>
    <w:rsid w:val="003517B7"/>
    <w:rsid w:val="003519E4"/>
    <w:rsid w:val="003520DB"/>
    <w:rsid w:val="003520DD"/>
    <w:rsid w:val="00352270"/>
    <w:rsid w:val="00352941"/>
    <w:rsid w:val="00352A5C"/>
    <w:rsid w:val="00352F15"/>
    <w:rsid w:val="003530A3"/>
    <w:rsid w:val="003530F2"/>
    <w:rsid w:val="00353174"/>
    <w:rsid w:val="0035317C"/>
    <w:rsid w:val="003531B8"/>
    <w:rsid w:val="00353C98"/>
    <w:rsid w:val="003542B5"/>
    <w:rsid w:val="003546BE"/>
    <w:rsid w:val="0035498B"/>
    <w:rsid w:val="00354CA9"/>
    <w:rsid w:val="0035524C"/>
    <w:rsid w:val="0035525E"/>
    <w:rsid w:val="00355C5E"/>
    <w:rsid w:val="00355E3B"/>
    <w:rsid w:val="00356AD4"/>
    <w:rsid w:val="00356B5C"/>
    <w:rsid w:val="00356B80"/>
    <w:rsid w:val="00356D86"/>
    <w:rsid w:val="00356EE3"/>
    <w:rsid w:val="0035713B"/>
    <w:rsid w:val="003572A4"/>
    <w:rsid w:val="00357ACC"/>
    <w:rsid w:val="00357FA9"/>
    <w:rsid w:val="003600E4"/>
    <w:rsid w:val="00360EDD"/>
    <w:rsid w:val="00360F84"/>
    <w:rsid w:val="00361095"/>
    <w:rsid w:val="003611D5"/>
    <w:rsid w:val="00361607"/>
    <w:rsid w:val="00361963"/>
    <w:rsid w:val="00361BF1"/>
    <w:rsid w:val="003623CA"/>
    <w:rsid w:val="00362CD3"/>
    <w:rsid w:val="00362DDC"/>
    <w:rsid w:val="00362F72"/>
    <w:rsid w:val="003630F4"/>
    <w:rsid w:val="00363336"/>
    <w:rsid w:val="003635B0"/>
    <w:rsid w:val="003636F0"/>
    <w:rsid w:val="00363810"/>
    <w:rsid w:val="00363FF0"/>
    <w:rsid w:val="0036418B"/>
    <w:rsid w:val="003642F3"/>
    <w:rsid w:val="00365392"/>
    <w:rsid w:val="00365568"/>
    <w:rsid w:val="003658C2"/>
    <w:rsid w:val="0036596B"/>
    <w:rsid w:val="00365D4E"/>
    <w:rsid w:val="0036625C"/>
    <w:rsid w:val="00366752"/>
    <w:rsid w:val="00366794"/>
    <w:rsid w:val="00366905"/>
    <w:rsid w:val="003669D2"/>
    <w:rsid w:val="003669F4"/>
    <w:rsid w:val="00366AA6"/>
    <w:rsid w:val="00366EFC"/>
    <w:rsid w:val="00367069"/>
    <w:rsid w:val="003670D1"/>
    <w:rsid w:val="00367215"/>
    <w:rsid w:val="00367670"/>
    <w:rsid w:val="00367A70"/>
    <w:rsid w:val="00367CC8"/>
    <w:rsid w:val="00367D7B"/>
    <w:rsid w:val="0037006F"/>
    <w:rsid w:val="00370507"/>
    <w:rsid w:val="0037067D"/>
    <w:rsid w:val="00370868"/>
    <w:rsid w:val="00370874"/>
    <w:rsid w:val="00370CE9"/>
    <w:rsid w:val="00370ED0"/>
    <w:rsid w:val="00371BF5"/>
    <w:rsid w:val="00371BFC"/>
    <w:rsid w:val="00371C9E"/>
    <w:rsid w:val="00371E71"/>
    <w:rsid w:val="00372640"/>
    <w:rsid w:val="0037299E"/>
    <w:rsid w:val="00372C52"/>
    <w:rsid w:val="0037339D"/>
    <w:rsid w:val="003733C0"/>
    <w:rsid w:val="003733C5"/>
    <w:rsid w:val="00373485"/>
    <w:rsid w:val="003735D9"/>
    <w:rsid w:val="00373623"/>
    <w:rsid w:val="00373624"/>
    <w:rsid w:val="00373658"/>
    <w:rsid w:val="00373868"/>
    <w:rsid w:val="00373C03"/>
    <w:rsid w:val="00373E07"/>
    <w:rsid w:val="0037401C"/>
    <w:rsid w:val="0037428A"/>
    <w:rsid w:val="0037440C"/>
    <w:rsid w:val="00374D65"/>
    <w:rsid w:val="0037549D"/>
    <w:rsid w:val="003754AC"/>
    <w:rsid w:val="00375A40"/>
    <w:rsid w:val="00375FE0"/>
    <w:rsid w:val="003760C2"/>
    <w:rsid w:val="003761E8"/>
    <w:rsid w:val="0037639E"/>
    <w:rsid w:val="0037676A"/>
    <w:rsid w:val="00376843"/>
    <w:rsid w:val="00376FEF"/>
    <w:rsid w:val="00377171"/>
    <w:rsid w:val="00377272"/>
    <w:rsid w:val="00377345"/>
    <w:rsid w:val="0037739D"/>
    <w:rsid w:val="0037774F"/>
    <w:rsid w:val="003777D9"/>
    <w:rsid w:val="00377A8E"/>
    <w:rsid w:val="00377F5E"/>
    <w:rsid w:val="00377FC0"/>
    <w:rsid w:val="00380090"/>
    <w:rsid w:val="003801E4"/>
    <w:rsid w:val="00380E25"/>
    <w:rsid w:val="0038162D"/>
    <w:rsid w:val="0038169E"/>
    <w:rsid w:val="003816E7"/>
    <w:rsid w:val="003817D7"/>
    <w:rsid w:val="00381DC9"/>
    <w:rsid w:val="00381ECE"/>
    <w:rsid w:val="00382154"/>
    <w:rsid w:val="003821A3"/>
    <w:rsid w:val="003823F6"/>
    <w:rsid w:val="00382558"/>
    <w:rsid w:val="003826F0"/>
    <w:rsid w:val="0038276B"/>
    <w:rsid w:val="00382E37"/>
    <w:rsid w:val="003831DB"/>
    <w:rsid w:val="00383500"/>
    <w:rsid w:val="00383558"/>
    <w:rsid w:val="003837D7"/>
    <w:rsid w:val="0038384C"/>
    <w:rsid w:val="00383E0E"/>
    <w:rsid w:val="003841B5"/>
    <w:rsid w:val="003841C2"/>
    <w:rsid w:val="003845F3"/>
    <w:rsid w:val="0038475F"/>
    <w:rsid w:val="00384EB3"/>
    <w:rsid w:val="00384F4C"/>
    <w:rsid w:val="0038551C"/>
    <w:rsid w:val="003855CB"/>
    <w:rsid w:val="00385750"/>
    <w:rsid w:val="003857B3"/>
    <w:rsid w:val="0038627B"/>
    <w:rsid w:val="0038653D"/>
    <w:rsid w:val="00386B29"/>
    <w:rsid w:val="003871F9"/>
    <w:rsid w:val="003877DB"/>
    <w:rsid w:val="003877FF"/>
    <w:rsid w:val="00387810"/>
    <w:rsid w:val="00387A71"/>
    <w:rsid w:val="00390421"/>
    <w:rsid w:val="0039054E"/>
    <w:rsid w:val="00390A6E"/>
    <w:rsid w:val="00390F33"/>
    <w:rsid w:val="00390F98"/>
    <w:rsid w:val="00390F9E"/>
    <w:rsid w:val="00391576"/>
    <w:rsid w:val="003915C7"/>
    <w:rsid w:val="00391C10"/>
    <w:rsid w:val="00391D0B"/>
    <w:rsid w:val="00391D46"/>
    <w:rsid w:val="0039205D"/>
    <w:rsid w:val="003926E5"/>
    <w:rsid w:val="00392946"/>
    <w:rsid w:val="00392B11"/>
    <w:rsid w:val="00392B1E"/>
    <w:rsid w:val="00392D0B"/>
    <w:rsid w:val="00393061"/>
    <w:rsid w:val="00393246"/>
    <w:rsid w:val="00393994"/>
    <w:rsid w:val="00393A18"/>
    <w:rsid w:val="00393B86"/>
    <w:rsid w:val="0039414D"/>
    <w:rsid w:val="00394176"/>
    <w:rsid w:val="003941F8"/>
    <w:rsid w:val="0039455F"/>
    <w:rsid w:val="00394AF5"/>
    <w:rsid w:val="003953F0"/>
    <w:rsid w:val="003954E4"/>
    <w:rsid w:val="0039558D"/>
    <w:rsid w:val="00395895"/>
    <w:rsid w:val="00395992"/>
    <w:rsid w:val="00395BCF"/>
    <w:rsid w:val="00395CC8"/>
    <w:rsid w:val="0039615F"/>
    <w:rsid w:val="003963B4"/>
    <w:rsid w:val="003963D5"/>
    <w:rsid w:val="0039660E"/>
    <w:rsid w:val="00396AA2"/>
    <w:rsid w:val="00396AF0"/>
    <w:rsid w:val="00396D68"/>
    <w:rsid w:val="00396FE7"/>
    <w:rsid w:val="0039724D"/>
    <w:rsid w:val="003A00CD"/>
    <w:rsid w:val="003A017F"/>
    <w:rsid w:val="003A0223"/>
    <w:rsid w:val="003A03A8"/>
    <w:rsid w:val="003A03DC"/>
    <w:rsid w:val="003A0B40"/>
    <w:rsid w:val="003A0F7A"/>
    <w:rsid w:val="003A1179"/>
    <w:rsid w:val="003A138A"/>
    <w:rsid w:val="003A148D"/>
    <w:rsid w:val="003A1F97"/>
    <w:rsid w:val="003A21E5"/>
    <w:rsid w:val="003A2549"/>
    <w:rsid w:val="003A2772"/>
    <w:rsid w:val="003A2B50"/>
    <w:rsid w:val="003A2E3A"/>
    <w:rsid w:val="003A2F14"/>
    <w:rsid w:val="003A37FB"/>
    <w:rsid w:val="003A38A5"/>
    <w:rsid w:val="003A3A57"/>
    <w:rsid w:val="003A3F2F"/>
    <w:rsid w:val="003A4500"/>
    <w:rsid w:val="003A468E"/>
    <w:rsid w:val="003A46F8"/>
    <w:rsid w:val="003A49C8"/>
    <w:rsid w:val="003A4A56"/>
    <w:rsid w:val="003A4DEA"/>
    <w:rsid w:val="003A4E3F"/>
    <w:rsid w:val="003A50BA"/>
    <w:rsid w:val="003A5353"/>
    <w:rsid w:val="003A53F4"/>
    <w:rsid w:val="003A5703"/>
    <w:rsid w:val="003A599A"/>
    <w:rsid w:val="003A59FF"/>
    <w:rsid w:val="003A5F2F"/>
    <w:rsid w:val="003A61B4"/>
    <w:rsid w:val="003A62FC"/>
    <w:rsid w:val="003A6335"/>
    <w:rsid w:val="003A63B3"/>
    <w:rsid w:val="003A6B93"/>
    <w:rsid w:val="003A70A5"/>
    <w:rsid w:val="003A70DF"/>
    <w:rsid w:val="003A7158"/>
    <w:rsid w:val="003A742A"/>
    <w:rsid w:val="003A7867"/>
    <w:rsid w:val="003B0350"/>
    <w:rsid w:val="003B0579"/>
    <w:rsid w:val="003B0669"/>
    <w:rsid w:val="003B07A4"/>
    <w:rsid w:val="003B094B"/>
    <w:rsid w:val="003B106C"/>
    <w:rsid w:val="003B17D6"/>
    <w:rsid w:val="003B1905"/>
    <w:rsid w:val="003B1AFF"/>
    <w:rsid w:val="003B1D63"/>
    <w:rsid w:val="003B2149"/>
    <w:rsid w:val="003B21DD"/>
    <w:rsid w:val="003B23EF"/>
    <w:rsid w:val="003B2639"/>
    <w:rsid w:val="003B2B92"/>
    <w:rsid w:val="003B2EC0"/>
    <w:rsid w:val="003B33B1"/>
    <w:rsid w:val="003B3409"/>
    <w:rsid w:val="003B3480"/>
    <w:rsid w:val="003B3669"/>
    <w:rsid w:val="003B3683"/>
    <w:rsid w:val="003B3CBC"/>
    <w:rsid w:val="003B3D43"/>
    <w:rsid w:val="003B3DC9"/>
    <w:rsid w:val="003B3EBB"/>
    <w:rsid w:val="003B41C5"/>
    <w:rsid w:val="003B41EC"/>
    <w:rsid w:val="003B42E9"/>
    <w:rsid w:val="003B47CF"/>
    <w:rsid w:val="003B48DD"/>
    <w:rsid w:val="003B49DC"/>
    <w:rsid w:val="003B4C66"/>
    <w:rsid w:val="003B4EEA"/>
    <w:rsid w:val="003B5268"/>
    <w:rsid w:val="003B532C"/>
    <w:rsid w:val="003B5373"/>
    <w:rsid w:val="003B540E"/>
    <w:rsid w:val="003B5513"/>
    <w:rsid w:val="003B5C04"/>
    <w:rsid w:val="003B5C4D"/>
    <w:rsid w:val="003B5CAC"/>
    <w:rsid w:val="003B5F7A"/>
    <w:rsid w:val="003B62D8"/>
    <w:rsid w:val="003B66E7"/>
    <w:rsid w:val="003B69DE"/>
    <w:rsid w:val="003B6BC4"/>
    <w:rsid w:val="003B6BE9"/>
    <w:rsid w:val="003B6E29"/>
    <w:rsid w:val="003B7325"/>
    <w:rsid w:val="003B749A"/>
    <w:rsid w:val="003B7AA6"/>
    <w:rsid w:val="003B7C39"/>
    <w:rsid w:val="003B7EFB"/>
    <w:rsid w:val="003B7F78"/>
    <w:rsid w:val="003C0265"/>
    <w:rsid w:val="003C0836"/>
    <w:rsid w:val="003C0A02"/>
    <w:rsid w:val="003C0ADD"/>
    <w:rsid w:val="003C0DAB"/>
    <w:rsid w:val="003C10D2"/>
    <w:rsid w:val="003C11EF"/>
    <w:rsid w:val="003C12C0"/>
    <w:rsid w:val="003C1435"/>
    <w:rsid w:val="003C1468"/>
    <w:rsid w:val="003C16E6"/>
    <w:rsid w:val="003C1A56"/>
    <w:rsid w:val="003C1B52"/>
    <w:rsid w:val="003C1DB5"/>
    <w:rsid w:val="003C1EBA"/>
    <w:rsid w:val="003C1F14"/>
    <w:rsid w:val="003C2002"/>
    <w:rsid w:val="003C2226"/>
    <w:rsid w:val="003C22E4"/>
    <w:rsid w:val="003C25ED"/>
    <w:rsid w:val="003C2688"/>
    <w:rsid w:val="003C28A0"/>
    <w:rsid w:val="003C2DCA"/>
    <w:rsid w:val="003C3164"/>
    <w:rsid w:val="003C3244"/>
    <w:rsid w:val="003C37BE"/>
    <w:rsid w:val="003C38E3"/>
    <w:rsid w:val="003C3BC8"/>
    <w:rsid w:val="003C3BDE"/>
    <w:rsid w:val="003C3CFC"/>
    <w:rsid w:val="003C3FD6"/>
    <w:rsid w:val="003C40F6"/>
    <w:rsid w:val="003C41E7"/>
    <w:rsid w:val="003C4402"/>
    <w:rsid w:val="003C48AA"/>
    <w:rsid w:val="003C4A5B"/>
    <w:rsid w:val="003C508F"/>
    <w:rsid w:val="003C56AF"/>
    <w:rsid w:val="003C5B88"/>
    <w:rsid w:val="003C6027"/>
    <w:rsid w:val="003C62FE"/>
    <w:rsid w:val="003C64E3"/>
    <w:rsid w:val="003C653B"/>
    <w:rsid w:val="003C67BA"/>
    <w:rsid w:val="003C6947"/>
    <w:rsid w:val="003C69C6"/>
    <w:rsid w:val="003C6A49"/>
    <w:rsid w:val="003C6BF4"/>
    <w:rsid w:val="003C6F2E"/>
    <w:rsid w:val="003C72B8"/>
    <w:rsid w:val="003C72D1"/>
    <w:rsid w:val="003C762D"/>
    <w:rsid w:val="003C7883"/>
    <w:rsid w:val="003C7D45"/>
    <w:rsid w:val="003C7E46"/>
    <w:rsid w:val="003D01F3"/>
    <w:rsid w:val="003D05CF"/>
    <w:rsid w:val="003D078B"/>
    <w:rsid w:val="003D078C"/>
    <w:rsid w:val="003D0C10"/>
    <w:rsid w:val="003D1096"/>
    <w:rsid w:val="003D13D7"/>
    <w:rsid w:val="003D15E5"/>
    <w:rsid w:val="003D15F3"/>
    <w:rsid w:val="003D18D0"/>
    <w:rsid w:val="003D1A06"/>
    <w:rsid w:val="003D1AB8"/>
    <w:rsid w:val="003D1C3C"/>
    <w:rsid w:val="003D1C58"/>
    <w:rsid w:val="003D1C6F"/>
    <w:rsid w:val="003D1DE6"/>
    <w:rsid w:val="003D1F18"/>
    <w:rsid w:val="003D1F97"/>
    <w:rsid w:val="003D247E"/>
    <w:rsid w:val="003D2895"/>
    <w:rsid w:val="003D2D3A"/>
    <w:rsid w:val="003D339B"/>
    <w:rsid w:val="003D345F"/>
    <w:rsid w:val="003D3487"/>
    <w:rsid w:val="003D36F1"/>
    <w:rsid w:val="003D39B2"/>
    <w:rsid w:val="003D3DCA"/>
    <w:rsid w:val="003D3F83"/>
    <w:rsid w:val="003D410B"/>
    <w:rsid w:val="003D41FD"/>
    <w:rsid w:val="003D4220"/>
    <w:rsid w:val="003D453E"/>
    <w:rsid w:val="003D45F6"/>
    <w:rsid w:val="003D476D"/>
    <w:rsid w:val="003D47E2"/>
    <w:rsid w:val="003D4AF3"/>
    <w:rsid w:val="003D5182"/>
    <w:rsid w:val="003D51DA"/>
    <w:rsid w:val="003D5277"/>
    <w:rsid w:val="003D54D6"/>
    <w:rsid w:val="003D55C7"/>
    <w:rsid w:val="003D565D"/>
    <w:rsid w:val="003D5954"/>
    <w:rsid w:val="003D5BCD"/>
    <w:rsid w:val="003D5E2A"/>
    <w:rsid w:val="003D64C9"/>
    <w:rsid w:val="003D679D"/>
    <w:rsid w:val="003D68CF"/>
    <w:rsid w:val="003D6ADB"/>
    <w:rsid w:val="003D739B"/>
    <w:rsid w:val="003D7516"/>
    <w:rsid w:val="003D76BE"/>
    <w:rsid w:val="003D7B68"/>
    <w:rsid w:val="003D7E83"/>
    <w:rsid w:val="003D7F55"/>
    <w:rsid w:val="003E03C4"/>
    <w:rsid w:val="003E04E1"/>
    <w:rsid w:val="003E0500"/>
    <w:rsid w:val="003E0744"/>
    <w:rsid w:val="003E0825"/>
    <w:rsid w:val="003E0831"/>
    <w:rsid w:val="003E0A1B"/>
    <w:rsid w:val="003E0B06"/>
    <w:rsid w:val="003E0D56"/>
    <w:rsid w:val="003E0ED9"/>
    <w:rsid w:val="003E10B6"/>
    <w:rsid w:val="003E132F"/>
    <w:rsid w:val="003E19FA"/>
    <w:rsid w:val="003E1CB4"/>
    <w:rsid w:val="003E1DE3"/>
    <w:rsid w:val="003E1F0C"/>
    <w:rsid w:val="003E220D"/>
    <w:rsid w:val="003E24E2"/>
    <w:rsid w:val="003E2502"/>
    <w:rsid w:val="003E2726"/>
    <w:rsid w:val="003E28E0"/>
    <w:rsid w:val="003E2A26"/>
    <w:rsid w:val="003E2C6D"/>
    <w:rsid w:val="003E2D6D"/>
    <w:rsid w:val="003E2DBB"/>
    <w:rsid w:val="003E32F8"/>
    <w:rsid w:val="003E33F5"/>
    <w:rsid w:val="003E38DD"/>
    <w:rsid w:val="003E3CFF"/>
    <w:rsid w:val="003E41A2"/>
    <w:rsid w:val="003E48F8"/>
    <w:rsid w:val="003E4B1B"/>
    <w:rsid w:val="003E4DD9"/>
    <w:rsid w:val="003E50DC"/>
    <w:rsid w:val="003E5113"/>
    <w:rsid w:val="003E5413"/>
    <w:rsid w:val="003E549E"/>
    <w:rsid w:val="003E550B"/>
    <w:rsid w:val="003E5BA8"/>
    <w:rsid w:val="003E5FBB"/>
    <w:rsid w:val="003E6002"/>
    <w:rsid w:val="003E60D8"/>
    <w:rsid w:val="003E67EE"/>
    <w:rsid w:val="003E69B7"/>
    <w:rsid w:val="003E6C69"/>
    <w:rsid w:val="003E6CD1"/>
    <w:rsid w:val="003E6E3D"/>
    <w:rsid w:val="003E6EED"/>
    <w:rsid w:val="003E6FB1"/>
    <w:rsid w:val="003E74C7"/>
    <w:rsid w:val="003E7C85"/>
    <w:rsid w:val="003F00D3"/>
    <w:rsid w:val="003F00F8"/>
    <w:rsid w:val="003F032A"/>
    <w:rsid w:val="003F04EF"/>
    <w:rsid w:val="003F0647"/>
    <w:rsid w:val="003F081B"/>
    <w:rsid w:val="003F0FCF"/>
    <w:rsid w:val="003F1439"/>
    <w:rsid w:val="003F174F"/>
    <w:rsid w:val="003F1919"/>
    <w:rsid w:val="003F1A84"/>
    <w:rsid w:val="003F1BBC"/>
    <w:rsid w:val="003F1BC8"/>
    <w:rsid w:val="003F1BFA"/>
    <w:rsid w:val="003F1C2F"/>
    <w:rsid w:val="003F1CB3"/>
    <w:rsid w:val="003F1D3F"/>
    <w:rsid w:val="003F1FEE"/>
    <w:rsid w:val="003F233F"/>
    <w:rsid w:val="003F234E"/>
    <w:rsid w:val="003F2380"/>
    <w:rsid w:val="003F26D8"/>
    <w:rsid w:val="003F26DF"/>
    <w:rsid w:val="003F282B"/>
    <w:rsid w:val="003F2C42"/>
    <w:rsid w:val="003F2D9A"/>
    <w:rsid w:val="003F2E2E"/>
    <w:rsid w:val="003F2FFC"/>
    <w:rsid w:val="003F33E2"/>
    <w:rsid w:val="003F3503"/>
    <w:rsid w:val="003F38F1"/>
    <w:rsid w:val="003F4201"/>
    <w:rsid w:val="003F42E2"/>
    <w:rsid w:val="003F4408"/>
    <w:rsid w:val="003F4750"/>
    <w:rsid w:val="003F4792"/>
    <w:rsid w:val="003F48C9"/>
    <w:rsid w:val="003F4955"/>
    <w:rsid w:val="003F4CCC"/>
    <w:rsid w:val="003F5498"/>
    <w:rsid w:val="003F558C"/>
    <w:rsid w:val="003F5687"/>
    <w:rsid w:val="003F58FD"/>
    <w:rsid w:val="003F5ACC"/>
    <w:rsid w:val="003F5B6D"/>
    <w:rsid w:val="003F5EAC"/>
    <w:rsid w:val="003F61B9"/>
    <w:rsid w:val="003F6770"/>
    <w:rsid w:val="003F6C0E"/>
    <w:rsid w:val="003F6C16"/>
    <w:rsid w:val="003F6DBD"/>
    <w:rsid w:val="003F7127"/>
    <w:rsid w:val="003F7A94"/>
    <w:rsid w:val="003F7F06"/>
    <w:rsid w:val="003F7F97"/>
    <w:rsid w:val="004000C5"/>
    <w:rsid w:val="00400145"/>
    <w:rsid w:val="00400290"/>
    <w:rsid w:val="004003E8"/>
    <w:rsid w:val="00400401"/>
    <w:rsid w:val="00400475"/>
    <w:rsid w:val="004004D1"/>
    <w:rsid w:val="00400667"/>
    <w:rsid w:val="0040093C"/>
    <w:rsid w:val="00400C10"/>
    <w:rsid w:val="00400D42"/>
    <w:rsid w:val="00400D6F"/>
    <w:rsid w:val="0040117A"/>
    <w:rsid w:val="004011A2"/>
    <w:rsid w:val="0040124F"/>
    <w:rsid w:val="004015A8"/>
    <w:rsid w:val="00401632"/>
    <w:rsid w:val="004017E2"/>
    <w:rsid w:val="00401D56"/>
    <w:rsid w:val="0040219E"/>
    <w:rsid w:val="004021DB"/>
    <w:rsid w:val="0040289B"/>
    <w:rsid w:val="004029DD"/>
    <w:rsid w:val="00402A57"/>
    <w:rsid w:val="00402F2A"/>
    <w:rsid w:val="00403C76"/>
    <w:rsid w:val="00403CB8"/>
    <w:rsid w:val="00403D90"/>
    <w:rsid w:val="00403EE3"/>
    <w:rsid w:val="00403FAD"/>
    <w:rsid w:val="004045D2"/>
    <w:rsid w:val="004046E3"/>
    <w:rsid w:val="00404971"/>
    <w:rsid w:val="004051A5"/>
    <w:rsid w:val="004054FB"/>
    <w:rsid w:val="0040561C"/>
    <w:rsid w:val="004058EF"/>
    <w:rsid w:val="00405A0A"/>
    <w:rsid w:val="00405E25"/>
    <w:rsid w:val="004067ED"/>
    <w:rsid w:val="00406A10"/>
    <w:rsid w:val="00406DAA"/>
    <w:rsid w:val="00407470"/>
    <w:rsid w:val="004074E6"/>
    <w:rsid w:val="00407648"/>
    <w:rsid w:val="00407724"/>
    <w:rsid w:val="0040782B"/>
    <w:rsid w:val="00407AAF"/>
    <w:rsid w:val="00407B02"/>
    <w:rsid w:val="00407BB1"/>
    <w:rsid w:val="00407EE5"/>
    <w:rsid w:val="004101C7"/>
    <w:rsid w:val="00410358"/>
    <w:rsid w:val="00410382"/>
    <w:rsid w:val="004106D2"/>
    <w:rsid w:val="0041077D"/>
    <w:rsid w:val="0041079F"/>
    <w:rsid w:val="0041080D"/>
    <w:rsid w:val="00410BDD"/>
    <w:rsid w:val="00410D39"/>
    <w:rsid w:val="00410EB4"/>
    <w:rsid w:val="0041115A"/>
    <w:rsid w:val="00411A30"/>
    <w:rsid w:val="00411FB8"/>
    <w:rsid w:val="00412123"/>
    <w:rsid w:val="0041252D"/>
    <w:rsid w:val="00412589"/>
    <w:rsid w:val="004127F2"/>
    <w:rsid w:val="00412D92"/>
    <w:rsid w:val="00412E38"/>
    <w:rsid w:val="00412E84"/>
    <w:rsid w:val="00412FD2"/>
    <w:rsid w:val="00413001"/>
    <w:rsid w:val="00413137"/>
    <w:rsid w:val="00413252"/>
    <w:rsid w:val="00413285"/>
    <w:rsid w:val="004133A6"/>
    <w:rsid w:val="00413735"/>
    <w:rsid w:val="00413966"/>
    <w:rsid w:val="0041404D"/>
    <w:rsid w:val="00414783"/>
    <w:rsid w:val="0041491C"/>
    <w:rsid w:val="00414FC3"/>
    <w:rsid w:val="0041510A"/>
    <w:rsid w:val="00415220"/>
    <w:rsid w:val="00415222"/>
    <w:rsid w:val="0041571D"/>
    <w:rsid w:val="00415DB5"/>
    <w:rsid w:val="00416345"/>
    <w:rsid w:val="004164A0"/>
    <w:rsid w:val="00416589"/>
    <w:rsid w:val="004165E3"/>
    <w:rsid w:val="00416D94"/>
    <w:rsid w:val="004171F6"/>
    <w:rsid w:val="004173EE"/>
    <w:rsid w:val="004174FD"/>
    <w:rsid w:val="004175E9"/>
    <w:rsid w:val="00417648"/>
    <w:rsid w:val="0041782C"/>
    <w:rsid w:val="00417AF8"/>
    <w:rsid w:val="00417EC8"/>
    <w:rsid w:val="0042007C"/>
    <w:rsid w:val="00420121"/>
    <w:rsid w:val="004205C9"/>
    <w:rsid w:val="00420C79"/>
    <w:rsid w:val="00420E6D"/>
    <w:rsid w:val="00420E74"/>
    <w:rsid w:val="00420F9B"/>
    <w:rsid w:val="004211AA"/>
    <w:rsid w:val="00421393"/>
    <w:rsid w:val="00421808"/>
    <w:rsid w:val="00421A2B"/>
    <w:rsid w:val="00421A3E"/>
    <w:rsid w:val="00421CCC"/>
    <w:rsid w:val="00421DD0"/>
    <w:rsid w:val="00421E39"/>
    <w:rsid w:val="004222F2"/>
    <w:rsid w:val="00422498"/>
    <w:rsid w:val="004226A5"/>
    <w:rsid w:val="0042286D"/>
    <w:rsid w:val="0042398E"/>
    <w:rsid w:val="00423A4A"/>
    <w:rsid w:val="00423A60"/>
    <w:rsid w:val="00423A8D"/>
    <w:rsid w:val="00423BDA"/>
    <w:rsid w:val="00423D22"/>
    <w:rsid w:val="00423D79"/>
    <w:rsid w:val="0042451D"/>
    <w:rsid w:val="00424B78"/>
    <w:rsid w:val="004250A0"/>
    <w:rsid w:val="004251E6"/>
    <w:rsid w:val="004251F9"/>
    <w:rsid w:val="00425893"/>
    <w:rsid w:val="0042594A"/>
    <w:rsid w:val="00425993"/>
    <w:rsid w:val="00425CDD"/>
    <w:rsid w:val="00426120"/>
    <w:rsid w:val="00426173"/>
    <w:rsid w:val="0042628B"/>
    <w:rsid w:val="0042628F"/>
    <w:rsid w:val="00426AF9"/>
    <w:rsid w:val="00426F7D"/>
    <w:rsid w:val="00426FB5"/>
    <w:rsid w:val="004275CF"/>
    <w:rsid w:val="00427ECB"/>
    <w:rsid w:val="004305FC"/>
    <w:rsid w:val="004308CC"/>
    <w:rsid w:val="00430904"/>
    <w:rsid w:val="00431368"/>
    <w:rsid w:val="004317D3"/>
    <w:rsid w:val="00431972"/>
    <w:rsid w:val="00431F4C"/>
    <w:rsid w:val="004324A8"/>
    <w:rsid w:val="00432586"/>
    <w:rsid w:val="00432D89"/>
    <w:rsid w:val="0043306A"/>
    <w:rsid w:val="004335C4"/>
    <w:rsid w:val="004337C0"/>
    <w:rsid w:val="00433C3E"/>
    <w:rsid w:val="00433EFA"/>
    <w:rsid w:val="00434157"/>
    <w:rsid w:val="0043469E"/>
    <w:rsid w:val="00434D99"/>
    <w:rsid w:val="004350DA"/>
    <w:rsid w:val="00435960"/>
    <w:rsid w:val="00435968"/>
    <w:rsid w:val="00436104"/>
    <w:rsid w:val="00436145"/>
    <w:rsid w:val="00436200"/>
    <w:rsid w:val="00436291"/>
    <w:rsid w:val="004362DA"/>
    <w:rsid w:val="0043673C"/>
    <w:rsid w:val="00436857"/>
    <w:rsid w:val="00436950"/>
    <w:rsid w:val="00436F21"/>
    <w:rsid w:val="0043724F"/>
    <w:rsid w:val="0043767A"/>
    <w:rsid w:val="004379E9"/>
    <w:rsid w:val="00437C7B"/>
    <w:rsid w:val="00437D00"/>
    <w:rsid w:val="00440296"/>
    <w:rsid w:val="00440623"/>
    <w:rsid w:val="004406E5"/>
    <w:rsid w:val="0044094B"/>
    <w:rsid w:val="00440A37"/>
    <w:rsid w:val="00440CD4"/>
    <w:rsid w:val="00440F6A"/>
    <w:rsid w:val="004416A2"/>
    <w:rsid w:val="004416C3"/>
    <w:rsid w:val="0044173A"/>
    <w:rsid w:val="00441A42"/>
    <w:rsid w:val="00441D23"/>
    <w:rsid w:val="00441D8D"/>
    <w:rsid w:val="00441F60"/>
    <w:rsid w:val="00441F95"/>
    <w:rsid w:val="0044239B"/>
    <w:rsid w:val="004424B7"/>
    <w:rsid w:val="00442798"/>
    <w:rsid w:val="00442A64"/>
    <w:rsid w:val="00442CBB"/>
    <w:rsid w:val="00443098"/>
    <w:rsid w:val="0044314C"/>
    <w:rsid w:val="00443A1E"/>
    <w:rsid w:val="00443F2D"/>
    <w:rsid w:val="00444242"/>
    <w:rsid w:val="00444256"/>
    <w:rsid w:val="004444C8"/>
    <w:rsid w:val="00444508"/>
    <w:rsid w:val="00444516"/>
    <w:rsid w:val="00444528"/>
    <w:rsid w:val="00444988"/>
    <w:rsid w:val="00444C63"/>
    <w:rsid w:val="00444C89"/>
    <w:rsid w:val="00444E26"/>
    <w:rsid w:val="00444FA5"/>
    <w:rsid w:val="00445404"/>
    <w:rsid w:val="0044553A"/>
    <w:rsid w:val="0044599A"/>
    <w:rsid w:val="004459E1"/>
    <w:rsid w:val="004463D2"/>
    <w:rsid w:val="004464CC"/>
    <w:rsid w:val="0044658D"/>
    <w:rsid w:val="00446604"/>
    <w:rsid w:val="0044660D"/>
    <w:rsid w:val="00446B51"/>
    <w:rsid w:val="00446CDC"/>
    <w:rsid w:val="00446E60"/>
    <w:rsid w:val="00446E8A"/>
    <w:rsid w:val="004470D3"/>
    <w:rsid w:val="0044770B"/>
    <w:rsid w:val="00447CB9"/>
    <w:rsid w:val="00447DEC"/>
    <w:rsid w:val="0045015B"/>
    <w:rsid w:val="004501CE"/>
    <w:rsid w:val="0045026F"/>
    <w:rsid w:val="0045045B"/>
    <w:rsid w:val="00450731"/>
    <w:rsid w:val="004508E5"/>
    <w:rsid w:val="00450E5F"/>
    <w:rsid w:val="00450FA4"/>
    <w:rsid w:val="00451384"/>
    <w:rsid w:val="00451746"/>
    <w:rsid w:val="00451904"/>
    <w:rsid w:val="00451994"/>
    <w:rsid w:val="00451EDA"/>
    <w:rsid w:val="00452108"/>
    <w:rsid w:val="0045211E"/>
    <w:rsid w:val="004524F7"/>
    <w:rsid w:val="004527E8"/>
    <w:rsid w:val="00453330"/>
    <w:rsid w:val="0045337C"/>
    <w:rsid w:val="004534AA"/>
    <w:rsid w:val="00453A5C"/>
    <w:rsid w:val="00453E81"/>
    <w:rsid w:val="00453E9A"/>
    <w:rsid w:val="00454500"/>
    <w:rsid w:val="00454748"/>
    <w:rsid w:val="00454A96"/>
    <w:rsid w:val="00454B2A"/>
    <w:rsid w:val="00454FA6"/>
    <w:rsid w:val="0045519A"/>
    <w:rsid w:val="0045555D"/>
    <w:rsid w:val="00455813"/>
    <w:rsid w:val="00455ADD"/>
    <w:rsid w:val="00455CE1"/>
    <w:rsid w:val="00455D8C"/>
    <w:rsid w:val="00455E80"/>
    <w:rsid w:val="00455F67"/>
    <w:rsid w:val="004561CD"/>
    <w:rsid w:val="00456461"/>
    <w:rsid w:val="00456503"/>
    <w:rsid w:val="00456572"/>
    <w:rsid w:val="00456C62"/>
    <w:rsid w:val="00457217"/>
    <w:rsid w:val="00457325"/>
    <w:rsid w:val="00457401"/>
    <w:rsid w:val="004579FB"/>
    <w:rsid w:val="00457A18"/>
    <w:rsid w:val="00457ADC"/>
    <w:rsid w:val="00457F03"/>
    <w:rsid w:val="00460342"/>
    <w:rsid w:val="00460957"/>
    <w:rsid w:val="0046097E"/>
    <w:rsid w:val="00460C2D"/>
    <w:rsid w:val="00460FED"/>
    <w:rsid w:val="00461043"/>
    <w:rsid w:val="00461626"/>
    <w:rsid w:val="004616FF"/>
    <w:rsid w:val="0046183A"/>
    <w:rsid w:val="004618EE"/>
    <w:rsid w:val="00461934"/>
    <w:rsid w:val="00461988"/>
    <w:rsid w:val="004619AB"/>
    <w:rsid w:val="00461B0D"/>
    <w:rsid w:val="00461B0F"/>
    <w:rsid w:val="00461D62"/>
    <w:rsid w:val="00461E54"/>
    <w:rsid w:val="00461E67"/>
    <w:rsid w:val="00462467"/>
    <w:rsid w:val="00462C5F"/>
    <w:rsid w:val="0046303E"/>
    <w:rsid w:val="00463703"/>
    <w:rsid w:val="0046391F"/>
    <w:rsid w:val="0046401A"/>
    <w:rsid w:val="004641F2"/>
    <w:rsid w:val="00464369"/>
    <w:rsid w:val="004643A2"/>
    <w:rsid w:val="00464620"/>
    <w:rsid w:val="004647BA"/>
    <w:rsid w:val="004647D8"/>
    <w:rsid w:val="00464EAD"/>
    <w:rsid w:val="004656E2"/>
    <w:rsid w:val="00465B29"/>
    <w:rsid w:val="00465C69"/>
    <w:rsid w:val="00465EBF"/>
    <w:rsid w:val="00465ED3"/>
    <w:rsid w:val="00465F9B"/>
    <w:rsid w:val="004660FE"/>
    <w:rsid w:val="004664F5"/>
    <w:rsid w:val="00466678"/>
    <w:rsid w:val="0046671E"/>
    <w:rsid w:val="00466A0B"/>
    <w:rsid w:val="00466D60"/>
    <w:rsid w:val="00466F69"/>
    <w:rsid w:val="00467042"/>
    <w:rsid w:val="004671A9"/>
    <w:rsid w:val="0046730D"/>
    <w:rsid w:val="0046760D"/>
    <w:rsid w:val="00467798"/>
    <w:rsid w:val="00467DD3"/>
    <w:rsid w:val="00467DF7"/>
    <w:rsid w:val="00470127"/>
    <w:rsid w:val="00470567"/>
    <w:rsid w:val="004706BF"/>
    <w:rsid w:val="004707E3"/>
    <w:rsid w:val="00470DBF"/>
    <w:rsid w:val="0047122A"/>
    <w:rsid w:val="0047147F"/>
    <w:rsid w:val="00471689"/>
    <w:rsid w:val="00471D3A"/>
    <w:rsid w:val="00471DF6"/>
    <w:rsid w:val="004721A4"/>
    <w:rsid w:val="00472A7A"/>
    <w:rsid w:val="00472CC5"/>
    <w:rsid w:val="00473273"/>
    <w:rsid w:val="004737B6"/>
    <w:rsid w:val="004739C6"/>
    <w:rsid w:val="00473A02"/>
    <w:rsid w:val="00474068"/>
    <w:rsid w:val="0047419B"/>
    <w:rsid w:val="004741D1"/>
    <w:rsid w:val="00474862"/>
    <w:rsid w:val="00474B57"/>
    <w:rsid w:val="00474FB7"/>
    <w:rsid w:val="00474FE7"/>
    <w:rsid w:val="004750D9"/>
    <w:rsid w:val="0047523D"/>
    <w:rsid w:val="00475390"/>
    <w:rsid w:val="004753EB"/>
    <w:rsid w:val="00475905"/>
    <w:rsid w:val="0047594C"/>
    <w:rsid w:val="00475D96"/>
    <w:rsid w:val="00476092"/>
    <w:rsid w:val="00476175"/>
    <w:rsid w:val="00476883"/>
    <w:rsid w:val="00476BE6"/>
    <w:rsid w:val="00476DC4"/>
    <w:rsid w:val="00477126"/>
    <w:rsid w:val="0047724B"/>
    <w:rsid w:val="004772B5"/>
    <w:rsid w:val="0047731D"/>
    <w:rsid w:val="004776DB"/>
    <w:rsid w:val="00477CA9"/>
    <w:rsid w:val="00477DCF"/>
    <w:rsid w:val="004800DF"/>
    <w:rsid w:val="00480576"/>
    <w:rsid w:val="00480A5D"/>
    <w:rsid w:val="00480A8D"/>
    <w:rsid w:val="00480A9F"/>
    <w:rsid w:val="00480CFA"/>
    <w:rsid w:val="00480D4E"/>
    <w:rsid w:val="00480F9F"/>
    <w:rsid w:val="00480FE3"/>
    <w:rsid w:val="00481094"/>
    <w:rsid w:val="0048120C"/>
    <w:rsid w:val="00481299"/>
    <w:rsid w:val="00481584"/>
    <w:rsid w:val="0048168B"/>
    <w:rsid w:val="0048172E"/>
    <w:rsid w:val="00481794"/>
    <w:rsid w:val="004817EA"/>
    <w:rsid w:val="00481B85"/>
    <w:rsid w:val="00481DBD"/>
    <w:rsid w:val="00481F46"/>
    <w:rsid w:val="0048214B"/>
    <w:rsid w:val="0048246C"/>
    <w:rsid w:val="004825E3"/>
    <w:rsid w:val="004826A3"/>
    <w:rsid w:val="004828B6"/>
    <w:rsid w:val="00482A93"/>
    <w:rsid w:val="00482AF2"/>
    <w:rsid w:val="00482B44"/>
    <w:rsid w:val="00482DDA"/>
    <w:rsid w:val="00483088"/>
    <w:rsid w:val="004835A1"/>
    <w:rsid w:val="00483754"/>
    <w:rsid w:val="004839C5"/>
    <w:rsid w:val="00483C7E"/>
    <w:rsid w:val="00483F2C"/>
    <w:rsid w:val="004842DD"/>
    <w:rsid w:val="004844A9"/>
    <w:rsid w:val="00484638"/>
    <w:rsid w:val="0048465C"/>
    <w:rsid w:val="00484698"/>
    <w:rsid w:val="00484D9B"/>
    <w:rsid w:val="00484FA4"/>
    <w:rsid w:val="004850D9"/>
    <w:rsid w:val="00485783"/>
    <w:rsid w:val="00485AAC"/>
    <w:rsid w:val="00485DAE"/>
    <w:rsid w:val="00485E04"/>
    <w:rsid w:val="00485ED2"/>
    <w:rsid w:val="00485FFF"/>
    <w:rsid w:val="0048606F"/>
    <w:rsid w:val="00486246"/>
    <w:rsid w:val="0048647A"/>
    <w:rsid w:val="004864BD"/>
    <w:rsid w:val="0048673B"/>
    <w:rsid w:val="0048684A"/>
    <w:rsid w:val="00486ACA"/>
    <w:rsid w:val="00486F93"/>
    <w:rsid w:val="00487184"/>
    <w:rsid w:val="00487233"/>
    <w:rsid w:val="00487303"/>
    <w:rsid w:val="00487723"/>
    <w:rsid w:val="00487F9F"/>
    <w:rsid w:val="00490577"/>
    <w:rsid w:val="004916E4"/>
    <w:rsid w:val="00491DF2"/>
    <w:rsid w:val="00491EC7"/>
    <w:rsid w:val="00492080"/>
    <w:rsid w:val="0049259D"/>
    <w:rsid w:val="00492644"/>
    <w:rsid w:val="00492715"/>
    <w:rsid w:val="004927ED"/>
    <w:rsid w:val="00492878"/>
    <w:rsid w:val="00493860"/>
    <w:rsid w:val="004939A8"/>
    <w:rsid w:val="00493A24"/>
    <w:rsid w:val="00493CCE"/>
    <w:rsid w:val="0049458D"/>
    <w:rsid w:val="0049474A"/>
    <w:rsid w:val="004948A5"/>
    <w:rsid w:val="004948B9"/>
    <w:rsid w:val="0049504F"/>
    <w:rsid w:val="00495552"/>
    <w:rsid w:val="00495706"/>
    <w:rsid w:val="0049588D"/>
    <w:rsid w:val="00495AF7"/>
    <w:rsid w:val="00495D87"/>
    <w:rsid w:val="00495FC5"/>
    <w:rsid w:val="0049611B"/>
    <w:rsid w:val="0049624C"/>
    <w:rsid w:val="004965BC"/>
    <w:rsid w:val="0049663E"/>
    <w:rsid w:val="004967E2"/>
    <w:rsid w:val="00496951"/>
    <w:rsid w:val="00496EB6"/>
    <w:rsid w:val="00497333"/>
    <w:rsid w:val="0049742C"/>
    <w:rsid w:val="00497470"/>
    <w:rsid w:val="004974BE"/>
    <w:rsid w:val="004974EC"/>
    <w:rsid w:val="004979F1"/>
    <w:rsid w:val="00497D52"/>
    <w:rsid w:val="004A0046"/>
    <w:rsid w:val="004A00FE"/>
    <w:rsid w:val="004A026B"/>
    <w:rsid w:val="004A084A"/>
    <w:rsid w:val="004A0BE7"/>
    <w:rsid w:val="004A0E65"/>
    <w:rsid w:val="004A1019"/>
    <w:rsid w:val="004A12AE"/>
    <w:rsid w:val="004A1391"/>
    <w:rsid w:val="004A14AB"/>
    <w:rsid w:val="004A1B82"/>
    <w:rsid w:val="004A1C77"/>
    <w:rsid w:val="004A1D92"/>
    <w:rsid w:val="004A1FD4"/>
    <w:rsid w:val="004A2364"/>
    <w:rsid w:val="004A2CA3"/>
    <w:rsid w:val="004A2DC4"/>
    <w:rsid w:val="004A31A5"/>
    <w:rsid w:val="004A3305"/>
    <w:rsid w:val="004A339A"/>
    <w:rsid w:val="004A3444"/>
    <w:rsid w:val="004A3AB4"/>
    <w:rsid w:val="004A3EAF"/>
    <w:rsid w:val="004A4528"/>
    <w:rsid w:val="004A453F"/>
    <w:rsid w:val="004A4900"/>
    <w:rsid w:val="004A4E7E"/>
    <w:rsid w:val="004A510F"/>
    <w:rsid w:val="004A57AE"/>
    <w:rsid w:val="004A602B"/>
    <w:rsid w:val="004A6114"/>
    <w:rsid w:val="004A6194"/>
    <w:rsid w:val="004A648D"/>
    <w:rsid w:val="004A6499"/>
    <w:rsid w:val="004A6546"/>
    <w:rsid w:val="004A6AF7"/>
    <w:rsid w:val="004A6B6D"/>
    <w:rsid w:val="004A6CF4"/>
    <w:rsid w:val="004A6EF9"/>
    <w:rsid w:val="004A75AD"/>
    <w:rsid w:val="004A75AE"/>
    <w:rsid w:val="004A78BB"/>
    <w:rsid w:val="004A7957"/>
    <w:rsid w:val="004A7FCE"/>
    <w:rsid w:val="004B0807"/>
    <w:rsid w:val="004B0902"/>
    <w:rsid w:val="004B0954"/>
    <w:rsid w:val="004B0A33"/>
    <w:rsid w:val="004B0D47"/>
    <w:rsid w:val="004B0D9E"/>
    <w:rsid w:val="004B0DA7"/>
    <w:rsid w:val="004B1813"/>
    <w:rsid w:val="004B1A13"/>
    <w:rsid w:val="004B1BC3"/>
    <w:rsid w:val="004B1C6D"/>
    <w:rsid w:val="004B1C99"/>
    <w:rsid w:val="004B2042"/>
    <w:rsid w:val="004B2062"/>
    <w:rsid w:val="004B22E0"/>
    <w:rsid w:val="004B2343"/>
    <w:rsid w:val="004B237F"/>
    <w:rsid w:val="004B2559"/>
    <w:rsid w:val="004B2600"/>
    <w:rsid w:val="004B2FB1"/>
    <w:rsid w:val="004B32C7"/>
    <w:rsid w:val="004B3472"/>
    <w:rsid w:val="004B3C01"/>
    <w:rsid w:val="004B3C43"/>
    <w:rsid w:val="004B3FAB"/>
    <w:rsid w:val="004B42E8"/>
    <w:rsid w:val="004B48D9"/>
    <w:rsid w:val="004B4986"/>
    <w:rsid w:val="004B4B74"/>
    <w:rsid w:val="004B4D88"/>
    <w:rsid w:val="004B52C9"/>
    <w:rsid w:val="004B563B"/>
    <w:rsid w:val="004B5A4F"/>
    <w:rsid w:val="004B6025"/>
    <w:rsid w:val="004B656F"/>
    <w:rsid w:val="004B6B1D"/>
    <w:rsid w:val="004B6B36"/>
    <w:rsid w:val="004B6B71"/>
    <w:rsid w:val="004B6DD8"/>
    <w:rsid w:val="004B6FB9"/>
    <w:rsid w:val="004B723F"/>
    <w:rsid w:val="004B74A3"/>
    <w:rsid w:val="004B753B"/>
    <w:rsid w:val="004B75EC"/>
    <w:rsid w:val="004B7635"/>
    <w:rsid w:val="004B7929"/>
    <w:rsid w:val="004B7B44"/>
    <w:rsid w:val="004B7FB1"/>
    <w:rsid w:val="004C0375"/>
    <w:rsid w:val="004C0435"/>
    <w:rsid w:val="004C04BF"/>
    <w:rsid w:val="004C04D7"/>
    <w:rsid w:val="004C055E"/>
    <w:rsid w:val="004C05FE"/>
    <w:rsid w:val="004C0EA5"/>
    <w:rsid w:val="004C0ED9"/>
    <w:rsid w:val="004C12F1"/>
    <w:rsid w:val="004C1670"/>
    <w:rsid w:val="004C17E4"/>
    <w:rsid w:val="004C17EA"/>
    <w:rsid w:val="004C1E90"/>
    <w:rsid w:val="004C1F63"/>
    <w:rsid w:val="004C21F4"/>
    <w:rsid w:val="004C239C"/>
    <w:rsid w:val="004C2407"/>
    <w:rsid w:val="004C27C1"/>
    <w:rsid w:val="004C2881"/>
    <w:rsid w:val="004C2A7E"/>
    <w:rsid w:val="004C2C8D"/>
    <w:rsid w:val="004C303D"/>
    <w:rsid w:val="004C3073"/>
    <w:rsid w:val="004C30E4"/>
    <w:rsid w:val="004C339B"/>
    <w:rsid w:val="004C36F0"/>
    <w:rsid w:val="004C460F"/>
    <w:rsid w:val="004C467D"/>
    <w:rsid w:val="004C47EA"/>
    <w:rsid w:val="004C4934"/>
    <w:rsid w:val="004C4FC6"/>
    <w:rsid w:val="004C4FF7"/>
    <w:rsid w:val="004C5220"/>
    <w:rsid w:val="004C54E7"/>
    <w:rsid w:val="004C5619"/>
    <w:rsid w:val="004C5674"/>
    <w:rsid w:val="004C5D1F"/>
    <w:rsid w:val="004C5FAE"/>
    <w:rsid w:val="004C63A2"/>
    <w:rsid w:val="004C6CD8"/>
    <w:rsid w:val="004C71C5"/>
    <w:rsid w:val="004C75BB"/>
    <w:rsid w:val="004C7A39"/>
    <w:rsid w:val="004C7E4B"/>
    <w:rsid w:val="004C7FC4"/>
    <w:rsid w:val="004D00FD"/>
    <w:rsid w:val="004D05AD"/>
    <w:rsid w:val="004D097C"/>
    <w:rsid w:val="004D0987"/>
    <w:rsid w:val="004D09BE"/>
    <w:rsid w:val="004D0A1C"/>
    <w:rsid w:val="004D0D04"/>
    <w:rsid w:val="004D1291"/>
    <w:rsid w:val="004D16E8"/>
    <w:rsid w:val="004D1D45"/>
    <w:rsid w:val="004D1E86"/>
    <w:rsid w:val="004D1F1F"/>
    <w:rsid w:val="004D20AE"/>
    <w:rsid w:val="004D240C"/>
    <w:rsid w:val="004D2928"/>
    <w:rsid w:val="004D2974"/>
    <w:rsid w:val="004D2D69"/>
    <w:rsid w:val="004D2DC9"/>
    <w:rsid w:val="004D33C2"/>
    <w:rsid w:val="004D33F8"/>
    <w:rsid w:val="004D346F"/>
    <w:rsid w:val="004D36A5"/>
    <w:rsid w:val="004D3A04"/>
    <w:rsid w:val="004D3CB0"/>
    <w:rsid w:val="004D4299"/>
    <w:rsid w:val="004D4518"/>
    <w:rsid w:val="004D45AE"/>
    <w:rsid w:val="004D487D"/>
    <w:rsid w:val="004D522D"/>
    <w:rsid w:val="004D528E"/>
    <w:rsid w:val="004D52B9"/>
    <w:rsid w:val="004D52C4"/>
    <w:rsid w:val="004D559E"/>
    <w:rsid w:val="004D5670"/>
    <w:rsid w:val="004D5A92"/>
    <w:rsid w:val="004D5E96"/>
    <w:rsid w:val="004D6087"/>
    <w:rsid w:val="004D62FA"/>
    <w:rsid w:val="004D63A3"/>
    <w:rsid w:val="004D6736"/>
    <w:rsid w:val="004D6C14"/>
    <w:rsid w:val="004D6DA7"/>
    <w:rsid w:val="004D70A8"/>
    <w:rsid w:val="004D7234"/>
    <w:rsid w:val="004D75DC"/>
    <w:rsid w:val="004D7961"/>
    <w:rsid w:val="004D7984"/>
    <w:rsid w:val="004D7A87"/>
    <w:rsid w:val="004D7FB8"/>
    <w:rsid w:val="004E0324"/>
    <w:rsid w:val="004E0738"/>
    <w:rsid w:val="004E09E0"/>
    <w:rsid w:val="004E0A02"/>
    <w:rsid w:val="004E0AFC"/>
    <w:rsid w:val="004E0E3E"/>
    <w:rsid w:val="004E0F99"/>
    <w:rsid w:val="004E1224"/>
    <w:rsid w:val="004E1F31"/>
    <w:rsid w:val="004E2811"/>
    <w:rsid w:val="004E2CB0"/>
    <w:rsid w:val="004E34E5"/>
    <w:rsid w:val="004E36F9"/>
    <w:rsid w:val="004E397F"/>
    <w:rsid w:val="004E3ABA"/>
    <w:rsid w:val="004E4577"/>
    <w:rsid w:val="004E46D6"/>
    <w:rsid w:val="004E47DA"/>
    <w:rsid w:val="004E4A0E"/>
    <w:rsid w:val="004E4A18"/>
    <w:rsid w:val="004E4AA8"/>
    <w:rsid w:val="004E4BA6"/>
    <w:rsid w:val="004E4D09"/>
    <w:rsid w:val="004E4D4F"/>
    <w:rsid w:val="004E4D85"/>
    <w:rsid w:val="004E512B"/>
    <w:rsid w:val="004E5473"/>
    <w:rsid w:val="004E5AF4"/>
    <w:rsid w:val="004E6099"/>
    <w:rsid w:val="004E60EB"/>
    <w:rsid w:val="004E6202"/>
    <w:rsid w:val="004E62BE"/>
    <w:rsid w:val="004E64E1"/>
    <w:rsid w:val="004E6818"/>
    <w:rsid w:val="004E6BAB"/>
    <w:rsid w:val="004E6CE9"/>
    <w:rsid w:val="004E6FE9"/>
    <w:rsid w:val="004E6FEA"/>
    <w:rsid w:val="004E7130"/>
    <w:rsid w:val="004E741F"/>
    <w:rsid w:val="004E78C0"/>
    <w:rsid w:val="004E7E0A"/>
    <w:rsid w:val="004E7EA0"/>
    <w:rsid w:val="004F0503"/>
    <w:rsid w:val="004F05CB"/>
    <w:rsid w:val="004F065A"/>
    <w:rsid w:val="004F07F9"/>
    <w:rsid w:val="004F08F9"/>
    <w:rsid w:val="004F0BFE"/>
    <w:rsid w:val="004F0F60"/>
    <w:rsid w:val="004F11A6"/>
    <w:rsid w:val="004F17E9"/>
    <w:rsid w:val="004F182B"/>
    <w:rsid w:val="004F1950"/>
    <w:rsid w:val="004F1A30"/>
    <w:rsid w:val="004F1AD8"/>
    <w:rsid w:val="004F1B43"/>
    <w:rsid w:val="004F2122"/>
    <w:rsid w:val="004F23CC"/>
    <w:rsid w:val="004F24BB"/>
    <w:rsid w:val="004F2596"/>
    <w:rsid w:val="004F25C0"/>
    <w:rsid w:val="004F2896"/>
    <w:rsid w:val="004F2B1E"/>
    <w:rsid w:val="004F2B46"/>
    <w:rsid w:val="004F2E5B"/>
    <w:rsid w:val="004F2F66"/>
    <w:rsid w:val="004F30C9"/>
    <w:rsid w:val="004F33C4"/>
    <w:rsid w:val="004F344A"/>
    <w:rsid w:val="004F3585"/>
    <w:rsid w:val="004F3637"/>
    <w:rsid w:val="004F36A4"/>
    <w:rsid w:val="004F3817"/>
    <w:rsid w:val="004F39DF"/>
    <w:rsid w:val="004F3F31"/>
    <w:rsid w:val="004F40EA"/>
    <w:rsid w:val="004F429D"/>
    <w:rsid w:val="004F440C"/>
    <w:rsid w:val="004F4638"/>
    <w:rsid w:val="004F46B9"/>
    <w:rsid w:val="004F4A5A"/>
    <w:rsid w:val="004F4CD2"/>
    <w:rsid w:val="004F4D1F"/>
    <w:rsid w:val="004F4D80"/>
    <w:rsid w:val="004F5200"/>
    <w:rsid w:val="004F5522"/>
    <w:rsid w:val="004F5E7E"/>
    <w:rsid w:val="004F614A"/>
    <w:rsid w:val="004F6394"/>
    <w:rsid w:val="004F6705"/>
    <w:rsid w:val="004F69E0"/>
    <w:rsid w:val="004F72EA"/>
    <w:rsid w:val="004F73BA"/>
    <w:rsid w:val="004F7BC4"/>
    <w:rsid w:val="004F7DD2"/>
    <w:rsid w:val="004F7F94"/>
    <w:rsid w:val="00500611"/>
    <w:rsid w:val="00500998"/>
    <w:rsid w:val="005010CE"/>
    <w:rsid w:val="0050139C"/>
    <w:rsid w:val="005015F9"/>
    <w:rsid w:val="00501851"/>
    <w:rsid w:val="00501A02"/>
    <w:rsid w:val="00501A3E"/>
    <w:rsid w:val="00501BA5"/>
    <w:rsid w:val="005021AC"/>
    <w:rsid w:val="00502269"/>
    <w:rsid w:val="0050259C"/>
    <w:rsid w:val="0050266D"/>
    <w:rsid w:val="00502721"/>
    <w:rsid w:val="005029F6"/>
    <w:rsid w:val="00502D74"/>
    <w:rsid w:val="0050315E"/>
    <w:rsid w:val="00503C3B"/>
    <w:rsid w:val="00504019"/>
    <w:rsid w:val="005041F7"/>
    <w:rsid w:val="0050423B"/>
    <w:rsid w:val="0050437C"/>
    <w:rsid w:val="005043C4"/>
    <w:rsid w:val="00504481"/>
    <w:rsid w:val="0050472F"/>
    <w:rsid w:val="00504823"/>
    <w:rsid w:val="00504DB6"/>
    <w:rsid w:val="00505031"/>
    <w:rsid w:val="00505270"/>
    <w:rsid w:val="0050552B"/>
    <w:rsid w:val="00505A21"/>
    <w:rsid w:val="00505B52"/>
    <w:rsid w:val="00506147"/>
    <w:rsid w:val="005061D5"/>
    <w:rsid w:val="005062C5"/>
    <w:rsid w:val="005069B3"/>
    <w:rsid w:val="00506CE2"/>
    <w:rsid w:val="00506D55"/>
    <w:rsid w:val="00506EB9"/>
    <w:rsid w:val="0051031F"/>
    <w:rsid w:val="0051048F"/>
    <w:rsid w:val="00510784"/>
    <w:rsid w:val="00510C9D"/>
    <w:rsid w:val="00510E07"/>
    <w:rsid w:val="00510EE2"/>
    <w:rsid w:val="00510EFC"/>
    <w:rsid w:val="005111C2"/>
    <w:rsid w:val="005114BE"/>
    <w:rsid w:val="0051161A"/>
    <w:rsid w:val="00511775"/>
    <w:rsid w:val="00511A69"/>
    <w:rsid w:val="0051271C"/>
    <w:rsid w:val="00512C00"/>
    <w:rsid w:val="005133E6"/>
    <w:rsid w:val="0051379A"/>
    <w:rsid w:val="005137A3"/>
    <w:rsid w:val="005139E5"/>
    <w:rsid w:val="00513AE5"/>
    <w:rsid w:val="00513B0D"/>
    <w:rsid w:val="0051480F"/>
    <w:rsid w:val="005152F6"/>
    <w:rsid w:val="00515794"/>
    <w:rsid w:val="00515824"/>
    <w:rsid w:val="00515BD7"/>
    <w:rsid w:val="0051601E"/>
    <w:rsid w:val="0051632F"/>
    <w:rsid w:val="005163C4"/>
    <w:rsid w:val="0051661C"/>
    <w:rsid w:val="00516693"/>
    <w:rsid w:val="005166AF"/>
    <w:rsid w:val="00516B67"/>
    <w:rsid w:val="00516E18"/>
    <w:rsid w:val="00516E3C"/>
    <w:rsid w:val="00516F79"/>
    <w:rsid w:val="00517292"/>
    <w:rsid w:val="005175B8"/>
    <w:rsid w:val="0051783A"/>
    <w:rsid w:val="00517CB8"/>
    <w:rsid w:val="0052017B"/>
    <w:rsid w:val="005206D9"/>
    <w:rsid w:val="00520A7E"/>
    <w:rsid w:val="00520C31"/>
    <w:rsid w:val="00520C44"/>
    <w:rsid w:val="00520CEC"/>
    <w:rsid w:val="00520EA5"/>
    <w:rsid w:val="0052128C"/>
    <w:rsid w:val="00521397"/>
    <w:rsid w:val="00521635"/>
    <w:rsid w:val="00521B77"/>
    <w:rsid w:val="00521BE3"/>
    <w:rsid w:val="00522140"/>
    <w:rsid w:val="0052228D"/>
    <w:rsid w:val="00522349"/>
    <w:rsid w:val="005223F8"/>
    <w:rsid w:val="0052243C"/>
    <w:rsid w:val="0052246A"/>
    <w:rsid w:val="005229F3"/>
    <w:rsid w:val="00522ADD"/>
    <w:rsid w:val="00522B4E"/>
    <w:rsid w:val="00522FE2"/>
    <w:rsid w:val="0052317F"/>
    <w:rsid w:val="005231E8"/>
    <w:rsid w:val="00523ED1"/>
    <w:rsid w:val="00523F7D"/>
    <w:rsid w:val="0052410F"/>
    <w:rsid w:val="00524131"/>
    <w:rsid w:val="005244C8"/>
    <w:rsid w:val="005245E6"/>
    <w:rsid w:val="00524C45"/>
    <w:rsid w:val="00524C73"/>
    <w:rsid w:val="005250D8"/>
    <w:rsid w:val="005251B1"/>
    <w:rsid w:val="005256AF"/>
    <w:rsid w:val="0052635E"/>
    <w:rsid w:val="00526524"/>
    <w:rsid w:val="00526645"/>
    <w:rsid w:val="005267B5"/>
    <w:rsid w:val="00526939"/>
    <w:rsid w:val="00526B5E"/>
    <w:rsid w:val="00526D80"/>
    <w:rsid w:val="00527338"/>
    <w:rsid w:val="005275D9"/>
    <w:rsid w:val="0052771D"/>
    <w:rsid w:val="00527783"/>
    <w:rsid w:val="00527AC6"/>
    <w:rsid w:val="00527C5F"/>
    <w:rsid w:val="00527C79"/>
    <w:rsid w:val="00527FB1"/>
    <w:rsid w:val="00530173"/>
    <w:rsid w:val="005302BF"/>
    <w:rsid w:val="0053094C"/>
    <w:rsid w:val="005309B2"/>
    <w:rsid w:val="00530E3B"/>
    <w:rsid w:val="00530E98"/>
    <w:rsid w:val="005310CC"/>
    <w:rsid w:val="005310F0"/>
    <w:rsid w:val="0053121E"/>
    <w:rsid w:val="0053169D"/>
    <w:rsid w:val="00531968"/>
    <w:rsid w:val="00531E4E"/>
    <w:rsid w:val="00531EDD"/>
    <w:rsid w:val="00532024"/>
    <w:rsid w:val="005324F8"/>
    <w:rsid w:val="005327C4"/>
    <w:rsid w:val="0053288D"/>
    <w:rsid w:val="00532E9F"/>
    <w:rsid w:val="00533197"/>
    <w:rsid w:val="0053344E"/>
    <w:rsid w:val="00533537"/>
    <w:rsid w:val="0053372E"/>
    <w:rsid w:val="005337E6"/>
    <w:rsid w:val="0053381A"/>
    <w:rsid w:val="00533B55"/>
    <w:rsid w:val="00533CBB"/>
    <w:rsid w:val="00533F8C"/>
    <w:rsid w:val="00534804"/>
    <w:rsid w:val="0053496C"/>
    <w:rsid w:val="005349E4"/>
    <w:rsid w:val="00534B11"/>
    <w:rsid w:val="00534E3D"/>
    <w:rsid w:val="00534E5B"/>
    <w:rsid w:val="00534E7F"/>
    <w:rsid w:val="00534F65"/>
    <w:rsid w:val="00534FB9"/>
    <w:rsid w:val="0053502A"/>
    <w:rsid w:val="005350AB"/>
    <w:rsid w:val="005352BC"/>
    <w:rsid w:val="005352EE"/>
    <w:rsid w:val="005355C1"/>
    <w:rsid w:val="005357A7"/>
    <w:rsid w:val="0053582C"/>
    <w:rsid w:val="005359D3"/>
    <w:rsid w:val="00535A3D"/>
    <w:rsid w:val="00535A58"/>
    <w:rsid w:val="00535A89"/>
    <w:rsid w:val="0053637A"/>
    <w:rsid w:val="0053655A"/>
    <w:rsid w:val="00536588"/>
    <w:rsid w:val="0053661A"/>
    <w:rsid w:val="005366A7"/>
    <w:rsid w:val="00536948"/>
    <w:rsid w:val="00536BDA"/>
    <w:rsid w:val="005373D2"/>
    <w:rsid w:val="0053751C"/>
    <w:rsid w:val="005375D9"/>
    <w:rsid w:val="00537711"/>
    <w:rsid w:val="00537794"/>
    <w:rsid w:val="00537892"/>
    <w:rsid w:val="00537E7C"/>
    <w:rsid w:val="00537F61"/>
    <w:rsid w:val="005406A7"/>
    <w:rsid w:val="00540756"/>
    <w:rsid w:val="00540972"/>
    <w:rsid w:val="00540BD0"/>
    <w:rsid w:val="0054111A"/>
    <w:rsid w:val="00541540"/>
    <w:rsid w:val="005417B7"/>
    <w:rsid w:val="005419B8"/>
    <w:rsid w:val="00541A09"/>
    <w:rsid w:val="00541B31"/>
    <w:rsid w:val="00541CAE"/>
    <w:rsid w:val="00541DED"/>
    <w:rsid w:val="00541F8B"/>
    <w:rsid w:val="00542239"/>
    <w:rsid w:val="005430F2"/>
    <w:rsid w:val="0054312B"/>
    <w:rsid w:val="005438C3"/>
    <w:rsid w:val="0054391A"/>
    <w:rsid w:val="00543CEA"/>
    <w:rsid w:val="00543EF2"/>
    <w:rsid w:val="0054480D"/>
    <w:rsid w:val="005448F4"/>
    <w:rsid w:val="00544D0D"/>
    <w:rsid w:val="00544FDB"/>
    <w:rsid w:val="005451CE"/>
    <w:rsid w:val="00545517"/>
    <w:rsid w:val="00545650"/>
    <w:rsid w:val="005456E3"/>
    <w:rsid w:val="005459BA"/>
    <w:rsid w:val="00546202"/>
    <w:rsid w:val="005463A2"/>
    <w:rsid w:val="00546798"/>
    <w:rsid w:val="00546844"/>
    <w:rsid w:val="00547163"/>
    <w:rsid w:val="005473A1"/>
    <w:rsid w:val="0054777F"/>
    <w:rsid w:val="00547C9E"/>
    <w:rsid w:val="00547EAA"/>
    <w:rsid w:val="0055049D"/>
    <w:rsid w:val="00550639"/>
    <w:rsid w:val="00551926"/>
    <w:rsid w:val="005520C3"/>
    <w:rsid w:val="00552105"/>
    <w:rsid w:val="0055253F"/>
    <w:rsid w:val="005525E9"/>
    <w:rsid w:val="00552BF0"/>
    <w:rsid w:val="00552C50"/>
    <w:rsid w:val="0055399B"/>
    <w:rsid w:val="00553B4F"/>
    <w:rsid w:val="00553F79"/>
    <w:rsid w:val="00553F91"/>
    <w:rsid w:val="0055407B"/>
    <w:rsid w:val="0055422C"/>
    <w:rsid w:val="005545E1"/>
    <w:rsid w:val="005545EA"/>
    <w:rsid w:val="00554B61"/>
    <w:rsid w:val="00554CE1"/>
    <w:rsid w:val="00554D70"/>
    <w:rsid w:val="00554D98"/>
    <w:rsid w:val="00554F4F"/>
    <w:rsid w:val="00554F96"/>
    <w:rsid w:val="00555316"/>
    <w:rsid w:val="005553A5"/>
    <w:rsid w:val="00555448"/>
    <w:rsid w:val="00555E81"/>
    <w:rsid w:val="005562E4"/>
    <w:rsid w:val="00556335"/>
    <w:rsid w:val="00556451"/>
    <w:rsid w:val="00556462"/>
    <w:rsid w:val="0055650C"/>
    <w:rsid w:val="00556563"/>
    <w:rsid w:val="00556651"/>
    <w:rsid w:val="00556CD7"/>
    <w:rsid w:val="00557180"/>
    <w:rsid w:val="00557510"/>
    <w:rsid w:val="0055795E"/>
    <w:rsid w:val="005603E3"/>
    <w:rsid w:val="00561039"/>
    <w:rsid w:val="00561201"/>
    <w:rsid w:val="00561303"/>
    <w:rsid w:val="0056141A"/>
    <w:rsid w:val="005614D0"/>
    <w:rsid w:val="00561F0C"/>
    <w:rsid w:val="00561F94"/>
    <w:rsid w:val="00561FAC"/>
    <w:rsid w:val="00561FF9"/>
    <w:rsid w:val="005623D6"/>
    <w:rsid w:val="005624A5"/>
    <w:rsid w:val="00562B23"/>
    <w:rsid w:val="00562CBC"/>
    <w:rsid w:val="00562F6B"/>
    <w:rsid w:val="00563995"/>
    <w:rsid w:val="00563D38"/>
    <w:rsid w:val="00564014"/>
    <w:rsid w:val="0056458B"/>
    <w:rsid w:val="00564632"/>
    <w:rsid w:val="00564889"/>
    <w:rsid w:val="00564AE8"/>
    <w:rsid w:val="00564B6F"/>
    <w:rsid w:val="00564BDA"/>
    <w:rsid w:val="00564C4D"/>
    <w:rsid w:val="00564C6C"/>
    <w:rsid w:val="00564CC1"/>
    <w:rsid w:val="00564DCC"/>
    <w:rsid w:val="00564E78"/>
    <w:rsid w:val="00565097"/>
    <w:rsid w:val="00565B05"/>
    <w:rsid w:val="00565C01"/>
    <w:rsid w:val="00565C8D"/>
    <w:rsid w:val="00565E18"/>
    <w:rsid w:val="005661B0"/>
    <w:rsid w:val="00566240"/>
    <w:rsid w:val="005662DE"/>
    <w:rsid w:val="00566518"/>
    <w:rsid w:val="005665FB"/>
    <w:rsid w:val="00566AF2"/>
    <w:rsid w:val="00567173"/>
    <w:rsid w:val="00567331"/>
    <w:rsid w:val="005673D6"/>
    <w:rsid w:val="005674C6"/>
    <w:rsid w:val="00567769"/>
    <w:rsid w:val="00567863"/>
    <w:rsid w:val="00567A01"/>
    <w:rsid w:val="00567AF1"/>
    <w:rsid w:val="00567B21"/>
    <w:rsid w:val="00567C12"/>
    <w:rsid w:val="0057003C"/>
    <w:rsid w:val="00570176"/>
    <w:rsid w:val="00570883"/>
    <w:rsid w:val="00570DAB"/>
    <w:rsid w:val="00570F26"/>
    <w:rsid w:val="005711F0"/>
    <w:rsid w:val="00571A12"/>
    <w:rsid w:val="00571EAE"/>
    <w:rsid w:val="00572108"/>
    <w:rsid w:val="00572121"/>
    <w:rsid w:val="005724BD"/>
    <w:rsid w:val="00572680"/>
    <w:rsid w:val="00572B25"/>
    <w:rsid w:val="00572CA3"/>
    <w:rsid w:val="00572E94"/>
    <w:rsid w:val="00573030"/>
    <w:rsid w:val="0057304F"/>
    <w:rsid w:val="00573053"/>
    <w:rsid w:val="00573082"/>
    <w:rsid w:val="00573462"/>
    <w:rsid w:val="005736F4"/>
    <w:rsid w:val="00573785"/>
    <w:rsid w:val="005738E1"/>
    <w:rsid w:val="00573D84"/>
    <w:rsid w:val="005748FD"/>
    <w:rsid w:val="00574C97"/>
    <w:rsid w:val="00574D1B"/>
    <w:rsid w:val="00574FD3"/>
    <w:rsid w:val="0057505B"/>
    <w:rsid w:val="00575580"/>
    <w:rsid w:val="0057570C"/>
    <w:rsid w:val="00575791"/>
    <w:rsid w:val="00575AAC"/>
    <w:rsid w:val="00575D69"/>
    <w:rsid w:val="00575D73"/>
    <w:rsid w:val="0057642E"/>
    <w:rsid w:val="005764D5"/>
    <w:rsid w:val="005768FB"/>
    <w:rsid w:val="00576979"/>
    <w:rsid w:val="00576DE8"/>
    <w:rsid w:val="00576F1E"/>
    <w:rsid w:val="005773F7"/>
    <w:rsid w:val="0057792B"/>
    <w:rsid w:val="00577A41"/>
    <w:rsid w:val="00577E14"/>
    <w:rsid w:val="005805CD"/>
    <w:rsid w:val="00580B1F"/>
    <w:rsid w:val="00580B6A"/>
    <w:rsid w:val="00580CB0"/>
    <w:rsid w:val="00580FE8"/>
    <w:rsid w:val="00581075"/>
    <w:rsid w:val="0058144C"/>
    <w:rsid w:val="0058150C"/>
    <w:rsid w:val="0058150D"/>
    <w:rsid w:val="005819C9"/>
    <w:rsid w:val="00581C42"/>
    <w:rsid w:val="00581E18"/>
    <w:rsid w:val="00581EE6"/>
    <w:rsid w:val="00581F6A"/>
    <w:rsid w:val="00581F71"/>
    <w:rsid w:val="00582506"/>
    <w:rsid w:val="00582859"/>
    <w:rsid w:val="0058287A"/>
    <w:rsid w:val="00582A83"/>
    <w:rsid w:val="00582AEB"/>
    <w:rsid w:val="00582C02"/>
    <w:rsid w:val="005838F1"/>
    <w:rsid w:val="00583965"/>
    <w:rsid w:val="00584249"/>
    <w:rsid w:val="0058427B"/>
    <w:rsid w:val="00584C34"/>
    <w:rsid w:val="00584CC7"/>
    <w:rsid w:val="00584F4A"/>
    <w:rsid w:val="005850CC"/>
    <w:rsid w:val="005855F0"/>
    <w:rsid w:val="00585671"/>
    <w:rsid w:val="0058586D"/>
    <w:rsid w:val="00585C15"/>
    <w:rsid w:val="00585C42"/>
    <w:rsid w:val="00585D8E"/>
    <w:rsid w:val="00585E51"/>
    <w:rsid w:val="00585F17"/>
    <w:rsid w:val="0058627D"/>
    <w:rsid w:val="005863BC"/>
    <w:rsid w:val="005864A7"/>
    <w:rsid w:val="00586796"/>
    <w:rsid w:val="00586B82"/>
    <w:rsid w:val="005870B0"/>
    <w:rsid w:val="0058735A"/>
    <w:rsid w:val="0058744A"/>
    <w:rsid w:val="00587764"/>
    <w:rsid w:val="005878A7"/>
    <w:rsid w:val="00587917"/>
    <w:rsid w:val="00587A70"/>
    <w:rsid w:val="00587B52"/>
    <w:rsid w:val="00587F4E"/>
    <w:rsid w:val="005900DB"/>
    <w:rsid w:val="005900DD"/>
    <w:rsid w:val="0059011E"/>
    <w:rsid w:val="005904AF"/>
    <w:rsid w:val="00590600"/>
    <w:rsid w:val="0059077C"/>
    <w:rsid w:val="00590982"/>
    <w:rsid w:val="00590D60"/>
    <w:rsid w:val="00590EBA"/>
    <w:rsid w:val="0059122B"/>
    <w:rsid w:val="00591491"/>
    <w:rsid w:val="00591687"/>
    <w:rsid w:val="005919EF"/>
    <w:rsid w:val="005921DD"/>
    <w:rsid w:val="00592232"/>
    <w:rsid w:val="005922E5"/>
    <w:rsid w:val="00592396"/>
    <w:rsid w:val="00592697"/>
    <w:rsid w:val="005929C2"/>
    <w:rsid w:val="00592A0A"/>
    <w:rsid w:val="00592B62"/>
    <w:rsid w:val="00592C56"/>
    <w:rsid w:val="005931C5"/>
    <w:rsid w:val="005933D0"/>
    <w:rsid w:val="005938A8"/>
    <w:rsid w:val="005939EC"/>
    <w:rsid w:val="00593B52"/>
    <w:rsid w:val="00594034"/>
    <w:rsid w:val="0059415F"/>
    <w:rsid w:val="005941FB"/>
    <w:rsid w:val="005949F5"/>
    <w:rsid w:val="00594FE5"/>
    <w:rsid w:val="0059530A"/>
    <w:rsid w:val="00595504"/>
    <w:rsid w:val="0059558C"/>
    <w:rsid w:val="005955FD"/>
    <w:rsid w:val="0059561D"/>
    <w:rsid w:val="005956D8"/>
    <w:rsid w:val="005956D9"/>
    <w:rsid w:val="0059576E"/>
    <w:rsid w:val="00595A4E"/>
    <w:rsid w:val="00595B8A"/>
    <w:rsid w:val="00595E62"/>
    <w:rsid w:val="005960AD"/>
    <w:rsid w:val="005962E9"/>
    <w:rsid w:val="0059660E"/>
    <w:rsid w:val="005967B7"/>
    <w:rsid w:val="00596913"/>
    <w:rsid w:val="00596914"/>
    <w:rsid w:val="00596955"/>
    <w:rsid w:val="00596D4A"/>
    <w:rsid w:val="0059729E"/>
    <w:rsid w:val="00597586"/>
    <w:rsid w:val="00597BFB"/>
    <w:rsid w:val="00597DAD"/>
    <w:rsid w:val="005A0106"/>
    <w:rsid w:val="005A02A2"/>
    <w:rsid w:val="005A03C2"/>
    <w:rsid w:val="005A05BF"/>
    <w:rsid w:val="005A0606"/>
    <w:rsid w:val="005A0972"/>
    <w:rsid w:val="005A0A6F"/>
    <w:rsid w:val="005A0D06"/>
    <w:rsid w:val="005A0D29"/>
    <w:rsid w:val="005A0F47"/>
    <w:rsid w:val="005A0F61"/>
    <w:rsid w:val="005A127E"/>
    <w:rsid w:val="005A1B84"/>
    <w:rsid w:val="005A1E34"/>
    <w:rsid w:val="005A21E9"/>
    <w:rsid w:val="005A24F6"/>
    <w:rsid w:val="005A2735"/>
    <w:rsid w:val="005A27C8"/>
    <w:rsid w:val="005A2884"/>
    <w:rsid w:val="005A2907"/>
    <w:rsid w:val="005A29C9"/>
    <w:rsid w:val="005A2A3F"/>
    <w:rsid w:val="005A2A96"/>
    <w:rsid w:val="005A2B10"/>
    <w:rsid w:val="005A3144"/>
    <w:rsid w:val="005A32B1"/>
    <w:rsid w:val="005A3A69"/>
    <w:rsid w:val="005A3BB5"/>
    <w:rsid w:val="005A421D"/>
    <w:rsid w:val="005A46BF"/>
    <w:rsid w:val="005A4813"/>
    <w:rsid w:val="005A4B7B"/>
    <w:rsid w:val="005A4EC1"/>
    <w:rsid w:val="005A4FC8"/>
    <w:rsid w:val="005A5002"/>
    <w:rsid w:val="005A51B8"/>
    <w:rsid w:val="005A5456"/>
    <w:rsid w:val="005A55A8"/>
    <w:rsid w:val="005A5602"/>
    <w:rsid w:val="005A56B7"/>
    <w:rsid w:val="005A5B5B"/>
    <w:rsid w:val="005A60C4"/>
    <w:rsid w:val="005A611E"/>
    <w:rsid w:val="005A6730"/>
    <w:rsid w:val="005A68E5"/>
    <w:rsid w:val="005A6B6E"/>
    <w:rsid w:val="005A6C9D"/>
    <w:rsid w:val="005A6E18"/>
    <w:rsid w:val="005A707C"/>
    <w:rsid w:val="005A7139"/>
    <w:rsid w:val="005A7229"/>
    <w:rsid w:val="005A7487"/>
    <w:rsid w:val="005A7647"/>
    <w:rsid w:val="005A76F6"/>
    <w:rsid w:val="005A787A"/>
    <w:rsid w:val="005A791B"/>
    <w:rsid w:val="005B0184"/>
    <w:rsid w:val="005B0CA6"/>
    <w:rsid w:val="005B0E20"/>
    <w:rsid w:val="005B0EEF"/>
    <w:rsid w:val="005B111E"/>
    <w:rsid w:val="005B1160"/>
    <w:rsid w:val="005B1B47"/>
    <w:rsid w:val="005B1E9B"/>
    <w:rsid w:val="005B20B4"/>
    <w:rsid w:val="005B2104"/>
    <w:rsid w:val="005B21CC"/>
    <w:rsid w:val="005B242D"/>
    <w:rsid w:val="005B2532"/>
    <w:rsid w:val="005B25AD"/>
    <w:rsid w:val="005B2816"/>
    <w:rsid w:val="005B29DA"/>
    <w:rsid w:val="005B2DA3"/>
    <w:rsid w:val="005B2F5F"/>
    <w:rsid w:val="005B386B"/>
    <w:rsid w:val="005B3941"/>
    <w:rsid w:val="005B394B"/>
    <w:rsid w:val="005B3CC4"/>
    <w:rsid w:val="005B433E"/>
    <w:rsid w:val="005B4367"/>
    <w:rsid w:val="005B59F3"/>
    <w:rsid w:val="005B5BFA"/>
    <w:rsid w:val="005B5D56"/>
    <w:rsid w:val="005B5D5F"/>
    <w:rsid w:val="005B5E39"/>
    <w:rsid w:val="005B6635"/>
    <w:rsid w:val="005B6887"/>
    <w:rsid w:val="005B69E3"/>
    <w:rsid w:val="005B6ABC"/>
    <w:rsid w:val="005B6B7D"/>
    <w:rsid w:val="005B6C76"/>
    <w:rsid w:val="005B6FB2"/>
    <w:rsid w:val="005B70B0"/>
    <w:rsid w:val="005B7608"/>
    <w:rsid w:val="005B773D"/>
    <w:rsid w:val="005B79E9"/>
    <w:rsid w:val="005B7B71"/>
    <w:rsid w:val="005B7C06"/>
    <w:rsid w:val="005B7FB5"/>
    <w:rsid w:val="005C0554"/>
    <w:rsid w:val="005C0956"/>
    <w:rsid w:val="005C0BB3"/>
    <w:rsid w:val="005C0FA8"/>
    <w:rsid w:val="005C130D"/>
    <w:rsid w:val="005C1381"/>
    <w:rsid w:val="005C15F7"/>
    <w:rsid w:val="005C1687"/>
    <w:rsid w:val="005C1942"/>
    <w:rsid w:val="005C1A7B"/>
    <w:rsid w:val="005C1AB2"/>
    <w:rsid w:val="005C1D30"/>
    <w:rsid w:val="005C1DA1"/>
    <w:rsid w:val="005C21AD"/>
    <w:rsid w:val="005C251E"/>
    <w:rsid w:val="005C2A63"/>
    <w:rsid w:val="005C2ED6"/>
    <w:rsid w:val="005C30AF"/>
    <w:rsid w:val="005C322D"/>
    <w:rsid w:val="005C354F"/>
    <w:rsid w:val="005C37D9"/>
    <w:rsid w:val="005C38E4"/>
    <w:rsid w:val="005C495A"/>
    <w:rsid w:val="005C4BF6"/>
    <w:rsid w:val="005C4E21"/>
    <w:rsid w:val="005C5006"/>
    <w:rsid w:val="005C5232"/>
    <w:rsid w:val="005C5431"/>
    <w:rsid w:val="005C5699"/>
    <w:rsid w:val="005C58BB"/>
    <w:rsid w:val="005C5974"/>
    <w:rsid w:val="005C5BE8"/>
    <w:rsid w:val="005C5C35"/>
    <w:rsid w:val="005C5D67"/>
    <w:rsid w:val="005C609F"/>
    <w:rsid w:val="005C610E"/>
    <w:rsid w:val="005C6478"/>
    <w:rsid w:val="005C6670"/>
    <w:rsid w:val="005C66B1"/>
    <w:rsid w:val="005C6A33"/>
    <w:rsid w:val="005C6B89"/>
    <w:rsid w:val="005C6E07"/>
    <w:rsid w:val="005C70B4"/>
    <w:rsid w:val="005C7400"/>
    <w:rsid w:val="005C795B"/>
    <w:rsid w:val="005C7A25"/>
    <w:rsid w:val="005C7D86"/>
    <w:rsid w:val="005C7E72"/>
    <w:rsid w:val="005C7F02"/>
    <w:rsid w:val="005D03A4"/>
    <w:rsid w:val="005D0B89"/>
    <w:rsid w:val="005D0BB7"/>
    <w:rsid w:val="005D0C4E"/>
    <w:rsid w:val="005D1131"/>
    <w:rsid w:val="005D11F8"/>
    <w:rsid w:val="005D15FD"/>
    <w:rsid w:val="005D1845"/>
    <w:rsid w:val="005D1A56"/>
    <w:rsid w:val="005D1D73"/>
    <w:rsid w:val="005D1DBB"/>
    <w:rsid w:val="005D1F1C"/>
    <w:rsid w:val="005D21A2"/>
    <w:rsid w:val="005D2621"/>
    <w:rsid w:val="005D283C"/>
    <w:rsid w:val="005D2AAD"/>
    <w:rsid w:val="005D2E33"/>
    <w:rsid w:val="005D359B"/>
    <w:rsid w:val="005D3DA4"/>
    <w:rsid w:val="005D427B"/>
    <w:rsid w:val="005D4337"/>
    <w:rsid w:val="005D4800"/>
    <w:rsid w:val="005D4A3F"/>
    <w:rsid w:val="005D5A8E"/>
    <w:rsid w:val="005D5BF2"/>
    <w:rsid w:val="005D5F88"/>
    <w:rsid w:val="005D6105"/>
    <w:rsid w:val="005D6467"/>
    <w:rsid w:val="005D64F8"/>
    <w:rsid w:val="005D6B04"/>
    <w:rsid w:val="005D6B4E"/>
    <w:rsid w:val="005D6B6B"/>
    <w:rsid w:val="005D6C52"/>
    <w:rsid w:val="005D70A6"/>
    <w:rsid w:val="005D7ECA"/>
    <w:rsid w:val="005E015C"/>
    <w:rsid w:val="005E0468"/>
    <w:rsid w:val="005E0586"/>
    <w:rsid w:val="005E05A3"/>
    <w:rsid w:val="005E093C"/>
    <w:rsid w:val="005E0C80"/>
    <w:rsid w:val="005E0F4B"/>
    <w:rsid w:val="005E0FFD"/>
    <w:rsid w:val="005E10EA"/>
    <w:rsid w:val="005E1786"/>
    <w:rsid w:val="005E18C0"/>
    <w:rsid w:val="005E211D"/>
    <w:rsid w:val="005E2296"/>
    <w:rsid w:val="005E2414"/>
    <w:rsid w:val="005E2462"/>
    <w:rsid w:val="005E269D"/>
    <w:rsid w:val="005E27CB"/>
    <w:rsid w:val="005E29DA"/>
    <w:rsid w:val="005E2D96"/>
    <w:rsid w:val="005E2EF4"/>
    <w:rsid w:val="005E3117"/>
    <w:rsid w:val="005E3353"/>
    <w:rsid w:val="005E3760"/>
    <w:rsid w:val="005E395B"/>
    <w:rsid w:val="005E39D2"/>
    <w:rsid w:val="005E3CB2"/>
    <w:rsid w:val="005E3CE9"/>
    <w:rsid w:val="005E3FD6"/>
    <w:rsid w:val="005E4120"/>
    <w:rsid w:val="005E42B9"/>
    <w:rsid w:val="005E4423"/>
    <w:rsid w:val="005E4720"/>
    <w:rsid w:val="005E49C7"/>
    <w:rsid w:val="005E4C41"/>
    <w:rsid w:val="005E4C5F"/>
    <w:rsid w:val="005E4C99"/>
    <w:rsid w:val="005E4D06"/>
    <w:rsid w:val="005E4F67"/>
    <w:rsid w:val="005E5509"/>
    <w:rsid w:val="005E569E"/>
    <w:rsid w:val="005E56F3"/>
    <w:rsid w:val="005E5932"/>
    <w:rsid w:val="005E5E01"/>
    <w:rsid w:val="005E6480"/>
    <w:rsid w:val="005E6E04"/>
    <w:rsid w:val="005E7088"/>
    <w:rsid w:val="005E711F"/>
    <w:rsid w:val="005E742B"/>
    <w:rsid w:val="005E74BD"/>
    <w:rsid w:val="005E7566"/>
    <w:rsid w:val="005E779A"/>
    <w:rsid w:val="005F02C6"/>
    <w:rsid w:val="005F0461"/>
    <w:rsid w:val="005F0AF4"/>
    <w:rsid w:val="005F0E00"/>
    <w:rsid w:val="005F0EE1"/>
    <w:rsid w:val="005F11F8"/>
    <w:rsid w:val="005F1366"/>
    <w:rsid w:val="005F1402"/>
    <w:rsid w:val="005F14F7"/>
    <w:rsid w:val="005F1606"/>
    <w:rsid w:val="005F1C98"/>
    <w:rsid w:val="005F1FA1"/>
    <w:rsid w:val="005F21DE"/>
    <w:rsid w:val="005F2383"/>
    <w:rsid w:val="005F2A0A"/>
    <w:rsid w:val="005F2B2F"/>
    <w:rsid w:val="005F2E38"/>
    <w:rsid w:val="005F2FF5"/>
    <w:rsid w:val="005F2FF6"/>
    <w:rsid w:val="005F30AD"/>
    <w:rsid w:val="005F3237"/>
    <w:rsid w:val="005F329B"/>
    <w:rsid w:val="005F36D0"/>
    <w:rsid w:val="005F3897"/>
    <w:rsid w:val="005F3B36"/>
    <w:rsid w:val="005F40B5"/>
    <w:rsid w:val="005F42A0"/>
    <w:rsid w:val="005F42A9"/>
    <w:rsid w:val="005F452C"/>
    <w:rsid w:val="005F5321"/>
    <w:rsid w:val="005F5686"/>
    <w:rsid w:val="005F589F"/>
    <w:rsid w:val="005F5A35"/>
    <w:rsid w:val="005F5B14"/>
    <w:rsid w:val="005F60C1"/>
    <w:rsid w:val="005F6170"/>
    <w:rsid w:val="005F66F5"/>
    <w:rsid w:val="005F6726"/>
    <w:rsid w:val="005F6743"/>
    <w:rsid w:val="005F6A3D"/>
    <w:rsid w:val="005F6AD2"/>
    <w:rsid w:val="005F6C91"/>
    <w:rsid w:val="005F6DF6"/>
    <w:rsid w:val="005F6FB9"/>
    <w:rsid w:val="005F75B2"/>
    <w:rsid w:val="005F79FF"/>
    <w:rsid w:val="005F7EB3"/>
    <w:rsid w:val="005F7F8F"/>
    <w:rsid w:val="006003F0"/>
    <w:rsid w:val="006004E1"/>
    <w:rsid w:val="006004FB"/>
    <w:rsid w:val="00600660"/>
    <w:rsid w:val="00600930"/>
    <w:rsid w:val="0060118E"/>
    <w:rsid w:val="006016D0"/>
    <w:rsid w:val="00601834"/>
    <w:rsid w:val="006018C0"/>
    <w:rsid w:val="006020DC"/>
    <w:rsid w:val="00602123"/>
    <w:rsid w:val="0060249A"/>
    <w:rsid w:val="006024B9"/>
    <w:rsid w:val="00602968"/>
    <w:rsid w:val="00602D88"/>
    <w:rsid w:val="0060344D"/>
    <w:rsid w:val="00603588"/>
    <w:rsid w:val="006038CD"/>
    <w:rsid w:val="00603C2D"/>
    <w:rsid w:val="00603CF7"/>
    <w:rsid w:val="00603FCF"/>
    <w:rsid w:val="0060404C"/>
    <w:rsid w:val="00604182"/>
    <w:rsid w:val="00604281"/>
    <w:rsid w:val="0060445F"/>
    <w:rsid w:val="006045D7"/>
    <w:rsid w:val="006045FC"/>
    <w:rsid w:val="00604DFD"/>
    <w:rsid w:val="00604E12"/>
    <w:rsid w:val="006053A5"/>
    <w:rsid w:val="0060548B"/>
    <w:rsid w:val="0060573A"/>
    <w:rsid w:val="00605823"/>
    <w:rsid w:val="00605C3C"/>
    <w:rsid w:val="00605E1D"/>
    <w:rsid w:val="00605E4B"/>
    <w:rsid w:val="00606018"/>
    <w:rsid w:val="0060617B"/>
    <w:rsid w:val="0060621F"/>
    <w:rsid w:val="0060696F"/>
    <w:rsid w:val="0060698F"/>
    <w:rsid w:val="00606AB2"/>
    <w:rsid w:val="00606C9D"/>
    <w:rsid w:val="00606E23"/>
    <w:rsid w:val="00607194"/>
    <w:rsid w:val="00607347"/>
    <w:rsid w:val="00607528"/>
    <w:rsid w:val="00607B9A"/>
    <w:rsid w:val="00607EBB"/>
    <w:rsid w:val="00607F41"/>
    <w:rsid w:val="00610053"/>
    <w:rsid w:val="006103B6"/>
    <w:rsid w:val="006103B7"/>
    <w:rsid w:val="0061075A"/>
    <w:rsid w:val="00610B72"/>
    <w:rsid w:val="006111DC"/>
    <w:rsid w:val="0061121A"/>
    <w:rsid w:val="006117CD"/>
    <w:rsid w:val="00611810"/>
    <w:rsid w:val="00611A0A"/>
    <w:rsid w:val="006120F5"/>
    <w:rsid w:val="006121FA"/>
    <w:rsid w:val="00612217"/>
    <w:rsid w:val="00612441"/>
    <w:rsid w:val="00612506"/>
    <w:rsid w:val="00612557"/>
    <w:rsid w:val="00612662"/>
    <w:rsid w:val="00612EB4"/>
    <w:rsid w:val="00612ED8"/>
    <w:rsid w:val="00612FFF"/>
    <w:rsid w:val="00613536"/>
    <w:rsid w:val="006135C5"/>
    <w:rsid w:val="006137CC"/>
    <w:rsid w:val="00613963"/>
    <w:rsid w:val="006139AD"/>
    <w:rsid w:val="00613ACC"/>
    <w:rsid w:val="00613B03"/>
    <w:rsid w:val="00613B4F"/>
    <w:rsid w:val="00613CB0"/>
    <w:rsid w:val="00613D67"/>
    <w:rsid w:val="006141D7"/>
    <w:rsid w:val="0061441A"/>
    <w:rsid w:val="00614429"/>
    <w:rsid w:val="0061465D"/>
    <w:rsid w:val="00614810"/>
    <w:rsid w:val="00614826"/>
    <w:rsid w:val="006148A0"/>
    <w:rsid w:val="006148DC"/>
    <w:rsid w:val="006149E2"/>
    <w:rsid w:val="00614A32"/>
    <w:rsid w:val="00615009"/>
    <w:rsid w:val="00615347"/>
    <w:rsid w:val="006155DB"/>
    <w:rsid w:val="00615795"/>
    <w:rsid w:val="0061599C"/>
    <w:rsid w:val="00615ECF"/>
    <w:rsid w:val="00615F37"/>
    <w:rsid w:val="00616231"/>
    <w:rsid w:val="00616415"/>
    <w:rsid w:val="00616602"/>
    <w:rsid w:val="00616AE1"/>
    <w:rsid w:val="00616B59"/>
    <w:rsid w:val="00616BDF"/>
    <w:rsid w:val="00616EA2"/>
    <w:rsid w:val="00617D9E"/>
    <w:rsid w:val="00620382"/>
    <w:rsid w:val="006203A7"/>
    <w:rsid w:val="00620413"/>
    <w:rsid w:val="0062051F"/>
    <w:rsid w:val="0062075D"/>
    <w:rsid w:val="00620803"/>
    <w:rsid w:val="006208EF"/>
    <w:rsid w:val="00620BE6"/>
    <w:rsid w:val="00620C7F"/>
    <w:rsid w:val="00621179"/>
    <w:rsid w:val="00621990"/>
    <w:rsid w:val="00621AB5"/>
    <w:rsid w:val="00621D12"/>
    <w:rsid w:val="00621F5B"/>
    <w:rsid w:val="00622072"/>
    <w:rsid w:val="006223CD"/>
    <w:rsid w:val="006225E9"/>
    <w:rsid w:val="006228B4"/>
    <w:rsid w:val="00622BA9"/>
    <w:rsid w:val="0062311F"/>
    <w:rsid w:val="006235B7"/>
    <w:rsid w:val="00623644"/>
    <w:rsid w:val="00623663"/>
    <w:rsid w:val="006237CE"/>
    <w:rsid w:val="00623A3D"/>
    <w:rsid w:val="00623DBD"/>
    <w:rsid w:val="00624047"/>
    <w:rsid w:val="006240FF"/>
    <w:rsid w:val="0062443C"/>
    <w:rsid w:val="00624E76"/>
    <w:rsid w:val="00625C61"/>
    <w:rsid w:val="00625DCC"/>
    <w:rsid w:val="00625FED"/>
    <w:rsid w:val="00626231"/>
    <w:rsid w:val="00626247"/>
    <w:rsid w:val="0062648F"/>
    <w:rsid w:val="00626534"/>
    <w:rsid w:val="00626721"/>
    <w:rsid w:val="00626916"/>
    <w:rsid w:val="006269B6"/>
    <w:rsid w:val="00626C0D"/>
    <w:rsid w:val="00627080"/>
    <w:rsid w:val="00627458"/>
    <w:rsid w:val="006276B0"/>
    <w:rsid w:val="00627732"/>
    <w:rsid w:val="00627C36"/>
    <w:rsid w:val="0063006C"/>
    <w:rsid w:val="00630DE0"/>
    <w:rsid w:val="0063103D"/>
    <w:rsid w:val="006315B1"/>
    <w:rsid w:val="006319C9"/>
    <w:rsid w:val="00631B03"/>
    <w:rsid w:val="00631B0B"/>
    <w:rsid w:val="00631C96"/>
    <w:rsid w:val="00631FFC"/>
    <w:rsid w:val="00632169"/>
    <w:rsid w:val="0063240A"/>
    <w:rsid w:val="006326DF"/>
    <w:rsid w:val="00632A58"/>
    <w:rsid w:val="00632B0C"/>
    <w:rsid w:val="00632B91"/>
    <w:rsid w:val="00632DB0"/>
    <w:rsid w:val="006331A4"/>
    <w:rsid w:val="006335CC"/>
    <w:rsid w:val="006336F2"/>
    <w:rsid w:val="006338FE"/>
    <w:rsid w:val="006339B9"/>
    <w:rsid w:val="00633B42"/>
    <w:rsid w:val="006345D3"/>
    <w:rsid w:val="0063469E"/>
    <w:rsid w:val="00634E7B"/>
    <w:rsid w:val="00635131"/>
    <w:rsid w:val="006356CA"/>
    <w:rsid w:val="006356E6"/>
    <w:rsid w:val="00635912"/>
    <w:rsid w:val="006359D2"/>
    <w:rsid w:val="00635BD6"/>
    <w:rsid w:val="00635E7C"/>
    <w:rsid w:val="006361DB"/>
    <w:rsid w:val="0063655E"/>
    <w:rsid w:val="00636A97"/>
    <w:rsid w:val="00636D04"/>
    <w:rsid w:val="006370F5"/>
    <w:rsid w:val="006374CA"/>
    <w:rsid w:val="00637EF0"/>
    <w:rsid w:val="006408FD"/>
    <w:rsid w:val="00640F89"/>
    <w:rsid w:val="00641113"/>
    <w:rsid w:val="00641274"/>
    <w:rsid w:val="00641414"/>
    <w:rsid w:val="00641A67"/>
    <w:rsid w:val="00641B84"/>
    <w:rsid w:val="00641E1B"/>
    <w:rsid w:val="00642624"/>
    <w:rsid w:val="006426DD"/>
    <w:rsid w:val="00642755"/>
    <w:rsid w:val="00642A77"/>
    <w:rsid w:val="00642B30"/>
    <w:rsid w:val="00643296"/>
    <w:rsid w:val="006436BE"/>
    <w:rsid w:val="00643E37"/>
    <w:rsid w:val="00644538"/>
    <w:rsid w:val="00644569"/>
    <w:rsid w:val="006446BE"/>
    <w:rsid w:val="006446C0"/>
    <w:rsid w:val="0064472F"/>
    <w:rsid w:val="00644A3C"/>
    <w:rsid w:val="00644D68"/>
    <w:rsid w:val="00644E1E"/>
    <w:rsid w:val="00645387"/>
    <w:rsid w:val="006453A6"/>
    <w:rsid w:val="00645490"/>
    <w:rsid w:val="0064571A"/>
    <w:rsid w:val="00645B88"/>
    <w:rsid w:val="00645CB4"/>
    <w:rsid w:val="00646459"/>
    <w:rsid w:val="00646535"/>
    <w:rsid w:val="00646A0B"/>
    <w:rsid w:val="00646B35"/>
    <w:rsid w:val="006479EB"/>
    <w:rsid w:val="00647B9C"/>
    <w:rsid w:val="00647D19"/>
    <w:rsid w:val="00647D68"/>
    <w:rsid w:val="00647E9C"/>
    <w:rsid w:val="0065005C"/>
    <w:rsid w:val="00650254"/>
    <w:rsid w:val="00650829"/>
    <w:rsid w:val="006509FC"/>
    <w:rsid w:val="00650A8F"/>
    <w:rsid w:val="00650DE6"/>
    <w:rsid w:val="00651257"/>
    <w:rsid w:val="006517FA"/>
    <w:rsid w:val="006518E4"/>
    <w:rsid w:val="00651BFA"/>
    <w:rsid w:val="00651E05"/>
    <w:rsid w:val="00651FE5"/>
    <w:rsid w:val="0065207D"/>
    <w:rsid w:val="006525AB"/>
    <w:rsid w:val="006526D8"/>
    <w:rsid w:val="006526FD"/>
    <w:rsid w:val="00652A2B"/>
    <w:rsid w:val="00652FDA"/>
    <w:rsid w:val="00653315"/>
    <w:rsid w:val="00653722"/>
    <w:rsid w:val="00653909"/>
    <w:rsid w:val="00653A2D"/>
    <w:rsid w:val="00653A4B"/>
    <w:rsid w:val="00653CA8"/>
    <w:rsid w:val="00653EF0"/>
    <w:rsid w:val="00654402"/>
    <w:rsid w:val="00654423"/>
    <w:rsid w:val="00654484"/>
    <w:rsid w:val="0065483C"/>
    <w:rsid w:val="00654857"/>
    <w:rsid w:val="006549E9"/>
    <w:rsid w:val="006551A3"/>
    <w:rsid w:val="00655596"/>
    <w:rsid w:val="006555F8"/>
    <w:rsid w:val="00655C02"/>
    <w:rsid w:val="00655D46"/>
    <w:rsid w:val="00655E2D"/>
    <w:rsid w:val="00655F3B"/>
    <w:rsid w:val="00656089"/>
    <w:rsid w:val="0065608D"/>
    <w:rsid w:val="00656332"/>
    <w:rsid w:val="00656341"/>
    <w:rsid w:val="006564A9"/>
    <w:rsid w:val="00656555"/>
    <w:rsid w:val="0065684A"/>
    <w:rsid w:val="00656C57"/>
    <w:rsid w:val="00656D71"/>
    <w:rsid w:val="0065719E"/>
    <w:rsid w:val="00657355"/>
    <w:rsid w:val="006575DE"/>
    <w:rsid w:val="0065788C"/>
    <w:rsid w:val="00657D1C"/>
    <w:rsid w:val="00657FEE"/>
    <w:rsid w:val="006601F1"/>
    <w:rsid w:val="0066051B"/>
    <w:rsid w:val="00660607"/>
    <w:rsid w:val="00660989"/>
    <w:rsid w:val="00660C38"/>
    <w:rsid w:val="00660FE1"/>
    <w:rsid w:val="00661291"/>
    <w:rsid w:val="00661685"/>
    <w:rsid w:val="00661954"/>
    <w:rsid w:val="006619A7"/>
    <w:rsid w:val="00661A3B"/>
    <w:rsid w:val="00661B37"/>
    <w:rsid w:val="00661B97"/>
    <w:rsid w:val="00661C21"/>
    <w:rsid w:val="00661E4E"/>
    <w:rsid w:val="00661F62"/>
    <w:rsid w:val="0066203E"/>
    <w:rsid w:val="00662169"/>
    <w:rsid w:val="00662345"/>
    <w:rsid w:val="006623ED"/>
    <w:rsid w:val="00662830"/>
    <w:rsid w:val="00662B7D"/>
    <w:rsid w:val="00662C75"/>
    <w:rsid w:val="00662DF6"/>
    <w:rsid w:val="0066319E"/>
    <w:rsid w:val="006634A2"/>
    <w:rsid w:val="006637E6"/>
    <w:rsid w:val="00663B10"/>
    <w:rsid w:val="00663B28"/>
    <w:rsid w:val="00664160"/>
    <w:rsid w:val="0066423D"/>
    <w:rsid w:val="00664459"/>
    <w:rsid w:val="00664534"/>
    <w:rsid w:val="0066453E"/>
    <w:rsid w:val="00664606"/>
    <w:rsid w:val="006647AB"/>
    <w:rsid w:val="00664A6D"/>
    <w:rsid w:val="00664DC5"/>
    <w:rsid w:val="00664E3D"/>
    <w:rsid w:val="00664F84"/>
    <w:rsid w:val="006650CC"/>
    <w:rsid w:val="006651EB"/>
    <w:rsid w:val="006652F6"/>
    <w:rsid w:val="00665C71"/>
    <w:rsid w:val="00665D68"/>
    <w:rsid w:val="0066669D"/>
    <w:rsid w:val="0066670A"/>
    <w:rsid w:val="0066690B"/>
    <w:rsid w:val="00666982"/>
    <w:rsid w:val="00666D00"/>
    <w:rsid w:val="00666DD1"/>
    <w:rsid w:val="00666FA4"/>
    <w:rsid w:val="006677B8"/>
    <w:rsid w:val="0066788C"/>
    <w:rsid w:val="00667956"/>
    <w:rsid w:val="00667AF2"/>
    <w:rsid w:val="00670197"/>
    <w:rsid w:val="0067038F"/>
    <w:rsid w:val="006703AA"/>
    <w:rsid w:val="0067094E"/>
    <w:rsid w:val="006709BF"/>
    <w:rsid w:val="00671039"/>
    <w:rsid w:val="00671730"/>
    <w:rsid w:val="00671A2A"/>
    <w:rsid w:val="00671A92"/>
    <w:rsid w:val="00671C62"/>
    <w:rsid w:val="00671EAB"/>
    <w:rsid w:val="00671EEC"/>
    <w:rsid w:val="006720EE"/>
    <w:rsid w:val="006721FD"/>
    <w:rsid w:val="006726C5"/>
    <w:rsid w:val="006726E1"/>
    <w:rsid w:val="00672748"/>
    <w:rsid w:val="00672D34"/>
    <w:rsid w:val="00672F08"/>
    <w:rsid w:val="00672F3F"/>
    <w:rsid w:val="00673508"/>
    <w:rsid w:val="0067362B"/>
    <w:rsid w:val="00674BCB"/>
    <w:rsid w:val="00674E60"/>
    <w:rsid w:val="00674E6F"/>
    <w:rsid w:val="0067507F"/>
    <w:rsid w:val="006754E8"/>
    <w:rsid w:val="00675D73"/>
    <w:rsid w:val="006762F0"/>
    <w:rsid w:val="00676EE8"/>
    <w:rsid w:val="00677273"/>
    <w:rsid w:val="00677775"/>
    <w:rsid w:val="006779FC"/>
    <w:rsid w:val="00680594"/>
    <w:rsid w:val="006805FA"/>
    <w:rsid w:val="006808B2"/>
    <w:rsid w:val="00680B72"/>
    <w:rsid w:val="00680DEF"/>
    <w:rsid w:val="00681021"/>
    <w:rsid w:val="00681206"/>
    <w:rsid w:val="00681481"/>
    <w:rsid w:val="006815E6"/>
    <w:rsid w:val="00681603"/>
    <w:rsid w:val="00681923"/>
    <w:rsid w:val="00681C2A"/>
    <w:rsid w:val="00682885"/>
    <w:rsid w:val="00682998"/>
    <w:rsid w:val="00682A53"/>
    <w:rsid w:val="00682D89"/>
    <w:rsid w:val="0068338E"/>
    <w:rsid w:val="00683457"/>
    <w:rsid w:val="006834F5"/>
    <w:rsid w:val="0068362D"/>
    <w:rsid w:val="00683AE0"/>
    <w:rsid w:val="00683B70"/>
    <w:rsid w:val="00684490"/>
    <w:rsid w:val="0068458D"/>
    <w:rsid w:val="00684CAE"/>
    <w:rsid w:val="00684F87"/>
    <w:rsid w:val="006853FB"/>
    <w:rsid w:val="00685691"/>
    <w:rsid w:val="00685859"/>
    <w:rsid w:val="00685915"/>
    <w:rsid w:val="00685CAD"/>
    <w:rsid w:val="00685E00"/>
    <w:rsid w:val="0068618A"/>
    <w:rsid w:val="0068638E"/>
    <w:rsid w:val="006863DE"/>
    <w:rsid w:val="006865A0"/>
    <w:rsid w:val="0068687C"/>
    <w:rsid w:val="00686A4C"/>
    <w:rsid w:val="006870AA"/>
    <w:rsid w:val="006871D4"/>
    <w:rsid w:val="00687311"/>
    <w:rsid w:val="006900A9"/>
    <w:rsid w:val="0069013D"/>
    <w:rsid w:val="006901B0"/>
    <w:rsid w:val="00690FE9"/>
    <w:rsid w:val="0069109C"/>
    <w:rsid w:val="00691571"/>
    <w:rsid w:val="00691933"/>
    <w:rsid w:val="00691AE1"/>
    <w:rsid w:val="00691C8B"/>
    <w:rsid w:val="00691CD3"/>
    <w:rsid w:val="00691D4D"/>
    <w:rsid w:val="0069215A"/>
    <w:rsid w:val="00692703"/>
    <w:rsid w:val="00692A2A"/>
    <w:rsid w:val="00692F78"/>
    <w:rsid w:val="0069324B"/>
    <w:rsid w:val="006932B1"/>
    <w:rsid w:val="006933EA"/>
    <w:rsid w:val="0069389A"/>
    <w:rsid w:val="00693C2D"/>
    <w:rsid w:val="00694252"/>
    <w:rsid w:val="00694487"/>
    <w:rsid w:val="006946F6"/>
    <w:rsid w:val="00694723"/>
    <w:rsid w:val="0069474F"/>
    <w:rsid w:val="00694D51"/>
    <w:rsid w:val="00695127"/>
    <w:rsid w:val="006952E3"/>
    <w:rsid w:val="006953F2"/>
    <w:rsid w:val="006956F4"/>
    <w:rsid w:val="0069575F"/>
    <w:rsid w:val="00695E00"/>
    <w:rsid w:val="0069634D"/>
    <w:rsid w:val="00696A74"/>
    <w:rsid w:val="00696A91"/>
    <w:rsid w:val="00696E2A"/>
    <w:rsid w:val="00696F64"/>
    <w:rsid w:val="006970C5"/>
    <w:rsid w:val="0069760B"/>
    <w:rsid w:val="00697688"/>
    <w:rsid w:val="0069773C"/>
    <w:rsid w:val="006978C4"/>
    <w:rsid w:val="00697B07"/>
    <w:rsid w:val="00697CC9"/>
    <w:rsid w:val="00697FE7"/>
    <w:rsid w:val="006A055C"/>
    <w:rsid w:val="006A074A"/>
    <w:rsid w:val="006A0848"/>
    <w:rsid w:val="006A0E7A"/>
    <w:rsid w:val="006A0F5B"/>
    <w:rsid w:val="006A0F9F"/>
    <w:rsid w:val="006A152D"/>
    <w:rsid w:val="006A171A"/>
    <w:rsid w:val="006A1752"/>
    <w:rsid w:val="006A1824"/>
    <w:rsid w:val="006A22B5"/>
    <w:rsid w:val="006A273E"/>
    <w:rsid w:val="006A2821"/>
    <w:rsid w:val="006A2F4A"/>
    <w:rsid w:val="006A2F84"/>
    <w:rsid w:val="006A310D"/>
    <w:rsid w:val="006A3196"/>
    <w:rsid w:val="006A364F"/>
    <w:rsid w:val="006A3828"/>
    <w:rsid w:val="006A394D"/>
    <w:rsid w:val="006A3E23"/>
    <w:rsid w:val="006A4250"/>
    <w:rsid w:val="006A4368"/>
    <w:rsid w:val="006A448D"/>
    <w:rsid w:val="006A4544"/>
    <w:rsid w:val="006A457E"/>
    <w:rsid w:val="006A4758"/>
    <w:rsid w:val="006A4B71"/>
    <w:rsid w:val="006A4C9C"/>
    <w:rsid w:val="006A4D66"/>
    <w:rsid w:val="006A4EA0"/>
    <w:rsid w:val="006A4ED0"/>
    <w:rsid w:val="006A5027"/>
    <w:rsid w:val="006A51AA"/>
    <w:rsid w:val="006A5530"/>
    <w:rsid w:val="006A5602"/>
    <w:rsid w:val="006A5757"/>
    <w:rsid w:val="006A5854"/>
    <w:rsid w:val="006A695F"/>
    <w:rsid w:val="006A6F9F"/>
    <w:rsid w:val="006A7366"/>
    <w:rsid w:val="006A7442"/>
    <w:rsid w:val="006A76E9"/>
    <w:rsid w:val="006A77DE"/>
    <w:rsid w:val="006A7B3B"/>
    <w:rsid w:val="006A7C5B"/>
    <w:rsid w:val="006A7CE7"/>
    <w:rsid w:val="006A7E3E"/>
    <w:rsid w:val="006A7EFA"/>
    <w:rsid w:val="006B000A"/>
    <w:rsid w:val="006B010D"/>
    <w:rsid w:val="006B09E3"/>
    <w:rsid w:val="006B0C4C"/>
    <w:rsid w:val="006B0D77"/>
    <w:rsid w:val="006B1323"/>
    <w:rsid w:val="006B15B5"/>
    <w:rsid w:val="006B16CC"/>
    <w:rsid w:val="006B1993"/>
    <w:rsid w:val="006B1AE6"/>
    <w:rsid w:val="006B1B09"/>
    <w:rsid w:val="006B1CB4"/>
    <w:rsid w:val="006B1F22"/>
    <w:rsid w:val="006B203B"/>
    <w:rsid w:val="006B21CC"/>
    <w:rsid w:val="006B2464"/>
    <w:rsid w:val="006B2A4E"/>
    <w:rsid w:val="006B2DB5"/>
    <w:rsid w:val="006B2DD8"/>
    <w:rsid w:val="006B2EF1"/>
    <w:rsid w:val="006B36FA"/>
    <w:rsid w:val="006B3814"/>
    <w:rsid w:val="006B39D4"/>
    <w:rsid w:val="006B4142"/>
    <w:rsid w:val="006B4159"/>
    <w:rsid w:val="006B45D6"/>
    <w:rsid w:val="006B46BC"/>
    <w:rsid w:val="006B49FE"/>
    <w:rsid w:val="006B4B38"/>
    <w:rsid w:val="006B5107"/>
    <w:rsid w:val="006B5262"/>
    <w:rsid w:val="006B5425"/>
    <w:rsid w:val="006B555F"/>
    <w:rsid w:val="006B5637"/>
    <w:rsid w:val="006B5B04"/>
    <w:rsid w:val="006B5B18"/>
    <w:rsid w:val="006B5BF4"/>
    <w:rsid w:val="006B605A"/>
    <w:rsid w:val="006B65E8"/>
    <w:rsid w:val="006B6848"/>
    <w:rsid w:val="006B6A9C"/>
    <w:rsid w:val="006B712C"/>
    <w:rsid w:val="006B745F"/>
    <w:rsid w:val="006B75E3"/>
    <w:rsid w:val="006B7738"/>
    <w:rsid w:val="006B7979"/>
    <w:rsid w:val="006B7B9E"/>
    <w:rsid w:val="006C0226"/>
    <w:rsid w:val="006C0907"/>
    <w:rsid w:val="006C0AC3"/>
    <w:rsid w:val="006C1A3B"/>
    <w:rsid w:val="006C1A7A"/>
    <w:rsid w:val="006C1A7C"/>
    <w:rsid w:val="006C2039"/>
    <w:rsid w:val="006C21C9"/>
    <w:rsid w:val="006C2300"/>
    <w:rsid w:val="006C245F"/>
    <w:rsid w:val="006C32EA"/>
    <w:rsid w:val="006C33AD"/>
    <w:rsid w:val="006C353A"/>
    <w:rsid w:val="006C37F3"/>
    <w:rsid w:val="006C4281"/>
    <w:rsid w:val="006C437F"/>
    <w:rsid w:val="006C4746"/>
    <w:rsid w:val="006C47D7"/>
    <w:rsid w:val="006C49B1"/>
    <w:rsid w:val="006C4A35"/>
    <w:rsid w:val="006C4E8F"/>
    <w:rsid w:val="006C4F3D"/>
    <w:rsid w:val="006C514A"/>
    <w:rsid w:val="006C5457"/>
    <w:rsid w:val="006C5C65"/>
    <w:rsid w:val="006C6A6B"/>
    <w:rsid w:val="006C6B76"/>
    <w:rsid w:val="006C6CA5"/>
    <w:rsid w:val="006C6CAE"/>
    <w:rsid w:val="006C7013"/>
    <w:rsid w:val="006C7027"/>
    <w:rsid w:val="006C7226"/>
    <w:rsid w:val="006C7402"/>
    <w:rsid w:val="006C750F"/>
    <w:rsid w:val="006C759B"/>
    <w:rsid w:val="006C786A"/>
    <w:rsid w:val="006C7BC0"/>
    <w:rsid w:val="006D028C"/>
    <w:rsid w:val="006D0655"/>
    <w:rsid w:val="006D0799"/>
    <w:rsid w:val="006D08FA"/>
    <w:rsid w:val="006D0BE0"/>
    <w:rsid w:val="006D1477"/>
    <w:rsid w:val="006D14CC"/>
    <w:rsid w:val="006D15BF"/>
    <w:rsid w:val="006D16AC"/>
    <w:rsid w:val="006D16D3"/>
    <w:rsid w:val="006D19AD"/>
    <w:rsid w:val="006D1B90"/>
    <w:rsid w:val="006D1BA9"/>
    <w:rsid w:val="006D1DA2"/>
    <w:rsid w:val="006D28A4"/>
    <w:rsid w:val="006D2AB2"/>
    <w:rsid w:val="006D2AB9"/>
    <w:rsid w:val="006D2B4D"/>
    <w:rsid w:val="006D2BA7"/>
    <w:rsid w:val="006D3020"/>
    <w:rsid w:val="006D3040"/>
    <w:rsid w:val="006D334E"/>
    <w:rsid w:val="006D3362"/>
    <w:rsid w:val="006D33C2"/>
    <w:rsid w:val="006D3443"/>
    <w:rsid w:val="006D3539"/>
    <w:rsid w:val="006D3706"/>
    <w:rsid w:val="006D3708"/>
    <w:rsid w:val="006D3985"/>
    <w:rsid w:val="006D39B0"/>
    <w:rsid w:val="006D39BC"/>
    <w:rsid w:val="006D39E3"/>
    <w:rsid w:val="006D3B26"/>
    <w:rsid w:val="006D3B2A"/>
    <w:rsid w:val="006D3DB0"/>
    <w:rsid w:val="006D3E6A"/>
    <w:rsid w:val="006D3ED8"/>
    <w:rsid w:val="006D403B"/>
    <w:rsid w:val="006D4B57"/>
    <w:rsid w:val="006D4C81"/>
    <w:rsid w:val="006D4E6E"/>
    <w:rsid w:val="006D5201"/>
    <w:rsid w:val="006D5411"/>
    <w:rsid w:val="006D54FA"/>
    <w:rsid w:val="006D57FE"/>
    <w:rsid w:val="006D5B56"/>
    <w:rsid w:val="006D5C15"/>
    <w:rsid w:val="006D67BD"/>
    <w:rsid w:val="006D6D67"/>
    <w:rsid w:val="006D6DE1"/>
    <w:rsid w:val="006D6F02"/>
    <w:rsid w:val="006D6FEE"/>
    <w:rsid w:val="006D7055"/>
    <w:rsid w:val="006D72BD"/>
    <w:rsid w:val="006D7500"/>
    <w:rsid w:val="006D7637"/>
    <w:rsid w:val="006D7710"/>
    <w:rsid w:val="006D7EFC"/>
    <w:rsid w:val="006D7FB7"/>
    <w:rsid w:val="006E0167"/>
    <w:rsid w:val="006E01B1"/>
    <w:rsid w:val="006E02A0"/>
    <w:rsid w:val="006E05EC"/>
    <w:rsid w:val="006E05FD"/>
    <w:rsid w:val="006E082B"/>
    <w:rsid w:val="006E09EB"/>
    <w:rsid w:val="006E0A87"/>
    <w:rsid w:val="006E0CB9"/>
    <w:rsid w:val="006E1368"/>
    <w:rsid w:val="006E13C0"/>
    <w:rsid w:val="006E13D1"/>
    <w:rsid w:val="006E14FD"/>
    <w:rsid w:val="006E1736"/>
    <w:rsid w:val="006E1E53"/>
    <w:rsid w:val="006E25D4"/>
    <w:rsid w:val="006E28A0"/>
    <w:rsid w:val="006E2974"/>
    <w:rsid w:val="006E2AAA"/>
    <w:rsid w:val="006E2C6C"/>
    <w:rsid w:val="006E2FD0"/>
    <w:rsid w:val="006E3014"/>
    <w:rsid w:val="006E3366"/>
    <w:rsid w:val="006E35A5"/>
    <w:rsid w:val="006E3708"/>
    <w:rsid w:val="006E3829"/>
    <w:rsid w:val="006E3A66"/>
    <w:rsid w:val="006E3AC1"/>
    <w:rsid w:val="006E3B5C"/>
    <w:rsid w:val="006E3D85"/>
    <w:rsid w:val="006E40E0"/>
    <w:rsid w:val="006E4183"/>
    <w:rsid w:val="006E418E"/>
    <w:rsid w:val="006E487A"/>
    <w:rsid w:val="006E491D"/>
    <w:rsid w:val="006E4AB1"/>
    <w:rsid w:val="006E4ADB"/>
    <w:rsid w:val="006E4FC9"/>
    <w:rsid w:val="006E5D5B"/>
    <w:rsid w:val="006E60DF"/>
    <w:rsid w:val="006E6248"/>
    <w:rsid w:val="006E6531"/>
    <w:rsid w:val="006E668D"/>
    <w:rsid w:val="006E6805"/>
    <w:rsid w:val="006E688F"/>
    <w:rsid w:val="006E69C1"/>
    <w:rsid w:val="006E6FD4"/>
    <w:rsid w:val="006E7036"/>
    <w:rsid w:val="006E716B"/>
    <w:rsid w:val="006E7C3F"/>
    <w:rsid w:val="006E7F4A"/>
    <w:rsid w:val="006F0216"/>
    <w:rsid w:val="006F11CB"/>
    <w:rsid w:val="006F1234"/>
    <w:rsid w:val="006F125D"/>
    <w:rsid w:val="006F14CD"/>
    <w:rsid w:val="006F15D5"/>
    <w:rsid w:val="006F188E"/>
    <w:rsid w:val="006F1DB5"/>
    <w:rsid w:val="006F226C"/>
    <w:rsid w:val="006F2596"/>
    <w:rsid w:val="006F290D"/>
    <w:rsid w:val="006F2973"/>
    <w:rsid w:val="006F2A86"/>
    <w:rsid w:val="006F2E81"/>
    <w:rsid w:val="006F3203"/>
    <w:rsid w:val="006F322E"/>
    <w:rsid w:val="006F32FE"/>
    <w:rsid w:val="006F351C"/>
    <w:rsid w:val="006F366F"/>
    <w:rsid w:val="006F383D"/>
    <w:rsid w:val="006F3E60"/>
    <w:rsid w:val="006F406C"/>
    <w:rsid w:val="006F413C"/>
    <w:rsid w:val="006F41CD"/>
    <w:rsid w:val="006F42E8"/>
    <w:rsid w:val="006F4758"/>
    <w:rsid w:val="006F4BB0"/>
    <w:rsid w:val="006F4BB1"/>
    <w:rsid w:val="006F4CC0"/>
    <w:rsid w:val="006F4F08"/>
    <w:rsid w:val="006F53BC"/>
    <w:rsid w:val="006F57B5"/>
    <w:rsid w:val="006F5952"/>
    <w:rsid w:val="006F5BDE"/>
    <w:rsid w:val="006F5E5B"/>
    <w:rsid w:val="006F5E9C"/>
    <w:rsid w:val="006F6168"/>
    <w:rsid w:val="006F625A"/>
    <w:rsid w:val="006F68E3"/>
    <w:rsid w:val="006F69DA"/>
    <w:rsid w:val="006F69FC"/>
    <w:rsid w:val="006F6C5D"/>
    <w:rsid w:val="006F6F83"/>
    <w:rsid w:val="006F6FC9"/>
    <w:rsid w:val="006F73B4"/>
    <w:rsid w:val="006F7401"/>
    <w:rsid w:val="006F74BC"/>
    <w:rsid w:val="006F7B4C"/>
    <w:rsid w:val="006F7BCC"/>
    <w:rsid w:val="006F7C54"/>
    <w:rsid w:val="006F7C94"/>
    <w:rsid w:val="007000DD"/>
    <w:rsid w:val="00700237"/>
    <w:rsid w:val="00700809"/>
    <w:rsid w:val="00700826"/>
    <w:rsid w:val="00700BE5"/>
    <w:rsid w:val="00700C85"/>
    <w:rsid w:val="00701360"/>
    <w:rsid w:val="007017EB"/>
    <w:rsid w:val="00701A16"/>
    <w:rsid w:val="00701C47"/>
    <w:rsid w:val="00701CC8"/>
    <w:rsid w:val="00701F75"/>
    <w:rsid w:val="0070213E"/>
    <w:rsid w:val="00702225"/>
    <w:rsid w:val="0070228C"/>
    <w:rsid w:val="0070247B"/>
    <w:rsid w:val="0070252A"/>
    <w:rsid w:val="00702627"/>
    <w:rsid w:val="007028BE"/>
    <w:rsid w:val="00702994"/>
    <w:rsid w:val="00702D38"/>
    <w:rsid w:val="00702D7F"/>
    <w:rsid w:val="00702E47"/>
    <w:rsid w:val="00703031"/>
    <w:rsid w:val="007033D0"/>
    <w:rsid w:val="0070355F"/>
    <w:rsid w:val="007035BF"/>
    <w:rsid w:val="00703690"/>
    <w:rsid w:val="00703DC8"/>
    <w:rsid w:val="007042E6"/>
    <w:rsid w:val="00704524"/>
    <w:rsid w:val="0070517B"/>
    <w:rsid w:val="0070536B"/>
    <w:rsid w:val="00705628"/>
    <w:rsid w:val="00705BBA"/>
    <w:rsid w:val="00705D1F"/>
    <w:rsid w:val="00705E36"/>
    <w:rsid w:val="00705E6F"/>
    <w:rsid w:val="007061C4"/>
    <w:rsid w:val="00706235"/>
    <w:rsid w:val="00706C52"/>
    <w:rsid w:val="00707185"/>
    <w:rsid w:val="007075EC"/>
    <w:rsid w:val="007100DB"/>
    <w:rsid w:val="007101B3"/>
    <w:rsid w:val="00710841"/>
    <w:rsid w:val="0071088B"/>
    <w:rsid w:val="00710902"/>
    <w:rsid w:val="00710B00"/>
    <w:rsid w:val="00710C08"/>
    <w:rsid w:val="00710C74"/>
    <w:rsid w:val="00710E7D"/>
    <w:rsid w:val="00711142"/>
    <w:rsid w:val="007111A2"/>
    <w:rsid w:val="007112B4"/>
    <w:rsid w:val="00711489"/>
    <w:rsid w:val="0071159D"/>
    <w:rsid w:val="007115D2"/>
    <w:rsid w:val="007118AB"/>
    <w:rsid w:val="00711938"/>
    <w:rsid w:val="00711DFF"/>
    <w:rsid w:val="00711E14"/>
    <w:rsid w:val="00711FA9"/>
    <w:rsid w:val="00712023"/>
    <w:rsid w:val="007121C2"/>
    <w:rsid w:val="007124A8"/>
    <w:rsid w:val="00712633"/>
    <w:rsid w:val="00712CC7"/>
    <w:rsid w:val="00713F83"/>
    <w:rsid w:val="0071434E"/>
    <w:rsid w:val="00714930"/>
    <w:rsid w:val="00714C26"/>
    <w:rsid w:val="00714CAD"/>
    <w:rsid w:val="00714FE8"/>
    <w:rsid w:val="007151A7"/>
    <w:rsid w:val="007153C8"/>
    <w:rsid w:val="00715458"/>
    <w:rsid w:val="00715558"/>
    <w:rsid w:val="0071595A"/>
    <w:rsid w:val="00715B71"/>
    <w:rsid w:val="00715BAE"/>
    <w:rsid w:val="00715D73"/>
    <w:rsid w:val="00715DB3"/>
    <w:rsid w:val="00716302"/>
    <w:rsid w:val="007164CC"/>
    <w:rsid w:val="00716C06"/>
    <w:rsid w:val="007170F2"/>
    <w:rsid w:val="00717452"/>
    <w:rsid w:val="0071745A"/>
    <w:rsid w:val="00717540"/>
    <w:rsid w:val="007175FF"/>
    <w:rsid w:val="0072014F"/>
    <w:rsid w:val="007202A7"/>
    <w:rsid w:val="0072043D"/>
    <w:rsid w:val="00720ADE"/>
    <w:rsid w:val="0072132D"/>
    <w:rsid w:val="0072189B"/>
    <w:rsid w:val="007219CF"/>
    <w:rsid w:val="00721D9F"/>
    <w:rsid w:val="00721F29"/>
    <w:rsid w:val="00721F4E"/>
    <w:rsid w:val="007220CD"/>
    <w:rsid w:val="007222FE"/>
    <w:rsid w:val="007227E1"/>
    <w:rsid w:val="00722BC4"/>
    <w:rsid w:val="00722F22"/>
    <w:rsid w:val="007230EC"/>
    <w:rsid w:val="007233E1"/>
    <w:rsid w:val="00723E51"/>
    <w:rsid w:val="00724754"/>
    <w:rsid w:val="007247E0"/>
    <w:rsid w:val="00724DEC"/>
    <w:rsid w:val="00724E18"/>
    <w:rsid w:val="00724E4C"/>
    <w:rsid w:val="00725034"/>
    <w:rsid w:val="0072513D"/>
    <w:rsid w:val="00725765"/>
    <w:rsid w:val="0072587A"/>
    <w:rsid w:val="00726027"/>
    <w:rsid w:val="0072607D"/>
    <w:rsid w:val="0072622A"/>
    <w:rsid w:val="00726263"/>
    <w:rsid w:val="007268E1"/>
    <w:rsid w:val="007269AE"/>
    <w:rsid w:val="00726B22"/>
    <w:rsid w:val="00726BC2"/>
    <w:rsid w:val="00726CE7"/>
    <w:rsid w:val="00726DDA"/>
    <w:rsid w:val="00726F49"/>
    <w:rsid w:val="007270BC"/>
    <w:rsid w:val="007274D5"/>
    <w:rsid w:val="00727950"/>
    <w:rsid w:val="00727A3C"/>
    <w:rsid w:val="00727E21"/>
    <w:rsid w:val="00727F3A"/>
    <w:rsid w:val="00727FEC"/>
    <w:rsid w:val="0073031F"/>
    <w:rsid w:val="00730DBF"/>
    <w:rsid w:val="00730DE4"/>
    <w:rsid w:val="00730F34"/>
    <w:rsid w:val="00731297"/>
    <w:rsid w:val="00731319"/>
    <w:rsid w:val="007314F0"/>
    <w:rsid w:val="00731D02"/>
    <w:rsid w:val="00731D6F"/>
    <w:rsid w:val="00732155"/>
    <w:rsid w:val="00732365"/>
    <w:rsid w:val="00732799"/>
    <w:rsid w:val="007328EA"/>
    <w:rsid w:val="00732A3C"/>
    <w:rsid w:val="00732A7B"/>
    <w:rsid w:val="00732AEA"/>
    <w:rsid w:val="00732D08"/>
    <w:rsid w:val="007330ED"/>
    <w:rsid w:val="007332C1"/>
    <w:rsid w:val="00733950"/>
    <w:rsid w:val="00733FA8"/>
    <w:rsid w:val="00734220"/>
    <w:rsid w:val="0073488A"/>
    <w:rsid w:val="007348E1"/>
    <w:rsid w:val="00734F0E"/>
    <w:rsid w:val="00734F70"/>
    <w:rsid w:val="007351BB"/>
    <w:rsid w:val="0073521B"/>
    <w:rsid w:val="007352E8"/>
    <w:rsid w:val="00735399"/>
    <w:rsid w:val="0073550A"/>
    <w:rsid w:val="00735570"/>
    <w:rsid w:val="00735A45"/>
    <w:rsid w:val="00735D98"/>
    <w:rsid w:val="00735ED0"/>
    <w:rsid w:val="00736064"/>
    <w:rsid w:val="00736207"/>
    <w:rsid w:val="00736305"/>
    <w:rsid w:val="00736378"/>
    <w:rsid w:val="007366C3"/>
    <w:rsid w:val="007366FB"/>
    <w:rsid w:val="00736BBD"/>
    <w:rsid w:val="00736EF4"/>
    <w:rsid w:val="00736F19"/>
    <w:rsid w:val="00736FD3"/>
    <w:rsid w:val="007371F9"/>
    <w:rsid w:val="0073723E"/>
    <w:rsid w:val="007372E3"/>
    <w:rsid w:val="007376BB"/>
    <w:rsid w:val="007377D1"/>
    <w:rsid w:val="007378A5"/>
    <w:rsid w:val="0073791B"/>
    <w:rsid w:val="00737941"/>
    <w:rsid w:val="00737AD9"/>
    <w:rsid w:val="00737C02"/>
    <w:rsid w:val="00737C8C"/>
    <w:rsid w:val="007400B1"/>
    <w:rsid w:val="00740109"/>
    <w:rsid w:val="00740307"/>
    <w:rsid w:val="007407FB"/>
    <w:rsid w:val="00740882"/>
    <w:rsid w:val="007408BB"/>
    <w:rsid w:val="00740B7B"/>
    <w:rsid w:val="00740BDF"/>
    <w:rsid w:val="00740D51"/>
    <w:rsid w:val="00740DD1"/>
    <w:rsid w:val="00740F4C"/>
    <w:rsid w:val="0074119B"/>
    <w:rsid w:val="00741652"/>
    <w:rsid w:val="00741795"/>
    <w:rsid w:val="00741DE2"/>
    <w:rsid w:val="00741F33"/>
    <w:rsid w:val="00742550"/>
    <w:rsid w:val="00742611"/>
    <w:rsid w:val="007429CB"/>
    <w:rsid w:val="00742A83"/>
    <w:rsid w:val="007430B7"/>
    <w:rsid w:val="0074344C"/>
    <w:rsid w:val="007439AE"/>
    <w:rsid w:val="007439FD"/>
    <w:rsid w:val="00743C15"/>
    <w:rsid w:val="00743D51"/>
    <w:rsid w:val="00743D82"/>
    <w:rsid w:val="00743E4B"/>
    <w:rsid w:val="0074414D"/>
    <w:rsid w:val="007441AF"/>
    <w:rsid w:val="007441DF"/>
    <w:rsid w:val="007442FF"/>
    <w:rsid w:val="007444FA"/>
    <w:rsid w:val="00744A4D"/>
    <w:rsid w:val="00744AB0"/>
    <w:rsid w:val="00744B3D"/>
    <w:rsid w:val="00744D1A"/>
    <w:rsid w:val="00744DAC"/>
    <w:rsid w:val="007452C9"/>
    <w:rsid w:val="0074539F"/>
    <w:rsid w:val="00745CDA"/>
    <w:rsid w:val="00745D0E"/>
    <w:rsid w:val="00745DBD"/>
    <w:rsid w:val="00745F28"/>
    <w:rsid w:val="00745F48"/>
    <w:rsid w:val="00745F76"/>
    <w:rsid w:val="0074617B"/>
    <w:rsid w:val="00746395"/>
    <w:rsid w:val="00746421"/>
    <w:rsid w:val="0074642A"/>
    <w:rsid w:val="00746454"/>
    <w:rsid w:val="007465AE"/>
    <w:rsid w:val="00746B98"/>
    <w:rsid w:val="00746BFD"/>
    <w:rsid w:val="00746C5F"/>
    <w:rsid w:val="00746D69"/>
    <w:rsid w:val="00746DA9"/>
    <w:rsid w:val="00746F11"/>
    <w:rsid w:val="00746FA0"/>
    <w:rsid w:val="007471EB"/>
    <w:rsid w:val="007471F3"/>
    <w:rsid w:val="007474C6"/>
    <w:rsid w:val="00747726"/>
    <w:rsid w:val="00747B7B"/>
    <w:rsid w:val="00747F57"/>
    <w:rsid w:val="00750196"/>
    <w:rsid w:val="0075023D"/>
    <w:rsid w:val="00750302"/>
    <w:rsid w:val="00750317"/>
    <w:rsid w:val="00750444"/>
    <w:rsid w:val="007507A4"/>
    <w:rsid w:val="00750AF7"/>
    <w:rsid w:val="00750DAA"/>
    <w:rsid w:val="00750F73"/>
    <w:rsid w:val="00751413"/>
    <w:rsid w:val="00751A48"/>
    <w:rsid w:val="007521AC"/>
    <w:rsid w:val="007523F9"/>
    <w:rsid w:val="00752775"/>
    <w:rsid w:val="007527E8"/>
    <w:rsid w:val="00752883"/>
    <w:rsid w:val="007528A4"/>
    <w:rsid w:val="00752996"/>
    <w:rsid w:val="007529AC"/>
    <w:rsid w:val="00752DFE"/>
    <w:rsid w:val="00752F1A"/>
    <w:rsid w:val="007539AA"/>
    <w:rsid w:val="007539F2"/>
    <w:rsid w:val="00753C20"/>
    <w:rsid w:val="007541B1"/>
    <w:rsid w:val="0075463A"/>
    <w:rsid w:val="00754D49"/>
    <w:rsid w:val="00754FCF"/>
    <w:rsid w:val="00755271"/>
    <w:rsid w:val="007558A2"/>
    <w:rsid w:val="0075592C"/>
    <w:rsid w:val="007559A1"/>
    <w:rsid w:val="00755DE5"/>
    <w:rsid w:val="00756234"/>
    <w:rsid w:val="0075656F"/>
    <w:rsid w:val="007565DD"/>
    <w:rsid w:val="007565F3"/>
    <w:rsid w:val="00756711"/>
    <w:rsid w:val="00756CBF"/>
    <w:rsid w:val="007575F9"/>
    <w:rsid w:val="00757738"/>
    <w:rsid w:val="0075783B"/>
    <w:rsid w:val="00757E56"/>
    <w:rsid w:val="00760065"/>
    <w:rsid w:val="00760139"/>
    <w:rsid w:val="00760E46"/>
    <w:rsid w:val="00760F63"/>
    <w:rsid w:val="007610FF"/>
    <w:rsid w:val="0076126E"/>
    <w:rsid w:val="00761DBB"/>
    <w:rsid w:val="00762250"/>
    <w:rsid w:val="007623E4"/>
    <w:rsid w:val="0076241A"/>
    <w:rsid w:val="00762454"/>
    <w:rsid w:val="007624AD"/>
    <w:rsid w:val="00762B71"/>
    <w:rsid w:val="00762D71"/>
    <w:rsid w:val="00762E33"/>
    <w:rsid w:val="00763D7D"/>
    <w:rsid w:val="007646EB"/>
    <w:rsid w:val="00764874"/>
    <w:rsid w:val="00764ED5"/>
    <w:rsid w:val="00764F76"/>
    <w:rsid w:val="00764FAF"/>
    <w:rsid w:val="00765135"/>
    <w:rsid w:val="00765271"/>
    <w:rsid w:val="007652D3"/>
    <w:rsid w:val="00765770"/>
    <w:rsid w:val="007657E4"/>
    <w:rsid w:val="00765D97"/>
    <w:rsid w:val="0076609C"/>
    <w:rsid w:val="007660D0"/>
    <w:rsid w:val="0076611E"/>
    <w:rsid w:val="007666F0"/>
    <w:rsid w:val="00766920"/>
    <w:rsid w:val="00766B31"/>
    <w:rsid w:val="00766ED6"/>
    <w:rsid w:val="0076704C"/>
    <w:rsid w:val="007672D1"/>
    <w:rsid w:val="0076775D"/>
    <w:rsid w:val="007677CF"/>
    <w:rsid w:val="0076782E"/>
    <w:rsid w:val="00767830"/>
    <w:rsid w:val="00767B57"/>
    <w:rsid w:val="00767BAF"/>
    <w:rsid w:val="00767D34"/>
    <w:rsid w:val="00767F46"/>
    <w:rsid w:val="00767FB0"/>
    <w:rsid w:val="00770009"/>
    <w:rsid w:val="0077006B"/>
    <w:rsid w:val="00770679"/>
    <w:rsid w:val="007707EE"/>
    <w:rsid w:val="0077091D"/>
    <w:rsid w:val="00770958"/>
    <w:rsid w:val="00770DFE"/>
    <w:rsid w:val="0077108F"/>
    <w:rsid w:val="007713E9"/>
    <w:rsid w:val="007714F6"/>
    <w:rsid w:val="00771725"/>
    <w:rsid w:val="00771775"/>
    <w:rsid w:val="00771787"/>
    <w:rsid w:val="00771A73"/>
    <w:rsid w:val="00771D95"/>
    <w:rsid w:val="00772081"/>
    <w:rsid w:val="0077228C"/>
    <w:rsid w:val="0077247C"/>
    <w:rsid w:val="00772681"/>
    <w:rsid w:val="00772868"/>
    <w:rsid w:val="00772A35"/>
    <w:rsid w:val="00772C85"/>
    <w:rsid w:val="00772DB7"/>
    <w:rsid w:val="0077318D"/>
    <w:rsid w:val="00773201"/>
    <w:rsid w:val="007732E5"/>
    <w:rsid w:val="00773404"/>
    <w:rsid w:val="00773426"/>
    <w:rsid w:val="0077348E"/>
    <w:rsid w:val="007736B7"/>
    <w:rsid w:val="00773738"/>
    <w:rsid w:val="007737D5"/>
    <w:rsid w:val="00773C0A"/>
    <w:rsid w:val="00773DE7"/>
    <w:rsid w:val="00773F67"/>
    <w:rsid w:val="0077456C"/>
    <w:rsid w:val="007746A8"/>
    <w:rsid w:val="007746B0"/>
    <w:rsid w:val="00774751"/>
    <w:rsid w:val="00774C32"/>
    <w:rsid w:val="007754B2"/>
    <w:rsid w:val="00775506"/>
    <w:rsid w:val="00775A3A"/>
    <w:rsid w:val="00775B55"/>
    <w:rsid w:val="00775CD3"/>
    <w:rsid w:val="00775E3F"/>
    <w:rsid w:val="00775E50"/>
    <w:rsid w:val="00775F6E"/>
    <w:rsid w:val="00776284"/>
    <w:rsid w:val="00776335"/>
    <w:rsid w:val="0077639A"/>
    <w:rsid w:val="007765E1"/>
    <w:rsid w:val="00776801"/>
    <w:rsid w:val="00776DAA"/>
    <w:rsid w:val="007771A4"/>
    <w:rsid w:val="00777436"/>
    <w:rsid w:val="00777C16"/>
    <w:rsid w:val="00777F9F"/>
    <w:rsid w:val="00780101"/>
    <w:rsid w:val="00780232"/>
    <w:rsid w:val="007804AF"/>
    <w:rsid w:val="00780759"/>
    <w:rsid w:val="007808F4"/>
    <w:rsid w:val="007809B8"/>
    <w:rsid w:val="00781357"/>
    <w:rsid w:val="00781C30"/>
    <w:rsid w:val="007820A6"/>
    <w:rsid w:val="007823C4"/>
    <w:rsid w:val="007825B0"/>
    <w:rsid w:val="0078291C"/>
    <w:rsid w:val="00782E1A"/>
    <w:rsid w:val="00783730"/>
    <w:rsid w:val="00784739"/>
    <w:rsid w:val="007848DD"/>
    <w:rsid w:val="00784BE7"/>
    <w:rsid w:val="00784E29"/>
    <w:rsid w:val="00785855"/>
    <w:rsid w:val="00785C2F"/>
    <w:rsid w:val="00785C8E"/>
    <w:rsid w:val="00785F3B"/>
    <w:rsid w:val="0078668D"/>
    <w:rsid w:val="0078694E"/>
    <w:rsid w:val="0078722C"/>
    <w:rsid w:val="00787319"/>
    <w:rsid w:val="00787D43"/>
    <w:rsid w:val="0079029D"/>
    <w:rsid w:val="0079047A"/>
    <w:rsid w:val="007908F0"/>
    <w:rsid w:val="00790ABC"/>
    <w:rsid w:val="00791004"/>
    <w:rsid w:val="0079141A"/>
    <w:rsid w:val="0079146D"/>
    <w:rsid w:val="00791616"/>
    <w:rsid w:val="00791710"/>
    <w:rsid w:val="007918DA"/>
    <w:rsid w:val="00791DE3"/>
    <w:rsid w:val="0079233E"/>
    <w:rsid w:val="007923A5"/>
    <w:rsid w:val="007928AA"/>
    <w:rsid w:val="0079292B"/>
    <w:rsid w:val="00792D28"/>
    <w:rsid w:val="00792E28"/>
    <w:rsid w:val="00792F23"/>
    <w:rsid w:val="007933FF"/>
    <w:rsid w:val="00793509"/>
    <w:rsid w:val="0079368F"/>
    <w:rsid w:val="00793997"/>
    <w:rsid w:val="00793CC7"/>
    <w:rsid w:val="00793E65"/>
    <w:rsid w:val="00793EDE"/>
    <w:rsid w:val="0079400F"/>
    <w:rsid w:val="007946C1"/>
    <w:rsid w:val="00794929"/>
    <w:rsid w:val="00794AF3"/>
    <w:rsid w:val="00795383"/>
    <w:rsid w:val="0079567F"/>
    <w:rsid w:val="00795707"/>
    <w:rsid w:val="00795B74"/>
    <w:rsid w:val="007963E9"/>
    <w:rsid w:val="0079697E"/>
    <w:rsid w:val="00797235"/>
    <w:rsid w:val="007973E0"/>
    <w:rsid w:val="0079788F"/>
    <w:rsid w:val="007979F9"/>
    <w:rsid w:val="00797E55"/>
    <w:rsid w:val="007A02B4"/>
    <w:rsid w:val="007A0762"/>
    <w:rsid w:val="007A0A03"/>
    <w:rsid w:val="007A0E56"/>
    <w:rsid w:val="007A134B"/>
    <w:rsid w:val="007A139A"/>
    <w:rsid w:val="007A1795"/>
    <w:rsid w:val="007A1C41"/>
    <w:rsid w:val="007A1DAD"/>
    <w:rsid w:val="007A2036"/>
    <w:rsid w:val="007A20C9"/>
    <w:rsid w:val="007A22E7"/>
    <w:rsid w:val="007A2651"/>
    <w:rsid w:val="007A2776"/>
    <w:rsid w:val="007A2E6E"/>
    <w:rsid w:val="007A3177"/>
    <w:rsid w:val="007A3229"/>
    <w:rsid w:val="007A4A44"/>
    <w:rsid w:val="007A4CAC"/>
    <w:rsid w:val="007A4DDC"/>
    <w:rsid w:val="007A4F64"/>
    <w:rsid w:val="007A4F99"/>
    <w:rsid w:val="007A53A7"/>
    <w:rsid w:val="007A5472"/>
    <w:rsid w:val="007A581F"/>
    <w:rsid w:val="007A59F3"/>
    <w:rsid w:val="007A5A9A"/>
    <w:rsid w:val="007A5D1D"/>
    <w:rsid w:val="007A6238"/>
    <w:rsid w:val="007A63B1"/>
    <w:rsid w:val="007A63E2"/>
    <w:rsid w:val="007A6708"/>
    <w:rsid w:val="007A6B0E"/>
    <w:rsid w:val="007A6CA8"/>
    <w:rsid w:val="007A6D2F"/>
    <w:rsid w:val="007A752B"/>
    <w:rsid w:val="007A78A6"/>
    <w:rsid w:val="007A7B15"/>
    <w:rsid w:val="007A7C91"/>
    <w:rsid w:val="007A7DBE"/>
    <w:rsid w:val="007A7EB0"/>
    <w:rsid w:val="007B03B6"/>
    <w:rsid w:val="007B0537"/>
    <w:rsid w:val="007B07C0"/>
    <w:rsid w:val="007B0A40"/>
    <w:rsid w:val="007B0EBE"/>
    <w:rsid w:val="007B0F9B"/>
    <w:rsid w:val="007B11E4"/>
    <w:rsid w:val="007B1415"/>
    <w:rsid w:val="007B1652"/>
    <w:rsid w:val="007B19AA"/>
    <w:rsid w:val="007B1EB1"/>
    <w:rsid w:val="007B207F"/>
    <w:rsid w:val="007B2538"/>
    <w:rsid w:val="007B2652"/>
    <w:rsid w:val="007B2671"/>
    <w:rsid w:val="007B2797"/>
    <w:rsid w:val="007B2B5F"/>
    <w:rsid w:val="007B2F4B"/>
    <w:rsid w:val="007B30B4"/>
    <w:rsid w:val="007B33BA"/>
    <w:rsid w:val="007B3787"/>
    <w:rsid w:val="007B3941"/>
    <w:rsid w:val="007B3C18"/>
    <w:rsid w:val="007B3DFE"/>
    <w:rsid w:val="007B3F96"/>
    <w:rsid w:val="007B4159"/>
    <w:rsid w:val="007B4583"/>
    <w:rsid w:val="007B4B80"/>
    <w:rsid w:val="007B4D6D"/>
    <w:rsid w:val="007B4DBA"/>
    <w:rsid w:val="007B4E45"/>
    <w:rsid w:val="007B50E9"/>
    <w:rsid w:val="007B5158"/>
    <w:rsid w:val="007B515A"/>
    <w:rsid w:val="007B516A"/>
    <w:rsid w:val="007B524D"/>
    <w:rsid w:val="007B53B6"/>
    <w:rsid w:val="007B5684"/>
    <w:rsid w:val="007B57FE"/>
    <w:rsid w:val="007B5827"/>
    <w:rsid w:val="007B5975"/>
    <w:rsid w:val="007B5D40"/>
    <w:rsid w:val="007B6173"/>
    <w:rsid w:val="007B6355"/>
    <w:rsid w:val="007B6740"/>
    <w:rsid w:val="007B67EC"/>
    <w:rsid w:val="007B7057"/>
    <w:rsid w:val="007B7267"/>
    <w:rsid w:val="007B75A5"/>
    <w:rsid w:val="007B7E1E"/>
    <w:rsid w:val="007C0058"/>
    <w:rsid w:val="007C0A98"/>
    <w:rsid w:val="007C0AB4"/>
    <w:rsid w:val="007C0C39"/>
    <w:rsid w:val="007C0E1D"/>
    <w:rsid w:val="007C0E2B"/>
    <w:rsid w:val="007C14F6"/>
    <w:rsid w:val="007C15E8"/>
    <w:rsid w:val="007C17A7"/>
    <w:rsid w:val="007C1A6A"/>
    <w:rsid w:val="007C1BFF"/>
    <w:rsid w:val="007C1D10"/>
    <w:rsid w:val="007C1E0D"/>
    <w:rsid w:val="007C222F"/>
    <w:rsid w:val="007C243C"/>
    <w:rsid w:val="007C2696"/>
    <w:rsid w:val="007C2739"/>
    <w:rsid w:val="007C280E"/>
    <w:rsid w:val="007C2891"/>
    <w:rsid w:val="007C2A62"/>
    <w:rsid w:val="007C2C1F"/>
    <w:rsid w:val="007C2C4E"/>
    <w:rsid w:val="007C325F"/>
    <w:rsid w:val="007C3B60"/>
    <w:rsid w:val="007C400C"/>
    <w:rsid w:val="007C42E6"/>
    <w:rsid w:val="007C468D"/>
    <w:rsid w:val="007C4817"/>
    <w:rsid w:val="007C4CFA"/>
    <w:rsid w:val="007C4FAC"/>
    <w:rsid w:val="007C50B9"/>
    <w:rsid w:val="007C50D2"/>
    <w:rsid w:val="007C5277"/>
    <w:rsid w:val="007C535F"/>
    <w:rsid w:val="007C5479"/>
    <w:rsid w:val="007C578E"/>
    <w:rsid w:val="007C5898"/>
    <w:rsid w:val="007C6540"/>
    <w:rsid w:val="007C654E"/>
    <w:rsid w:val="007C6716"/>
    <w:rsid w:val="007C6A50"/>
    <w:rsid w:val="007C6BBF"/>
    <w:rsid w:val="007C702F"/>
    <w:rsid w:val="007C7310"/>
    <w:rsid w:val="007C73D8"/>
    <w:rsid w:val="007C76A0"/>
    <w:rsid w:val="007C7E09"/>
    <w:rsid w:val="007C7F4E"/>
    <w:rsid w:val="007D0213"/>
    <w:rsid w:val="007D0272"/>
    <w:rsid w:val="007D02C4"/>
    <w:rsid w:val="007D0366"/>
    <w:rsid w:val="007D03E0"/>
    <w:rsid w:val="007D0DE7"/>
    <w:rsid w:val="007D0DF0"/>
    <w:rsid w:val="007D0FDE"/>
    <w:rsid w:val="007D1203"/>
    <w:rsid w:val="007D125B"/>
    <w:rsid w:val="007D1305"/>
    <w:rsid w:val="007D165F"/>
    <w:rsid w:val="007D166B"/>
    <w:rsid w:val="007D16F8"/>
    <w:rsid w:val="007D1720"/>
    <w:rsid w:val="007D1868"/>
    <w:rsid w:val="007D18F1"/>
    <w:rsid w:val="007D1977"/>
    <w:rsid w:val="007D1D11"/>
    <w:rsid w:val="007D1D43"/>
    <w:rsid w:val="007D1D9B"/>
    <w:rsid w:val="007D244A"/>
    <w:rsid w:val="007D24B3"/>
    <w:rsid w:val="007D2674"/>
    <w:rsid w:val="007D2798"/>
    <w:rsid w:val="007D2A14"/>
    <w:rsid w:val="007D2A40"/>
    <w:rsid w:val="007D2E68"/>
    <w:rsid w:val="007D3118"/>
    <w:rsid w:val="007D326D"/>
    <w:rsid w:val="007D3520"/>
    <w:rsid w:val="007D3CD0"/>
    <w:rsid w:val="007D3CE3"/>
    <w:rsid w:val="007D41F5"/>
    <w:rsid w:val="007D451C"/>
    <w:rsid w:val="007D452B"/>
    <w:rsid w:val="007D4641"/>
    <w:rsid w:val="007D49F3"/>
    <w:rsid w:val="007D4AD3"/>
    <w:rsid w:val="007D500B"/>
    <w:rsid w:val="007D529C"/>
    <w:rsid w:val="007D5411"/>
    <w:rsid w:val="007D5420"/>
    <w:rsid w:val="007D548A"/>
    <w:rsid w:val="007D590D"/>
    <w:rsid w:val="007D5CAA"/>
    <w:rsid w:val="007D5FF9"/>
    <w:rsid w:val="007D6213"/>
    <w:rsid w:val="007D633A"/>
    <w:rsid w:val="007D6486"/>
    <w:rsid w:val="007D6643"/>
    <w:rsid w:val="007D6741"/>
    <w:rsid w:val="007D6841"/>
    <w:rsid w:val="007D6847"/>
    <w:rsid w:val="007D6C6E"/>
    <w:rsid w:val="007D6C81"/>
    <w:rsid w:val="007D6DCD"/>
    <w:rsid w:val="007D6E61"/>
    <w:rsid w:val="007D70E0"/>
    <w:rsid w:val="007D73FA"/>
    <w:rsid w:val="007D7954"/>
    <w:rsid w:val="007D7BB7"/>
    <w:rsid w:val="007E0020"/>
    <w:rsid w:val="007E020B"/>
    <w:rsid w:val="007E0732"/>
    <w:rsid w:val="007E0935"/>
    <w:rsid w:val="007E0964"/>
    <w:rsid w:val="007E0B6E"/>
    <w:rsid w:val="007E11CA"/>
    <w:rsid w:val="007E1439"/>
    <w:rsid w:val="007E1727"/>
    <w:rsid w:val="007E18C4"/>
    <w:rsid w:val="007E19D7"/>
    <w:rsid w:val="007E1E1F"/>
    <w:rsid w:val="007E1FAC"/>
    <w:rsid w:val="007E22E5"/>
    <w:rsid w:val="007E28A1"/>
    <w:rsid w:val="007E2EF6"/>
    <w:rsid w:val="007E34BB"/>
    <w:rsid w:val="007E3AD5"/>
    <w:rsid w:val="007E44B2"/>
    <w:rsid w:val="007E46CB"/>
    <w:rsid w:val="007E4ADA"/>
    <w:rsid w:val="007E4BAF"/>
    <w:rsid w:val="007E4CCD"/>
    <w:rsid w:val="007E4E48"/>
    <w:rsid w:val="007E4EC4"/>
    <w:rsid w:val="007E4F3D"/>
    <w:rsid w:val="007E5513"/>
    <w:rsid w:val="007E5518"/>
    <w:rsid w:val="007E55C0"/>
    <w:rsid w:val="007E5744"/>
    <w:rsid w:val="007E57CA"/>
    <w:rsid w:val="007E5CA0"/>
    <w:rsid w:val="007E5D7E"/>
    <w:rsid w:val="007E6335"/>
    <w:rsid w:val="007E66EA"/>
    <w:rsid w:val="007E67BC"/>
    <w:rsid w:val="007E6C6A"/>
    <w:rsid w:val="007E6E0C"/>
    <w:rsid w:val="007E70B4"/>
    <w:rsid w:val="007E71ED"/>
    <w:rsid w:val="007E766F"/>
    <w:rsid w:val="007E7725"/>
    <w:rsid w:val="007E79C1"/>
    <w:rsid w:val="007E7AE6"/>
    <w:rsid w:val="007E7EF4"/>
    <w:rsid w:val="007E7F76"/>
    <w:rsid w:val="007F00DB"/>
    <w:rsid w:val="007F023B"/>
    <w:rsid w:val="007F02A9"/>
    <w:rsid w:val="007F033F"/>
    <w:rsid w:val="007F09E0"/>
    <w:rsid w:val="007F0D1E"/>
    <w:rsid w:val="007F0EEF"/>
    <w:rsid w:val="007F0FE5"/>
    <w:rsid w:val="007F134C"/>
    <w:rsid w:val="007F16A4"/>
    <w:rsid w:val="007F1B72"/>
    <w:rsid w:val="007F1CCC"/>
    <w:rsid w:val="007F1EA7"/>
    <w:rsid w:val="007F220C"/>
    <w:rsid w:val="007F243D"/>
    <w:rsid w:val="007F2969"/>
    <w:rsid w:val="007F2AEC"/>
    <w:rsid w:val="007F2BF9"/>
    <w:rsid w:val="007F317C"/>
    <w:rsid w:val="007F34F1"/>
    <w:rsid w:val="007F3769"/>
    <w:rsid w:val="007F3783"/>
    <w:rsid w:val="007F423A"/>
    <w:rsid w:val="007F43DD"/>
    <w:rsid w:val="007F4712"/>
    <w:rsid w:val="007F48E4"/>
    <w:rsid w:val="007F4BD4"/>
    <w:rsid w:val="007F4C56"/>
    <w:rsid w:val="007F4DC3"/>
    <w:rsid w:val="007F5077"/>
    <w:rsid w:val="007F5606"/>
    <w:rsid w:val="007F58D7"/>
    <w:rsid w:val="007F598A"/>
    <w:rsid w:val="007F59A6"/>
    <w:rsid w:val="007F5F6F"/>
    <w:rsid w:val="007F60ED"/>
    <w:rsid w:val="007F621C"/>
    <w:rsid w:val="007F62A4"/>
    <w:rsid w:val="007F6A78"/>
    <w:rsid w:val="007F6D15"/>
    <w:rsid w:val="007F7179"/>
    <w:rsid w:val="007F71DD"/>
    <w:rsid w:val="007F732B"/>
    <w:rsid w:val="007F7390"/>
    <w:rsid w:val="007F73EF"/>
    <w:rsid w:val="007F7718"/>
    <w:rsid w:val="007F774A"/>
    <w:rsid w:val="007F7789"/>
    <w:rsid w:val="007F783B"/>
    <w:rsid w:val="007F78D0"/>
    <w:rsid w:val="007F79FB"/>
    <w:rsid w:val="007F7AC5"/>
    <w:rsid w:val="007F7C92"/>
    <w:rsid w:val="007F7E41"/>
    <w:rsid w:val="007F7F40"/>
    <w:rsid w:val="007F7F64"/>
    <w:rsid w:val="007F7F78"/>
    <w:rsid w:val="0080024D"/>
    <w:rsid w:val="008005B1"/>
    <w:rsid w:val="0080067B"/>
    <w:rsid w:val="00801144"/>
    <w:rsid w:val="00801301"/>
    <w:rsid w:val="00801305"/>
    <w:rsid w:val="00801427"/>
    <w:rsid w:val="0080171F"/>
    <w:rsid w:val="00801A9F"/>
    <w:rsid w:val="00801AEB"/>
    <w:rsid w:val="00801BA9"/>
    <w:rsid w:val="00801F64"/>
    <w:rsid w:val="00801FE1"/>
    <w:rsid w:val="00802049"/>
    <w:rsid w:val="008020E8"/>
    <w:rsid w:val="0080233B"/>
    <w:rsid w:val="008024B2"/>
    <w:rsid w:val="00802E62"/>
    <w:rsid w:val="00802E85"/>
    <w:rsid w:val="008035E4"/>
    <w:rsid w:val="00803A84"/>
    <w:rsid w:val="00803DB3"/>
    <w:rsid w:val="00804141"/>
    <w:rsid w:val="00804827"/>
    <w:rsid w:val="008057B7"/>
    <w:rsid w:val="00806233"/>
    <w:rsid w:val="00806395"/>
    <w:rsid w:val="00806DC0"/>
    <w:rsid w:val="00807047"/>
    <w:rsid w:val="008071FD"/>
    <w:rsid w:val="0080752F"/>
    <w:rsid w:val="0080793D"/>
    <w:rsid w:val="0080798E"/>
    <w:rsid w:val="00807A90"/>
    <w:rsid w:val="00807B39"/>
    <w:rsid w:val="00807F14"/>
    <w:rsid w:val="00807FE2"/>
    <w:rsid w:val="008101C5"/>
    <w:rsid w:val="008102CB"/>
    <w:rsid w:val="00810327"/>
    <w:rsid w:val="0081078A"/>
    <w:rsid w:val="008109FC"/>
    <w:rsid w:val="00810A12"/>
    <w:rsid w:val="00810AB7"/>
    <w:rsid w:val="00810C81"/>
    <w:rsid w:val="00810C87"/>
    <w:rsid w:val="00811088"/>
    <w:rsid w:val="00811146"/>
    <w:rsid w:val="008114D5"/>
    <w:rsid w:val="00811714"/>
    <w:rsid w:val="00811C19"/>
    <w:rsid w:val="00811C6E"/>
    <w:rsid w:val="00812317"/>
    <w:rsid w:val="00812423"/>
    <w:rsid w:val="00812435"/>
    <w:rsid w:val="00812497"/>
    <w:rsid w:val="00812707"/>
    <w:rsid w:val="00812816"/>
    <w:rsid w:val="00812B4E"/>
    <w:rsid w:val="00812DCC"/>
    <w:rsid w:val="00812DDF"/>
    <w:rsid w:val="00813114"/>
    <w:rsid w:val="008135D8"/>
    <w:rsid w:val="0081397E"/>
    <w:rsid w:val="00814074"/>
    <w:rsid w:val="00814145"/>
    <w:rsid w:val="008143E2"/>
    <w:rsid w:val="00814740"/>
    <w:rsid w:val="008147A1"/>
    <w:rsid w:val="008149E9"/>
    <w:rsid w:val="00814ADA"/>
    <w:rsid w:val="00814C69"/>
    <w:rsid w:val="00814CD1"/>
    <w:rsid w:val="00814EED"/>
    <w:rsid w:val="00814F84"/>
    <w:rsid w:val="00814FA2"/>
    <w:rsid w:val="008156E7"/>
    <w:rsid w:val="00815D3B"/>
    <w:rsid w:val="00815D87"/>
    <w:rsid w:val="00815ECA"/>
    <w:rsid w:val="0081610F"/>
    <w:rsid w:val="008161CD"/>
    <w:rsid w:val="008166E8"/>
    <w:rsid w:val="0081696C"/>
    <w:rsid w:val="00816CA6"/>
    <w:rsid w:val="00816E29"/>
    <w:rsid w:val="008173CE"/>
    <w:rsid w:val="0081756D"/>
    <w:rsid w:val="0081757F"/>
    <w:rsid w:val="0081797E"/>
    <w:rsid w:val="00817AE1"/>
    <w:rsid w:val="00817E70"/>
    <w:rsid w:val="00817EBC"/>
    <w:rsid w:val="00820080"/>
    <w:rsid w:val="008202C5"/>
    <w:rsid w:val="00821414"/>
    <w:rsid w:val="0082164D"/>
    <w:rsid w:val="00821E10"/>
    <w:rsid w:val="00821F1E"/>
    <w:rsid w:val="00821FA4"/>
    <w:rsid w:val="00821FC9"/>
    <w:rsid w:val="0082237C"/>
    <w:rsid w:val="00822535"/>
    <w:rsid w:val="00822636"/>
    <w:rsid w:val="00822758"/>
    <w:rsid w:val="0082292B"/>
    <w:rsid w:val="00822B10"/>
    <w:rsid w:val="00822DF9"/>
    <w:rsid w:val="008230DE"/>
    <w:rsid w:val="00823292"/>
    <w:rsid w:val="0082349C"/>
    <w:rsid w:val="008235CD"/>
    <w:rsid w:val="008236D6"/>
    <w:rsid w:val="0082384F"/>
    <w:rsid w:val="00823E8B"/>
    <w:rsid w:val="00823F02"/>
    <w:rsid w:val="00824000"/>
    <w:rsid w:val="008244BD"/>
    <w:rsid w:val="00824592"/>
    <w:rsid w:val="00824A86"/>
    <w:rsid w:val="00824CF5"/>
    <w:rsid w:val="00824D30"/>
    <w:rsid w:val="00824DA6"/>
    <w:rsid w:val="00825086"/>
    <w:rsid w:val="008254C2"/>
    <w:rsid w:val="0082572B"/>
    <w:rsid w:val="00825963"/>
    <w:rsid w:val="008259AB"/>
    <w:rsid w:val="00825AEA"/>
    <w:rsid w:val="00825E8B"/>
    <w:rsid w:val="00825F13"/>
    <w:rsid w:val="008262EA"/>
    <w:rsid w:val="008266DE"/>
    <w:rsid w:val="0082699A"/>
    <w:rsid w:val="00826AA0"/>
    <w:rsid w:val="00826AFF"/>
    <w:rsid w:val="008270C0"/>
    <w:rsid w:val="0082710C"/>
    <w:rsid w:val="008272C8"/>
    <w:rsid w:val="00827625"/>
    <w:rsid w:val="00827686"/>
    <w:rsid w:val="0082782A"/>
    <w:rsid w:val="00827CE7"/>
    <w:rsid w:val="00827D85"/>
    <w:rsid w:val="00827EDC"/>
    <w:rsid w:val="00830073"/>
    <w:rsid w:val="0083034F"/>
    <w:rsid w:val="008303BD"/>
    <w:rsid w:val="008305C3"/>
    <w:rsid w:val="00830A6E"/>
    <w:rsid w:val="00830C00"/>
    <w:rsid w:val="00830CE2"/>
    <w:rsid w:val="00830CF2"/>
    <w:rsid w:val="00830E18"/>
    <w:rsid w:val="00830F53"/>
    <w:rsid w:val="00830F5B"/>
    <w:rsid w:val="00831186"/>
    <w:rsid w:val="00831472"/>
    <w:rsid w:val="0083159B"/>
    <w:rsid w:val="0083180D"/>
    <w:rsid w:val="008318EA"/>
    <w:rsid w:val="00831A0B"/>
    <w:rsid w:val="00831D25"/>
    <w:rsid w:val="00831F01"/>
    <w:rsid w:val="00831F38"/>
    <w:rsid w:val="0083204E"/>
    <w:rsid w:val="00832395"/>
    <w:rsid w:val="008324C2"/>
    <w:rsid w:val="00832700"/>
    <w:rsid w:val="00832ABC"/>
    <w:rsid w:val="00832B68"/>
    <w:rsid w:val="00832CFC"/>
    <w:rsid w:val="00832D69"/>
    <w:rsid w:val="00832E67"/>
    <w:rsid w:val="00832E85"/>
    <w:rsid w:val="00832F47"/>
    <w:rsid w:val="00833108"/>
    <w:rsid w:val="0083323D"/>
    <w:rsid w:val="00833562"/>
    <w:rsid w:val="0083374F"/>
    <w:rsid w:val="008337AF"/>
    <w:rsid w:val="00833984"/>
    <w:rsid w:val="0083400F"/>
    <w:rsid w:val="00834215"/>
    <w:rsid w:val="00834550"/>
    <w:rsid w:val="00834D25"/>
    <w:rsid w:val="00835316"/>
    <w:rsid w:val="00835543"/>
    <w:rsid w:val="00835C8C"/>
    <w:rsid w:val="00835DE1"/>
    <w:rsid w:val="0083711C"/>
    <w:rsid w:val="00837233"/>
    <w:rsid w:val="00837470"/>
    <w:rsid w:val="00837872"/>
    <w:rsid w:val="00837DF3"/>
    <w:rsid w:val="00837F9C"/>
    <w:rsid w:val="00837FBD"/>
    <w:rsid w:val="008401EA"/>
    <w:rsid w:val="008403F0"/>
    <w:rsid w:val="0084043C"/>
    <w:rsid w:val="008404A3"/>
    <w:rsid w:val="00840713"/>
    <w:rsid w:val="00840936"/>
    <w:rsid w:val="00840A8A"/>
    <w:rsid w:val="00840CCE"/>
    <w:rsid w:val="00840DC0"/>
    <w:rsid w:val="00840F2F"/>
    <w:rsid w:val="00840FC1"/>
    <w:rsid w:val="008412DE"/>
    <w:rsid w:val="008416C1"/>
    <w:rsid w:val="008417D4"/>
    <w:rsid w:val="00841D82"/>
    <w:rsid w:val="00841DF0"/>
    <w:rsid w:val="00841FC5"/>
    <w:rsid w:val="0084231D"/>
    <w:rsid w:val="00842479"/>
    <w:rsid w:val="008424B9"/>
    <w:rsid w:val="008426C3"/>
    <w:rsid w:val="00842C87"/>
    <w:rsid w:val="00843448"/>
    <w:rsid w:val="0084368A"/>
    <w:rsid w:val="00843B1E"/>
    <w:rsid w:val="00843CDE"/>
    <w:rsid w:val="00844147"/>
    <w:rsid w:val="00844A10"/>
    <w:rsid w:val="0084571F"/>
    <w:rsid w:val="00845B3B"/>
    <w:rsid w:val="00845FE3"/>
    <w:rsid w:val="008462A8"/>
    <w:rsid w:val="0084633D"/>
    <w:rsid w:val="00846507"/>
    <w:rsid w:val="0084652C"/>
    <w:rsid w:val="008468E9"/>
    <w:rsid w:val="008469CF"/>
    <w:rsid w:val="00846AAC"/>
    <w:rsid w:val="00846F82"/>
    <w:rsid w:val="008471FC"/>
    <w:rsid w:val="008473C7"/>
    <w:rsid w:val="008474DC"/>
    <w:rsid w:val="00847627"/>
    <w:rsid w:val="00847796"/>
    <w:rsid w:val="00847799"/>
    <w:rsid w:val="008478D9"/>
    <w:rsid w:val="00847929"/>
    <w:rsid w:val="0085075D"/>
    <w:rsid w:val="008509BD"/>
    <w:rsid w:val="00850A2F"/>
    <w:rsid w:val="00850A5E"/>
    <w:rsid w:val="00850A6E"/>
    <w:rsid w:val="00850E23"/>
    <w:rsid w:val="00851538"/>
    <w:rsid w:val="00851859"/>
    <w:rsid w:val="00851865"/>
    <w:rsid w:val="00851BA0"/>
    <w:rsid w:val="00851FCD"/>
    <w:rsid w:val="00852732"/>
    <w:rsid w:val="00852874"/>
    <w:rsid w:val="00852EE6"/>
    <w:rsid w:val="00853372"/>
    <w:rsid w:val="008535EC"/>
    <w:rsid w:val="00853E9A"/>
    <w:rsid w:val="00853EC1"/>
    <w:rsid w:val="008540B1"/>
    <w:rsid w:val="00854453"/>
    <w:rsid w:val="0085445F"/>
    <w:rsid w:val="00854475"/>
    <w:rsid w:val="00854594"/>
    <w:rsid w:val="008548C5"/>
    <w:rsid w:val="00854E64"/>
    <w:rsid w:val="00854EBD"/>
    <w:rsid w:val="00854FD2"/>
    <w:rsid w:val="0085514D"/>
    <w:rsid w:val="008554AE"/>
    <w:rsid w:val="00855540"/>
    <w:rsid w:val="0085563B"/>
    <w:rsid w:val="00855759"/>
    <w:rsid w:val="00855994"/>
    <w:rsid w:val="00855A02"/>
    <w:rsid w:val="00855D61"/>
    <w:rsid w:val="00855E7B"/>
    <w:rsid w:val="00856258"/>
    <w:rsid w:val="00856447"/>
    <w:rsid w:val="008564B7"/>
    <w:rsid w:val="008565EB"/>
    <w:rsid w:val="00856A9A"/>
    <w:rsid w:val="00857054"/>
    <w:rsid w:val="0085713F"/>
    <w:rsid w:val="0085797D"/>
    <w:rsid w:val="008579AE"/>
    <w:rsid w:val="00857C36"/>
    <w:rsid w:val="00857C52"/>
    <w:rsid w:val="00857D80"/>
    <w:rsid w:val="008603F8"/>
    <w:rsid w:val="0086060E"/>
    <w:rsid w:val="0086069B"/>
    <w:rsid w:val="0086083E"/>
    <w:rsid w:val="00860F5C"/>
    <w:rsid w:val="0086106C"/>
    <w:rsid w:val="008612AC"/>
    <w:rsid w:val="00861495"/>
    <w:rsid w:val="008617F9"/>
    <w:rsid w:val="00861B9E"/>
    <w:rsid w:val="00861E60"/>
    <w:rsid w:val="00862123"/>
    <w:rsid w:val="008624AA"/>
    <w:rsid w:val="008624B3"/>
    <w:rsid w:val="0086254D"/>
    <w:rsid w:val="00862944"/>
    <w:rsid w:val="00862CDE"/>
    <w:rsid w:val="008630C8"/>
    <w:rsid w:val="0086315C"/>
    <w:rsid w:val="00863246"/>
    <w:rsid w:val="008634F9"/>
    <w:rsid w:val="00863741"/>
    <w:rsid w:val="0086383A"/>
    <w:rsid w:val="00863B91"/>
    <w:rsid w:val="00863BB5"/>
    <w:rsid w:val="00863BF7"/>
    <w:rsid w:val="00863FB9"/>
    <w:rsid w:val="00863FD9"/>
    <w:rsid w:val="00864031"/>
    <w:rsid w:val="008642A4"/>
    <w:rsid w:val="008644BA"/>
    <w:rsid w:val="0086473A"/>
    <w:rsid w:val="00864935"/>
    <w:rsid w:val="0086498B"/>
    <w:rsid w:val="00864E2D"/>
    <w:rsid w:val="00864E3B"/>
    <w:rsid w:val="008650EF"/>
    <w:rsid w:val="008654EC"/>
    <w:rsid w:val="00865500"/>
    <w:rsid w:val="0086587E"/>
    <w:rsid w:val="00865890"/>
    <w:rsid w:val="008659D0"/>
    <w:rsid w:val="00865DFF"/>
    <w:rsid w:val="008661A8"/>
    <w:rsid w:val="00866C4E"/>
    <w:rsid w:val="00866CDA"/>
    <w:rsid w:val="00866E0D"/>
    <w:rsid w:val="00866E79"/>
    <w:rsid w:val="00866FB7"/>
    <w:rsid w:val="0086701C"/>
    <w:rsid w:val="00867033"/>
    <w:rsid w:val="008670C8"/>
    <w:rsid w:val="00867397"/>
    <w:rsid w:val="008675A4"/>
    <w:rsid w:val="008675DF"/>
    <w:rsid w:val="00867B41"/>
    <w:rsid w:val="00870341"/>
    <w:rsid w:val="008705B8"/>
    <w:rsid w:val="008709A6"/>
    <w:rsid w:val="00870D89"/>
    <w:rsid w:val="00870E85"/>
    <w:rsid w:val="008715C0"/>
    <w:rsid w:val="00871655"/>
    <w:rsid w:val="0087173A"/>
    <w:rsid w:val="008719FE"/>
    <w:rsid w:val="00871B66"/>
    <w:rsid w:val="00871B73"/>
    <w:rsid w:val="00871E78"/>
    <w:rsid w:val="00872861"/>
    <w:rsid w:val="00872BDB"/>
    <w:rsid w:val="00872DC4"/>
    <w:rsid w:val="00872DEA"/>
    <w:rsid w:val="0087326D"/>
    <w:rsid w:val="00873283"/>
    <w:rsid w:val="0087356F"/>
    <w:rsid w:val="008738D4"/>
    <w:rsid w:val="00873C95"/>
    <w:rsid w:val="00873E27"/>
    <w:rsid w:val="00873F22"/>
    <w:rsid w:val="008743D6"/>
    <w:rsid w:val="0087447C"/>
    <w:rsid w:val="00874558"/>
    <w:rsid w:val="00874797"/>
    <w:rsid w:val="008748D3"/>
    <w:rsid w:val="00874959"/>
    <w:rsid w:val="00875403"/>
    <w:rsid w:val="00875432"/>
    <w:rsid w:val="00875440"/>
    <w:rsid w:val="008755E1"/>
    <w:rsid w:val="00875B6B"/>
    <w:rsid w:val="00875B75"/>
    <w:rsid w:val="00875C50"/>
    <w:rsid w:val="0087608E"/>
    <w:rsid w:val="00876280"/>
    <w:rsid w:val="008765D3"/>
    <w:rsid w:val="0087676F"/>
    <w:rsid w:val="00876816"/>
    <w:rsid w:val="00876E11"/>
    <w:rsid w:val="00876F5D"/>
    <w:rsid w:val="00877077"/>
    <w:rsid w:val="0087715A"/>
    <w:rsid w:val="0087721C"/>
    <w:rsid w:val="0087761B"/>
    <w:rsid w:val="00877A3A"/>
    <w:rsid w:val="00877D00"/>
    <w:rsid w:val="00877D48"/>
    <w:rsid w:val="00880696"/>
    <w:rsid w:val="0088097C"/>
    <w:rsid w:val="00880B65"/>
    <w:rsid w:val="00880BE8"/>
    <w:rsid w:val="00880E3C"/>
    <w:rsid w:val="00880F20"/>
    <w:rsid w:val="008810FE"/>
    <w:rsid w:val="0088124F"/>
    <w:rsid w:val="00881818"/>
    <w:rsid w:val="00881A72"/>
    <w:rsid w:val="00881B54"/>
    <w:rsid w:val="0088233C"/>
    <w:rsid w:val="00882F52"/>
    <w:rsid w:val="00883256"/>
    <w:rsid w:val="00883394"/>
    <w:rsid w:val="00883687"/>
    <w:rsid w:val="0088371C"/>
    <w:rsid w:val="008840A4"/>
    <w:rsid w:val="00884119"/>
    <w:rsid w:val="008842E3"/>
    <w:rsid w:val="008842F7"/>
    <w:rsid w:val="0088432D"/>
    <w:rsid w:val="00884747"/>
    <w:rsid w:val="00884875"/>
    <w:rsid w:val="00884D77"/>
    <w:rsid w:val="00884ED4"/>
    <w:rsid w:val="008851BE"/>
    <w:rsid w:val="00885340"/>
    <w:rsid w:val="008856C4"/>
    <w:rsid w:val="00885D5A"/>
    <w:rsid w:val="00885D8B"/>
    <w:rsid w:val="0088615F"/>
    <w:rsid w:val="00886949"/>
    <w:rsid w:val="008869C7"/>
    <w:rsid w:val="00886C14"/>
    <w:rsid w:val="00886E67"/>
    <w:rsid w:val="008870A1"/>
    <w:rsid w:val="0088713F"/>
    <w:rsid w:val="008872D3"/>
    <w:rsid w:val="00887860"/>
    <w:rsid w:val="008879E7"/>
    <w:rsid w:val="00887BAA"/>
    <w:rsid w:val="00887C8F"/>
    <w:rsid w:val="00887FC9"/>
    <w:rsid w:val="00890674"/>
    <w:rsid w:val="008907C9"/>
    <w:rsid w:val="00890AE5"/>
    <w:rsid w:val="00890CF6"/>
    <w:rsid w:val="00890D87"/>
    <w:rsid w:val="00890F51"/>
    <w:rsid w:val="008912BD"/>
    <w:rsid w:val="008912D5"/>
    <w:rsid w:val="00891461"/>
    <w:rsid w:val="00891554"/>
    <w:rsid w:val="008915D2"/>
    <w:rsid w:val="00891849"/>
    <w:rsid w:val="0089185A"/>
    <w:rsid w:val="00891A60"/>
    <w:rsid w:val="00891AE0"/>
    <w:rsid w:val="00891AFD"/>
    <w:rsid w:val="00891C72"/>
    <w:rsid w:val="008920B7"/>
    <w:rsid w:val="0089239C"/>
    <w:rsid w:val="00892477"/>
    <w:rsid w:val="0089248C"/>
    <w:rsid w:val="00892A80"/>
    <w:rsid w:val="00892D8D"/>
    <w:rsid w:val="00892E84"/>
    <w:rsid w:val="008931E2"/>
    <w:rsid w:val="00893217"/>
    <w:rsid w:val="00893614"/>
    <w:rsid w:val="008937F9"/>
    <w:rsid w:val="0089381B"/>
    <w:rsid w:val="00893B8B"/>
    <w:rsid w:val="00893D21"/>
    <w:rsid w:val="00893D2B"/>
    <w:rsid w:val="00893D81"/>
    <w:rsid w:val="00893EA1"/>
    <w:rsid w:val="008940A0"/>
    <w:rsid w:val="008941B8"/>
    <w:rsid w:val="008943D6"/>
    <w:rsid w:val="008947D4"/>
    <w:rsid w:val="00894897"/>
    <w:rsid w:val="00894A92"/>
    <w:rsid w:val="00894D79"/>
    <w:rsid w:val="00894E65"/>
    <w:rsid w:val="008951F3"/>
    <w:rsid w:val="00895723"/>
    <w:rsid w:val="00895BDD"/>
    <w:rsid w:val="00895EFD"/>
    <w:rsid w:val="00896028"/>
    <w:rsid w:val="00896310"/>
    <w:rsid w:val="00896625"/>
    <w:rsid w:val="0089671C"/>
    <w:rsid w:val="00896C43"/>
    <w:rsid w:val="00896D81"/>
    <w:rsid w:val="008971EB"/>
    <w:rsid w:val="0089771D"/>
    <w:rsid w:val="0089789E"/>
    <w:rsid w:val="00897F42"/>
    <w:rsid w:val="00897F62"/>
    <w:rsid w:val="00897F64"/>
    <w:rsid w:val="00897F85"/>
    <w:rsid w:val="008A01C9"/>
    <w:rsid w:val="008A023D"/>
    <w:rsid w:val="008A0310"/>
    <w:rsid w:val="008A03B2"/>
    <w:rsid w:val="008A0B0D"/>
    <w:rsid w:val="008A0EFB"/>
    <w:rsid w:val="008A0FCC"/>
    <w:rsid w:val="008A121F"/>
    <w:rsid w:val="008A12F0"/>
    <w:rsid w:val="008A150C"/>
    <w:rsid w:val="008A1871"/>
    <w:rsid w:val="008A187F"/>
    <w:rsid w:val="008A1A0D"/>
    <w:rsid w:val="008A1B54"/>
    <w:rsid w:val="008A1DFC"/>
    <w:rsid w:val="008A1E02"/>
    <w:rsid w:val="008A1EC8"/>
    <w:rsid w:val="008A2632"/>
    <w:rsid w:val="008A291C"/>
    <w:rsid w:val="008A2A34"/>
    <w:rsid w:val="008A2AB0"/>
    <w:rsid w:val="008A3357"/>
    <w:rsid w:val="008A3488"/>
    <w:rsid w:val="008A3568"/>
    <w:rsid w:val="008A37C5"/>
    <w:rsid w:val="008A38D6"/>
    <w:rsid w:val="008A3B35"/>
    <w:rsid w:val="008A3C5B"/>
    <w:rsid w:val="008A3EFA"/>
    <w:rsid w:val="008A4DA9"/>
    <w:rsid w:val="008A51BD"/>
    <w:rsid w:val="008A5381"/>
    <w:rsid w:val="008A5395"/>
    <w:rsid w:val="008A5813"/>
    <w:rsid w:val="008A5B5E"/>
    <w:rsid w:val="008A6195"/>
    <w:rsid w:val="008A6920"/>
    <w:rsid w:val="008A6C2B"/>
    <w:rsid w:val="008A6D04"/>
    <w:rsid w:val="008A6D53"/>
    <w:rsid w:val="008A71EB"/>
    <w:rsid w:val="008A7882"/>
    <w:rsid w:val="008A7D40"/>
    <w:rsid w:val="008A7D44"/>
    <w:rsid w:val="008B0011"/>
    <w:rsid w:val="008B034F"/>
    <w:rsid w:val="008B0450"/>
    <w:rsid w:val="008B060E"/>
    <w:rsid w:val="008B0618"/>
    <w:rsid w:val="008B064D"/>
    <w:rsid w:val="008B06B3"/>
    <w:rsid w:val="008B06CC"/>
    <w:rsid w:val="008B07B9"/>
    <w:rsid w:val="008B09BC"/>
    <w:rsid w:val="008B0B7B"/>
    <w:rsid w:val="008B0C71"/>
    <w:rsid w:val="008B1536"/>
    <w:rsid w:val="008B18F4"/>
    <w:rsid w:val="008B1D06"/>
    <w:rsid w:val="008B1DCB"/>
    <w:rsid w:val="008B2442"/>
    <w:rsid w:val="008B24A3"/>
    <w:rsid w:val="008B2667"/>
    <w:rsid w:val="008B2C42"/>
    <w:rsid w:val="008B31B6"/>
    <w:rsid w:val="008B35E3"/>
    <w:rsid w:val="008B364D"/>
    <w:rsid w:val="008B37F7"/>
    <w:rsid w:val="008B3970"/>
    <w:rsid w:val="008B398B"/>
    <w:rsid w:val="008B3D0D"/>
    <w:rsid w:val="008B41E4"/>
    <w:rsid w:val="008B44AC"/>
    <w:rsid w:val="008B4631"/>
    <w:rsid w:val="008B4833"/>
    <w:rsid w:val="008B4902"/>
    <w:rsid w:val="008B4CEC"/>
    <w:rsid w:val="008B4EF7"/>
    <w:rsid w:val="008B52D9"/>
    <w:rsid w:val="008B55EE"/>
    <w:rsid w:val="008B5769"/>
    <w:rsid w:val="008B58D3"/>
    <w:rsid w:val="008B59AF"/>
    <w:rsid w:val="008B59BB"/>
    <w:rsid w:val="008B5B7B"/>
    <w:rsid w:val="008B6101"/>
    <w:rsid w:val="008B6131"/>
    <w:rsid w:val="008B61CA"/>
    <w:rsid w:val="008B6286"/>
    <w:rsid w:val="008B630B"/>
    <w:rsid w:val="008B6377"/>
    <w:rsid w:val="008B7159"/>
    <w:rsid w:val="008B721C"/>
    <w:rsid w:val="008B747D"/>
    <w:rsid w:val="008B755A"/>
    <w:rsid w:val="008B76D7"/>
    <w:rsid w:val="008B77D8"/>
    <w:rsid w:val="008B7813"/>
    <w:rsid w:val="008B7817"/>
    <w:rsid w:val="008B79F5"/>
    <w:rsid w:val="008B7A2E"/>
    <w:rsid w:val="008B7D6F"/>
    <w:rsid w:val="008B7F96"/>
    <w:rsid w:val="008B7FD9"/>
    <w:rsid w:val="008C00E3"/>
    <w:rsid w:val="008C01D8"/>
    <w:rsid w:val="008C0A7C"/>
    <w:rsid w:val="008C0CA8"/>
    <w:rsid w:val="008C13AA"/>
    <w:rsid w:val="008C1508"/>
    <w:rsid w:val="008C1639"/>
    <w:rsid w:val="008C1A33"/>
    <w:rsid w:val="008C1AB9"/>
    <w:rsid w:val="008C1BBB"/>
    <w:rsid w:val="008C1DD8"/>
    <w:rsid w:val="008C20AF"/>
    <w:rsid w:val="008C2454"/>
    <w:rsid w:val="008C24EB"/>
    <w:rsid w:val="008C2C92"/>
    <w:rsid w:val="008C30C3"/>
    <w:rsid w:val="008C3141"/>
    <w:rsid w:val="008C32E3"/>
    <w:rsid w:val="008C34D7"/>
    <w:rsid w:val="008C350E"/>
    <w:rsid w:val="008C3ACE"/>
    <w:rsid w:val="008C3AD7"/>
    <w:rsid w:val="008C3DFC"/>
    <w:rsid w:val="008C4066"/>
    <w:rsid w:val="008C45F2"/>
    <w:rsid w:val="008C47C3"/>
    <w:rsid w:val="008C480E"/>
    <w:rsid w:val="008C4819"/>
    <w:rsid w:val="008C48C4"/>
    <w:rsid w:val="008C491D"/>
    <w:rsid w:val="008C4927"/>
    <w:rsid w:val="008C4A3A"/>
    <w:rsid w:val="008C4B17"/>
    <w:rsid w:val="008C4D1E"/>
    <w:rsid w:val="008C4F23"/>
    <w:rsid w:val="008C5280"/>
    <w:rsid w:val="008C57D5"/>
    <w:rsid w:val="008C59A1"/>
    <w:rsid w:val="008C5B65"/>
    <w:rsid w:val="008C611C"/>
    <w:rsid w:val="008C613D"/>
    <w:rsid w:val="008C61C6"/>
    <w:rsid w:val="008C6208"/>
    <w:rsid w:val="008C636A"/>
    <w:rsid w:val="008C641D"/>
    <w:rsid w:val="008C6AE8"/>
    <w:rsid w:val="008C6B2B"/>
    <w:rsid w:val="008C6D98"/>
    <w:rsid w:val="008C6FD0"/>
    <w:rsid w:val="008C7092"/>
    <w:rsid w:val="008C7335"/>
    <w:rsid w:val="008C73FD"/>
    <w:rsid w:val="008C755E"/>
    <w:rsid w:val="008C76D1"/>
    <w:rsid w:val="008C78E8"/>
    <w:rsid w:val="008C7F0C"/>
    <w:rsid w:val="008C7FEB"/>
    <w:rsid w:val="008D001A"/>
    <w:rsid w:val="008D01EE"/>
    <w:rsid w:val="008D046E"/>
    <w:rsid w:val="008D0670"/>
    <w:rsid w:val="008D08F9"/>
    <w:rsid w:val="008D09C9"/>
    <w:rsid w:val="008D09F9"/>
    <w:rsid w:val="008D0AAF"/>
    <w:rsid w:val="008D0EF1"/>
    <w:rsid w:val="008D176F"/>
    <w:rsid w:val="008D18B9"/>
    <w:rsid w:val="008D1909"/>
    <w:rsid w:val="008D1D35"/>
    <w:rsid w:val="008D1D51"/>
    <w:rsid w:val="008D1DF4"/>
    <w:rsid w:val="008D1E28"/>
    <w:rsid w:val="008D203D"/>
    <w:rsid w:val="008D216D"/>
    <w:rsid w:val="008D225B"/>
    <w:rsid w:val="008D2266"/>
    <w:rsid w:val="008D22F5"/>
    <w:rsid w:val="008D231D"/>
    <w:rsid w:val="008D25D2"/>
    <w:rsid w:val="008D28B5"/>
    <w:rsid w:val="008D29EE"/>
    <w:rsid w:val="008D2BD5"/>
    <w:rsid w:val="008D2E4E"/>
    <w:rsid w:val="008D2FD7"/>
    <w:rsid w:val="008D3143"/>
    <w:rsid w:val="008D31F7"/>
    <w:rsid w:val="008D335E"/>
    <w:rsid w:val="008D35D9"/>
    <w:rsid w:val="008D3705"/>
    <w:rsid w:val="008D3993"/>
    <w:rsid w:val="008D3B84"/>
    <w:rsid w:val="008D3FAB"/>
    <w:rsid w:val="008D400A"/>
    <w:rsid w:val="008D42D2"/>
    <w:rsid w:val="008D4460"/>
    <w:rsid w:val="008D4560"/>
    <w:rsid w:val="008D47E5"/>
    <w:rsid w:val="008D4934"/>
    <w:rsid w:val="008D4ACE"/>
    <w:rsid w:val="008D4E52"/>
    <w:rsid w:val="008D4F56"/>
    <w:rsid w:val="008D507C"/>
    <w:rsid w:val="008D51FB"/>
    <w:rsid w:val="008D5686"/>
    <w:rsid w:val="008D57E2"/>
    <w:rsid w:val="008D5A1C"/>
    <w:rsid w:val="008D5B1B"/>
    <w:rsid w:val="008D6011"/>
    <w:rsid w:val="008D6310"/>
    <w:rsid w:val="008D6579"/>
    <w:rsid w:val="008D67A8"/>
    <w:rsid w:val="008D67DC"/>
    <w:rsid w:val="008D6932"/>
    <w:rsid w:val="008D698C"/>
    <w:rsid w:val="008D6E56"/>
    <w:rsid w:val="008D6F19"/>
    <w:rsid w:val="008D7101"/>
    <w:rsid w:val="008D77E3"/>
    <w:rsid w:val="008D7896"/>
    <w:rsid w:val="008D7B53"/>
    <w:rsid w:val="008D7BA6"/>
    <w:rsid w:val="008D7F6E"/>
    <w:rsid w:val="008E020C"/>
    <w:rsid w:val="008E0245"/>
    <w:rsid w:val="008E03D4"/>
    <w:rsid w:val="008E05D9"/>
    <w:rsid w:val="008E088C"/>
    <w:rsid w:val="008E0D15"/>
    <w:rsid w:val="008E10A0"/>
    <w:rsid w:val="008E1547"/>
    <w:rsid w:val="008E1A79"/>
    <w:rsid w:val="008E1CFB"/>
    <w:rsid w:val="008E256D"/>
    <w:rsid w:val="008E2887"/>
    <w:rsid w:val="008E32F7"/>
    <w:rsid w:val="008E33F7"/>
    <w:rsid w:val="008E344B"/>
    <w:rsid w:val="008E34D7"/>
    <w:rsid w:val="008E3519"/>
    <w:rsid w:val="008E35E5"/>
    <w:rsid w:val="008E37B5"/>
    <w:rsid w:val="008E3BDD"/>
    <w:rsid w:val="008E3D77"/>
    <w:rsid w:val="008E3D9E"/>
    <w:rsid w:val="008E3E51"/>
    <w:rsid w:val="008E3E8A"/>
    <w:rsid w:val="008E451D"/>
    <w:rsid w:val="008E4A22"/>
    <w:rsid w:val="008E4A66"/>
    <w:rsid w:val="008E4B20"/>
    <w:rsid w:val="008E5365"/>
    <w:rsid w:val="008E550A"/>
    <w:rsid w:val="008E581A"/>
    <w:rsid w:val="008E5E31"/>
    <w:rsid w:val="008E6600"/>
    <w:rsid w:val="008E669D"/>
    <w:rsid w:val="008E66DC"/>
    <w:rsid w:val="008E67E5"/>
    <w:rsid w:val="008E6914"/>
    <w:rsid w:val="008E6FBF"/>
    <w:rsid w:val="008E7317"/>
    <w:rsid w:val="008E742C"/>
    <w:rsid w:val="008E7607"/>
    <w:rsid w:val="008E7612"/>
    <w:rsid w:val="008E7700"/>
    <w:rsid w:val="008E7B91"/>
    <w:rsid w:val="008E7CCF"/>
    <w:rsid w:val="008E7D2A"/>
    <w:rsid w:val="008E7F6B"/>
    <w:rsid w:val="008F0930"/>
    <w:rsid w:val="008F0A8E"/>
    <w:rsid w:val="008F1225"/>
    <w:rsid w:val="008F1327"/>
    <w:rsid w:val="008F13F1"/>
    <w:rsid w:val="008F1576"/>
    <w:rsid w:val="008F191B"/>
    <w:rsid w:val="008F1B6A"/>
    <w:rsid w:val="008F1D6D"/>
    <w:rsid w:val="008F1F0C"/>
    <w:rsid w:val="008F1F0D"/>
    <w:rsid w:val="008F20B4"/>
    <w:rsid w:val="008F2172"/>
    <w:rsid w:val="008F2466"/>
    <w:rsid w:val="008F253B"/>
    <w:rsid w:val="008F2EDB"/>
    <w:rsid w:val="008F30DB"/>
    <w:rsid w:val="008F3468"/>
    <w:rsid w:val="008F3E3A"/>
    <w:rsid w:val="008F3F68"/>
    <w:rsid w:val="008F41BE"/>
    <w:rsid w:val="008F4272"/>
    <w:rsid w:val="008F48C1"/>
    <w:rsid w:val="008F4D3F"/>
    <w:rsid w:val="008F4DC6"/>
    <w:rsid w:val="008F50B6"/>
    <w:rsid w:val="008F51A2"/>
    <w:rsid w:val="008F53A2"/>
    <w:rsid w:val="008F5BE5"/>
    <w:rsid w:val="008F6258"/>
    <w:rsid w:val="008F6723"/>
    <w:rsid w:val="008F6C96"/>
    <w:rsid w:val="008F705E"/>
    <w:rsid w:val="008F7365"/>
    <w:rsid w:val="008F7384"/>
    <w:rsid w:val="008F7406"/>
    <w:rsid w:val="008F7A36"/>
    <w:rsid w:val="008F7B70"/>
    <w:rsid w:val="008F7E53"/>
    <w:rsid w:val="008F7E60"/>
    <w:rsid w:val="009002C9"/>
    <w:rsid w:val="00900399"/>
    <w:rsid w:val="00900546"/>
    <w:rsid w:val="009011E0"/>
    <w:rsid w:val="009012C0"/>
    <w:rsid w:val="009017D7"/>
    <w:rsid w:val="00902055"/>
    <w:rsid w:val="00902091"/>
    <w:rsid w:val="00902575"/>
    <w:rsid w:val="0090291E"/>
    <w:rsid w:val="00902E00"/>
    <w:rsid w:val="00903599"/>
    <w:rsid w:val="00903634"/>
    <w:rsid w:val="00903875"/>
    <w:rsid w:val="0090389F"/>
    <w:rsid w:val="009038A6"/>
    <w:rsid w:val="009038A7"/>
    <w:rsid w:val="009038B7"/>
    <w:rsid w:val="00903900"/>
    <w:rsid w:val="00903B6D"/>
    <w:rsid w:val="00903D40"/>
    <w:rsid w:val="00903F99"/>
    <w:rsid w:val="009040AF"/>
    <w:rsid w:val="00904150"/>
    <w:rsid w:val="009042A0"/>
    <w:rsid w:val="009044FC"/>
    <w:rsid w:val="0090462E"/>
    <w:rsid w:val="009047D4"/>
    <w:rsid w:val="00904D5A"/>
    <w:rsid w:val="00904FCF"/>
    <w:rsid w:val="009050D6"/>
    <w:rsid w:val="00905179"/>
    <w:rsid w:val="0090526C"/>
    <w:rsid w:val="0090568D"/>
    <w:rsid w:val="009056FC"/>
    <w:rsid w:val="00905734"/>
    <w:rsid w:val="00905AB6"/>
    <w:rsid w:val="00905B0E"/>
    <w:rsid w:val="00905C19"/>
    <w:rsid w:val="00906058"/>
    <w:rsid w:val="00906316"/>
    <w:rsid w:val="00906424"/>
    <w:rsid w:val="0090644F"/>
    <w:rsid w:val="00906811"/>
    <w:rsid w:val="00906A36"/>
    <w:rsid w:val="00906A7A"/>
    <w:rsid w:val="00906E03"/>
    <w:rsid w:val="00906F51"/>
    <w:rsid w:val="009073F4"/>
    <w:rsid w:val="00907815"/>
    <w:rsid w:val="00907D66"/>
    <w:rsid w:val="00907E82"/>
    <w:rsid w:val="00910490"/>
    <w:rsid w:val="00910626"/>
    <w:rsid w:val="00910787"/>
    <w:rsid w:val="009107B3"/>
    <w:rsid w:val="009109DB"/>
    <w:rsid w:val="00910A33"/>
    <w:rsid w:val="00910C80"/>
    <w:rsid w:val="00910D06"/>
    <w:rsid w:val="00910F90"/>
    <w:rsid w:val="00911160"/>
    <w:rsid w:val="0091170A"/>
    <w:rsid w:val="00911721"/>
    <w:rsid w:val="00911BF1"/>
    <w:rsid w:val="00911C16"/>
    <w:rsid w:val="00911D34"/>
    <w:rsid w:val="00911E42"/>
    <w:rsid w:val="00911EF0"/>
    <w:rsid w:val="009122F8"/>
    <w:rsid w:val="009124CA"/>
    <w:rsid w:val="00912A6C"/>
    <w:rsid w:val="00912C48"/>
    <w:rsid w:val="00912F9C"/>
    <w:rsid w:val="0091300E"/>
    <w:rsid w:val="00913407"/>
    <w:rsid w:val="009136F8"/>
    <w:rsid w:val="00913729"/>
    <w:rsid w:val="0091381B"/>
    <w:rsid w:val="00913B7D"/>
    <w:rsid w:val="00913E4A"/>
    <w:rsid w:val="00914117"/>
    <w:rsid w:val="009141AB"/>
    <w:rsid w:val="00914609"/>
    <w:rsid w:val="009148B4"/>
    <w:rsid w:val="009148F0"/>
    <w:rsid w:val="009152AE"/>
    <w:rsid w:val="0091557F"/>
    <w:rsid w:val="00915914"/>
    <w:rsid w:val="00915935"/>
    <w:rsid w:val="00915A12"/>
    <w:rsid w:val="00915A77"/>
    <w:rsid w:val="00915D57"/>
    <w:rsid w:val="00915EBC"/>
    <w:rsid w:val="009160C1"/>
    <w:rsid w:val="00916143"/>
    <w:rsid w:val="009163B5"/>
    <w:rsid w:val="00916430"/>
    <w:rsid w:val="00916478"/>
    <w:rsid w:val="00916991"/>
    <w:rsid w:val="00916D98"/>
    <w:rsid w:val="00917286"/>
    <w:rsid w:val="00917318"/>
    <w:rsid w:val="009173BD"/>
    <w:rsid w:val="0091745D"/>
    <w:rsid w:val="00917782"/>
    <w:rsid w:val="00917924"/>
    <w:rsid w:val="00917A0E"/>
    <w:rsid w:val="0092006D"/>
    <w:rsid w:val="009200B7"/>
    <w:rsid w:val="0092023F"/>
    <w:rsid w:val="00920661"/>
    <w:rsid w:val="00920808"/>
    <w:rsid w:val="009208E9"/>
    <w:rsid w:val="00920AB4"/>
    <w:rsid w:val="00920ED6"/>
    <w:rsid w:val="00920FAE"/>
    <w:rsid w:val="00921196"/>
    <w:rsid w:val="00921298"/>
    <w:rsid w:val="009213FF"/>
    <w:rsid w:val="00921556"/>
    <w:rsid w:val="00921664"/>
    <w:rsid w:val="0092198B"/>
    <w:rsid w:val="00921A33"/>
    <w:rsid w:val="00921F7D"/>
    <w:rsid w:val="00921F87"/>
    <w:rsid w:val="00922009"/>
    <w:rsid w:val="0092216A"/>
    <w:rsid w:val="009222FE"/>
    <w:rsid w:val="00922446"/>
    <w:rsid w:val="009229B4"/>
    <w:rsid w:val="00922A01"/>
    <w:rsid w:val="00922AA9"/>
    <w:rsid w:val="00922CAF"/>
    <w:rsid w:val="00922CC5"/>
    <w:rsid w:val="00922D49"/>
    <w:rsid w:val="00923314"/>
    <w:rsid w:val="00923466"/>
    <w:rsid w:val="0092349E"/>
    <w:rsid w:val="00923608"/>
    <w:rsid w:val="00923887"/>
    <w:rsid w:val="00923925"/>
    <w:rsid w:val="00923ADB"/>
    <w:rsid w:val="00923E03"/>
    <w:rsid w:val="009240ED"/>
    <w:rsid w:val="009241CD"/>
    <w:rsid w:val="009244FC"/>
    <w:rsid w:val="0092496F"/>
    <w:rsid w:val="00924AD7"/>
    <w:rsid w:val="00924C22"/>
    <w:rsid w:val="00924E6D"/>
    <w:rsid w:val="00924FD3"/>
    <w:rsid w:val="009250CA"/>
    <w:rsid w:val="009254EA"/>
    <w:rsid w:val="00925C72"/>
    <w:rsid w:val="00925DBA"/>
    <w:rsid w:val="009260E3"/>
    <w:rsid w:val="009261E0"/>
    <w:rsid w:val="00926538"/>
    <w:rsid w:val="00926545"/>
    <w:rsid w:val="009267E2"/>
    <w:rsid w:val="00926C9A"/>
    <w:rsid w:val="00926D6E"/>
    <w:rsid w:val="009270F6"/>
    <w:rsid w:val="0092732D"/>
    <w:rsid w:val="009273EC"/>
    <w:rsid w:val="009278B4"/>
    <w:rsid w:val="00927E18"/>
    <w:rsid w:val="0093032D"/>
    <w:rsid w:val="0093038B"/>
    <w:rsid w:val="0093045D"/>
    <w:rsid w:val="00930A38"/>
    <w:rsid w:val="00930C86"/>
    <w:rsid w:val="00930CFB"/>
    <w:rsid w:val="00930D42"/>
    <w:rsid w:val="009310D5"/>
    <w:rsid w:val="009311FF"/>
    <w:rsid w:val="00931384"/>
    <w:rsid w:val="009313AB"/>
    <w:rsid w:val="009313B0"/>
    <w:rsid w:val="009313E6"/>
    <w:rsid w:val="00931781"/>
    <w:rsid w:val="0093181C"/>
    <w:rsid w:val="00931AC3"/>
    <w:rsid w:val="00931B43"/>
    <w:rsid w:val="00931EF5"/>
    <w:rsid w:val="00932053"/>
    <w:rsid w:val="00932149"/>
    <w:rsid w:val="0093216A"/>
    <w:rsid w:val="00932343"/>
    <w:rsid w:val="009326A4"/>
    <w:rsid w:val="00932AEE"/>
    <w:rsid w:val="00932BAD"/>
    <w:rsid w:val="00932F0E"/>
    <w:rsid w:val="0093305D"/>
    <w:rsid w:val="009335AC"/>
    <w:rsid w:val="00933658"/>
    <w:rsid w:val="009336D0"/>
    <w:rsid w:val="009339EE"/>
    <w:rsid w:val="00933A45"/>
    <w:rsid w:val="00933AEB"/>
    <w:rsid w:val="00933B78"/>
    <w:rsid w:val="00933C28"/>
    <w:rsid w:val="00933FC7"/>
    <w:rsid w:val="00934388"/>
    <w:rsid w:val="009343DE"/>
    <w:rsid w:val="00934613"/>
    <w:rsid w:val="009348B5"/>
    <w:rsid w:val="00934C49"/>
    <w:rsid w:val="00935C35"/>
    <w:rsid w:val="00935EC7"/>
    <w:rsid w:val="00935FFC"/>
    <w:rsid w:val="00936083"/>
    <w:rsid w:val="0093672B"/>
    <w:rsid w:val="00936FE3"/>
    <w:rsid w:val="009370E5"/>
    <w:rsid w:val="009371BD"/>
    <w:rsid w:val="00937428"/>
    <w:rsid w:val="00937542"/>
    <w:rsid w:val="0093778B"/>
    <w:rsid w:val="00937B3B"/>
    <w:rsid w:val="00937FD8"/>
    <w:rsid w:val="0094046A"/>
    <w:rsid w:val="00940645"/>
    <w:rsid w:val="00940737"/>
    <w:rsid w:val="0094076A"/>
    <w:rsid w:val="00940809"/>
    <w:rsid w:val="00940B17"/>
    <w:rsid w:val="0094165D"/>
    <w:rsid w:val="00941774"/>
    <w:rsid w:val="00941DCE"/>
    <w:rsid w:val="00941EF7"/>
    <w:rsid w:val="00941F82"/>
    <w:rsid w:val="009424A7"/>
    <w:rsid w:val="00942921"/>
    <w:rsid w:val="00942A07"/>
    <w:rsid w:val="00942E38"/>
    <w:rsid w:val="00943601"/>
    <w:rsid w:val="00943756"/>
    <w:rsid w:val="00943878"/>
    <w:rsid w:val="00943BDE"/>
    <w:rsid w:val="00943C40"/>
    <w:rsid w:val="00943EE1"/>
    <w:rsid w:val="00944388"/>
    <w:rsid w:val="009443C2"/>
    <w:rsid w:val="00944A00"/>
    <w:rsid w:val="00944ACB"/>
    <w:rsid w:val="00944E5F"/>
    <w:rsid w:val="00945158"/>
    <w:rsid w:val="009452FA"/>
    <w:rsid w:val="00945772"/>
    <w:rsid w:val="00945BAC"/>
    <w:rsid w:val="00945BFB"/>
    <w:rsid w:val="00946569"/>
    <w:rsid w:val="009467EB"/>
    <w:rsid w:val="009468F8"/>
    <w:rsid w:val="00946906"/>
    <w:rsid w:val="009471ED"/>
    <w:rsid w:val="00947394"/>
    <w:rsid w:val="0094743B"/>
    <w:rsid w:val="00947741"/>
    <w:rsid w:val="00947A72"/>
    <w:rsid w:val="00947E9E"/>
    <w:rsid w:val="00947EFC"/>
    <w:rsid w:val="009500DA"/>
    <w:rsid w:val="00950373"/>
    <w:rsid w:val="00950801"/>
    <w:rsid w:val="00950F80"/>
    <w:rsid w:val="00950FBD"/>
    <w:rsid w:val="009511FB"/>
    <w:rsid w:val="00951235"/>
    <w:rsid w:val="009513E8"/>
    <w:rsid w:val="00951A8C"/>
    <w:rsid w:val="00951F54"/>
    <w:rsid w:val="00952102"/>
    <w:rsid w:val="00952127"/>
    <w:rsid w:val="00952288"/>
    <w:rsid w:val="009524CD"/>
    <w:rsid w:val="00952682"/>
    <w:rsid w:val="009527E2"/>
    <w:rsid w:val="00952A0D"/>
    <w:rsid w:val="00952B58"/>
    <w:rsid w:val="00952CD1"/>
    <w:rsid w:val="00952D4C"/>
    <w:rsid w:val="00953039"/>
    <w:rsid w:val="00953099"/>
    <w:rsid w:val="0095320C"/>
    <w:rsid w:val="009533AB"/>
    <w:rsid w:val="009534D9"/>
    <w:rsid w:val="009537C4"/>
    <w:rsid w:val="0095396C"/>
    <w:rsid w:val="009539EB"/>
    <w:rsid w:val="00953E18"/>
    <w:rsid w:val="00954138"/>
    <w:rsid w:val="009542F5"/>
    <w:rsid w:val="009544B9"/>
    <w:rsid w:val="00954673"/>
    <w:rsid w:val="009549B7"/>
    <w:rsid w:val="00954D40"/>
    <w:rsid w:val="00955411"/>
    <w:rsid w:val="0095541D"/>
    <w:rsid w:val="009554E9"/>
    <w:rsid w:val="009555AD"/>
    <w:rsid w:val="00956179"/>
    <w:rsid w:val="0095650C"/>
    <w:rsid w:val="00956A43"/>
    <w:rsid w:val="00956D76"/>
    <w:rsid w:val="00957051"/>
    <w:rsid w:val="0095714E"/>
    <w:rsid w:val="00957206"/>
    <w:rsid w:val="00957240"/>
    <w:rsid w:val="00957942"/>
    <w:rsid w:val="00957C3E"/>
    <w:rsid w:val="00957CAD"/>
    <w:rsid w:val="009602E2"/>
    <w:rsid w:val="0096030E"/>
    <w:rsid w:val="009603F4"/>
    <w:rsid w:val="00960476"/>
    <w:rsid w:val="009606B4"/>
    <w:rsid w:val="00960716"/>
    <w:rsid w:val="00960765"/>
    <w:rsid w:val="00960AE8"/>
    <w:rsid w:val="00961064"/>
    <w:rsid w:val="00961544"/>
    <w:rsid w:val="009619C8"/>
    <w:rsid w:val="00961DA1"/>
    <w:rsid w:val="00961ECA"/>
    <w:rsid w:val="009621C4"/>
    <w:rsid w:val="009623AF"/>
    <w:rsid w:val="00962515"/>
    <w:rsid w:val="00962B40"/>
    <w:rsid w:val="00962B57"/>
    <w:rsid w:val="00962EDD"/>
    <w:rsid w:val="009631FD"/>
    <w:rsid w:val="00963328"/>
    <w:rsid w:val="009634AC"/>
    <w:rsid w:val="00963616"/>
    <w:rsid w:val="00963F7C"/>
    <w:rsid w:val="00964036"/>
    <w:rsid w:val="009646E8"/>
    <w:rsid w:val="00964750"/>
    <w:rsid w:val="00964A9D"/>
    <w:rsid w:val="0096502B"/>
    <w:rsid w:val="00965087"/>
    <w:rsid w:val="009650BC"/>
    <w:rsid w:val="00965324"/>
    <w:rsid w:val="00965484"/>
    <w:rsid w:val="00965767"/>
    <w:rsid w:val="009657F4"/>
    <w:rsid w:val="00965EEE"/>
    <w:rsid w:val="009661E3"/>
    <w:rsid w:val="00966432"/>
    <w:rsid w:val="00966525"/>
    <w:rsid w:val="00966588"/>
    <w:rsid w:val="00966674"/>
    <w:rsid w:val="009666DC"/>
    <w:rsid w:val="0096690D"/>
    <w:rsid w:val="00966F58"/>
    <w:rsid w:val="0096717C"/>
    <w:rsid w:val="00967192"/>
    <w:rsid w:val="00967252"/>
    <w:rsid w:val="00967983"/>
    <w:rsid w:val="00967CCC"/>
    <w:rsid w:val="00970090"/>
    <w:rsid w:val="00970138"/>
    <w:rsid w:val="00970352"/>
    <w:rsid w:val="00970358"/>
    <w:rsid w:val="00970363"/>
    <w:rsid w:val="00970B58"/>
    <w:rsid w:val="00970E8D"/>
    <w:rsid w:val="00971059"/>
    <w:rsid w:val="0097111F"/>
    <w:rsid w:val="0097124A"/>
    <w:rsid w:val="00971AF2"/>
    <w:rsid w:val="00971BE4"/>
    <w:rsid w:val="00971C52"/>
    <w:rsid w:val="00971CB7"/>
    <w:rsid w:val="00971F71"/>
    <w:rsid w:val="009722E2"/>
    <w:rsid w:val="009723D1"/>
    <w:rsid w:val="009726B3"/>
    <w:rsid w:val="00972A1D"/>
    <w:rsid w:val="00972A5E"/>
    <w:rsid w:val="00972C01"/>
    <w:rsid w:val="0097314C"/>
    <w:rsid w:val="009732FF"/>
    <w:rsid w:val="00973A6C"/>
    <w:rsid w:val="00973DC0"/>
    <w:rsid w:val="00974909"/>
    <w:rsid w:val="00974B17"/>
    <w:rsid w:val="00974F23"/>
    <w:rsid w:val="00975398"/>
    <w:rsid w:val="00975627"/>
    <w:rsid w:val="009759DF"/>
    <w:rsid w:val="00975ABE"/>
    <w:rsid w:val="00975BFF"/>
    <w:rsid w:val="00976042"/>
    <w:rsid w:val="009765BA"/>
    <w:rsid w:val="0097687D"/>
    <w:rsid w:val="009769B7"/>
    <w:rsid w:val="00976D29"/>
    <w:rsid w:val="00976D89"/>
    <w:rsid w:val="00976DE5"/>
    <w:rsid w:val="00976E32"/>
    <w:rsid w:val="00977029"/>
    <w:rsid w:val="0097727C"/>
    <w:rsid w:val="009772E7"/>
    <w:rsid w:val="009775FF"/>
    <w:rsid w:val="00977643"/>
    <w:rsid w:val="0097793A"/>
    <w:rsid w:val="0097796B"/>
    <w:rsid w:val="00977AA5"/>
    <w:rsid w:val="00977DBD"/>
    <w:rsid w:val="009801BE"/>
    <w:rsid w:val="00980432"/>
    <w:rsid w:val="009804ED"/>
    <w:rsid w:val="00980706"/>
    <w:rsid w:val="009808A2"/>
    <w:rsid w:val="00980CDA"/>
    <w:rsid w:val="0098123E"/>
    <w:rsid w:val="00981696"/>
    <w:rsid w:val="0098185B"/>
    <w:rsid w:val="00981905"/>
    <w:rsid w:val="009819C0"/>
    <w:rsid w:val="00981B5E"/>
    <w:rsid w:val="00981D12"/>
    <w:rsid w:val="00981FFD"/>
    <w:rsid w:val="00982836"/>
    <w:rsid w:val="00982A0B"/>
    <w:rsid w:val="00982D04"/>
    <w:rsid w:val="00983448"/>
    <w:rsid w:val="009837A1"/>
    <w:rsid w:val="009839A6"/>
    <w:rsid w:val="00983ABD"/>
    <w:rsid w:val="00983CA4"/>
    <w:rsid w:val="00983DC1"/>
    <w:rsid w:val="00983F3E"/>
    <w:rsid w:val="009841D9"/>
    <w:rsid w:val="0098445E"/>
    <w:rsid w:val="00984922"/>
    <w:rsid w:val="00984F4F"/>
    <w:rsid w:val="00985087"/>
    <w:rsid w:val="00985311"/>
    <w:rsid w:val="009854C0"/>
    <w:rsid w:val="00985ABB"/>
    <w:rsid w:val="00985F3D"/>
    <w:rsid w:val="00985FE5"/>
    <w:rsid w:val="00986008"/>
    <w:rsid w:val="009862A4"/>
    <w:rsid w:val="009862FE"/>
    <w:rsid w:val="009863CA"/>
    <w:rsid w:val="00986615"/>
    <w:rsid w:val="00987646"/>
    <w:rsid w:val="00987665"/>
    <w:rsid w:val="0098793C"/>
    <w:rsid w:val="00987B3C"/>
    <w:rsid w:val="00987C8D"/>
    <w:rsid w:val="009905F2"/>
    <w:rsid w:val="0099068D"/>
    <w:rsid w:val="009906D7"/>
    <w:rsid w:val="0099082A"/>
    <w:rsid w:val="009909CE"/>
    <w:rsid w:val="00990C3C"/>
    <w:rsid w:val="00990D23"/>
    <w:rsid w:val="00990E1F"/>
    <w:rsid w:val="00990EF8"/>
    <w:rsid w:val="00990F60"/>
    <w:rsid w:val="009910F7"/>
    <w:rsid w:val="0099129C"/>
    <w:rsid w:val="00991603"/>
    <w:rsid w:val="00991D40"/>
    <w:rsid w:val="00992076"/>
    <w:rsid w:val="00992470"/>
    <w:rsid w:val="0099256B"/>
    <w:rsid w:val="009925B8"/>
    <w:rsid w:val="009925D3"/>
    <w:rsid w:val="009927A4"/>
    <w:rsid w:val="009928FB"/>
    <w:rsid w:val="00992FD9"/>
    <w:rsid w:val="00992FE8"/>
    <w:rsid w:val="009930BC"/>
    <w:rsid w:val="00993363"/>
    <w:rsid w:val="009933D3"/>
    <w:rsid w:val="00993674"/>
    <w:rsid w:val="00993F59"/>
    <w:rsid w:val="00994037"/>
    <w:rsid w:val="009945F9"/>
    <w:rsid w:val="00994D14"/>
    <w:rsid w:val="009951AB"/>
    <w:rsid w:val="00995567"/>
    <w:rsid w:val="00995A09"/>
    <w:rsid w:val="00995A9F"/>
    <w:rsid w:val="00995CBD"/>
    <w:rsid w:val="00995D02"/>
    <w:rsid w:val="00995DD3"/>
    <w:rsid w:val="009963E2"/>
    <w:rsid w:val="0099649F"/>
    <w:rsid w:val="0099692E"/>
    <w:rsid w:val="00996AD7"/>
    <w:rsid w:val="00996FB4"/>
    <w:rsid w:val="0099728D"/>
    <w:rsid w:val="009977C6"/>
    <w:rsid w:val="009978FE"/>
    <w:rsid w:val="00997A97"/>
    <w:rsid w:val="00997F9A"/>
    <w:rsid w:val="009A08E9"/>
    <w:rsid w:val="009A0ACE"/>
    <w:rsid w:val="009A0AD6"/>
    <w:rsid w:val="009A0E74"/>
    <w:rsid w:val="009A0F8F"/>
    <w:rsid w:val="009A1000"/>
    <w:rsid w:val="009A10D6"/>
    <w:rsid w:val="009A1595"/>
    <w:rsid w:val="009A17AC"/>
    <w:rsid w:val="009A1C3C"/>
    <w:rsid w:val="009A21B7"/>
    <w:rsid w:val="009A21CB"/>
    <w:rsid w:val="009A2BA3"/>
    <w:rsid w:val="009A2E00"/>
    <w:rsid w:val="009A2F75"/>
    <w:rsid w:val="009A309B"/>
    <w:rsid w:val="009A381F"/>
    <w:rsid w:val="009A39E2"/>
    <w:rsid w:val="009A3C0E"/>
    <w:rsid w:val="009A3C96"/>
    <w:rsid w:val="009A3D40"/>
    <w:rsid w:val="009A44A2"/>
    <w:rsid w:val="009A459C"/>
    <w:rsid w:val="009A4C4F"/>
    <w:rsid w:val="009A4D12"/>
    <w:rsid w:val="009A4EBD"/>
    <w:rsid w:val="009A5091"/>
    <w:rsid w:val="009A5354"/>
    <w:rsid w:val="009A5611"/>
    <w:rsid w:val="009A5664"/>
    <w:rsid w:val="009A57EC"/>
    <w:rsid w:val="009A5958"/>
    <w:rsid w:val="009A59C4"/>
    <w:rsid w:val="009A5ABA"/>
    <w:rsid w:val="009A5E7D"/>
    <w:rsid w:val="009A5F52"/>
    <w:rsid w:val="009A6183"/>
    <w:rsid w:val="009A652F"/>
    <w:rsid w:val="009A6AB3"/>
    <w:rsid w:val="009A71F5"/>
    <w:rsid w:val="009A75F0"/>
    <w:rsid w:val="009A7BAD"/>
    <w:rsid w:val="009A7D83"/>
    <w:rsid w:val="009A7ED0"/>
    <w:rsid w:val="009B0264"/>
    <w:rsid w:val="009B03A2"/>
    <w:rsid w:val="009B05D4"/>
    <w:rsid w:val="009B0629"/>
    <w:rsid w:val="009B1408"/>
    <w:rsid w:val="009B14A1"/>
    <w:rsid w:val="009B177A"/>
    <w:rsid w:val="009B18CB"/>
    <w:rsid w:val="009B1932"/>
    <w:rsid w:val="009B1DA6"/>
    <w:rsid w:val="009B1FE3"/>
    <w:rsid w:val="009B23AD"/>
    <w:rsid w:val="009B2B87"/>
    <w:rsid w:val="009B2F6B"/>
    <w:rsid w:val="009B30B9"/>
    <w:rsid w:val="009B3155"/>
    <w:rsid w:val="009B3216"/>
    <w:rsid w:val="009B3430"/>
    <w:rsid w:val="009B3FBA"/>
    <w:rsid w:val="009B4791"/>
    <w:rsid w:val="009B4AE4"/>
    <w:rsid w:val="009B4E70"/>
    <w:rsid w:val="009B4ECC"/>
    <w:rsid w:val="009B5462"/>
    <w:rsid w:val="009B5811"/>
    <w:rsid w:val="009B5E0F"/>
    <w:rsid w:val="009B634E"/>
    <w:rsid w:val="009B67AD"/>
    <w:rsid w:val="009B6915"/>
    <w:rsid w:val="009B6986"/>
    <w:rsid w:val="009B6ABD"/>
    <w:rsid w:val="009B6B8F"/>
    <w:rsid w:val="009B7067"/>
    <w:rsid w:val="009B71E0"/>
    <w:rsid w:val="009B72CA"/>
    <w:rsid w:val="009B73CA"/>
    <w:rsid w:val="009B78A5"/>
    <w:rsid w:val="009B7D7D"/>
    <w:rsid w:val="009C04A9"/>
    <w:rsid w:val="009C057E"/>
    <w:rsid w:val="009C057F"/>
    <w:rsid w:val="009C05C6"/>
    <w:rsid w:val="009C08E4"/>
    <w:rsid w:val="009C09BB"/>
    <w:rsid w:val="009C0A81"/>
    <w:rsid w:val="009C0C4A"/>
    <w:rsid w:val="009C146F"/>
    <w:rsid w:val="009C1840"/>
    <w:rsid w:val="009C2188"/>
    <w:rsid w:val="009C21F8"/>
    <w:rsid w:val="009C223B"/>
    <w:rsid w:val="009C2279"/>
    <w:rsid w:val="009C240A"/>
    <w:rsid w:val="009C2673"/>
    <w:rsid w:val="009C2694"/>
    <w:rsid w:val="009C291F"/>
    <w:rsid w:val="009C2EFA"/>
    <w:rsid w:val="009C2FD5"/>
    <w:rsid w:val="009C2FFC"/>
    <w:rsid w:val="009C348D"/>
    <w:rsid w:val="009C4018"/>
    <w:rsid w:val="009C4207"/>
    <w:rsid w:val="009C433F"/>
    <w:rsid w:val="009C448F"/>
    <w:rsid w:val="009C44EC"/>
    <w:rsid w:val="009C4526"/>
    <w:rsid w:val="009C4755"/>
    <w:rsid w:val="009C490B"/>
    <w:rsid w:val="009C508E"/>
    <w:rsid w:val="009C5810"/>
    <w:rsid w:val="009C5C74"/>
    <w:rsid w:val="009C5EDC"/>
    <w:rsid w:val="009C61F3"/>
    <w:rsid w:val="009C636E"/>
    <w:rsid w:val="009C6753"/>
    <w:rsid w:val="009C6A67"/>
    <w:rsid w:val="009C6BEA"/>
    <w:rsid w:val="009C6C7D"/>
    <w:rsid w:val="009C7024"/>
    <w:rsid w:val="009C7780"/>
    <w:rsid w:val="009C7DFE"/>
    <w:rsid w:val="009C7EFE"/>
    <w:rsid w:val="009C7F1F"/>
    <w:rsid w:val="009C7FC1"/>
    <w:rsid w:val="009D00A1"/>
    <w:rsid w:val="009D0ABF"/>
    <w:rsid w:val="009D0CD2"/>
    <w:rsid w:val="009D10D1"/>
    <w:rsid w:val="009D13A3"/>
    <w:rsid w:val="009D1669"/>
    <w:rsid w:val="009D172E"/>
    <w:rsid w:val="009D17B7"/>
    <w:rsid w:val="009D19DD"/>
    <w:rsid w:val="009D1BB4"/>
    <w:rsid w:val="009D2244"/>
    <w:rsid w:val="009D2295"/>
    <w:rsid w:val="009D2D90"/>
    <w:rsid w:val="009D303E"/>
    <w:rsid w:val="009D3046"/>
    <w:rsid w:val="009D389E"/>
    <w:rsid w:val="009D3A8F"/>
    <w:rsid w:val="009D3AC1"/>
    <w:rsid w:val="009D3BD2"/>
    <w:rsid w:val="009D3CB0"/>
    <w:rsid w:val="009D3FD3"/>
    <w:rsid w:val="009D42BF"/>
    <w:rsid w:val="009D44A9"/>
    <w:rsid w:val="009D4C29"/>
    <w:rsid w:val="009D52DB"/>
    <w:rsid w:val="009D5390"/>
    <w:rsid w:val="009D561F"/>
    <w:rsid w:val="009D6000"/>
    <w:rsid w:val="009D673C"/>
    <w:rsid w:val="009D6A60"/>
    <w:rsid w:val="009D6A67"/>
    <w:rsid w:val="009D6BFA"/>
    <w:rsid w:val="009D6D0C"/>
    <w:rsid w:val="009D6E37"/>
    <w:rsid w:val="009D6E88"/>
    <w:rsid w:val="009D74FF"/>
    <w:rsid w:val="009D75FD"/>
    <w:rsid w:val="009D7765"/>
    <w:rsid w:val="009D77CC"/>
    <w:rsid w:val="009D7ADD"/>
    <w:rsid w:val="009D7C24"/>
    <w:rsid w:val="009E0124"/>
    <w:rsid w:val="009E06E5"/>
    <w:rsid w:val="009E0AEA"/>
    <w:rsid w:val="009E0AFC"/>
    <w:rsid w:val="009E0C25"/>
    <w:rsid w:val="009E0F54"/>
    <w:rsid w:val="009E0FF1"/>
    <w:rsid w:val="009E12E1"/>
    <w:rsid w:val="009E1382"/>
    <w:rsid w:val="009E1411"/>
    <w:rsid w:val="009E150E"/>
    <w:rsid w:val="009E1771"/>
    <w:rsid w:val="009E17C0"/>
    <w:rsid w:val="009E17FE"/>
    <w:rsid w:val="009E1BB0"/>
    <w:rsid w:val="009E1F1D"/>
    <w:rsid w:val="009E1F52"/>
    <w:rsid w:val="009E201B"/>
    <w:rsid w:val="009E2818"/>
    <w:rsid w:val="009E324D"/>
    <w:rsid w:val="009E35B3"/>
    <w:rsid w:val="009E3736"/>
    <w:rsid w:val="009E3743"/>
    <w:rsid w:val="009E37E5"/>
    <w:rsid w:val="009E3BAE"/>
    <w:rsid w:val="009E4040"/>
    <w:rsid w:val="009E4109"/>
    <w:rsid w:val="009E41E2"/>
    <w:rsid w:val="009E44F9"/>
    <w:rsid w:val="009E46E6"/>
    <w:rsid w:val="009E47D9"/>
    <w:rsid w:val="009E5983"/>
    <w:rsid w:val="009E6E60"/>
    <w:rsid w:val="009E7380"/>
    <w:rsid w:val="009E74D5"/>
    <w:rsid w:val="009E7903"/>
    <w:rsid w:val="009E7A66"/>
    <w:rsid w:val="009F0012"/>
    <w:rsid w:val="009F02CA"/>
    <w:rsid w:val="009F03B1"/>
    <w:rsid w:val="009F060E"/>
    <w:rsid w:val="009F0D35"/>
    <w:rsid w:val="009F0EAB"/>
    <w:rsid w:val="009F0EFB"/>
    <w:rsid w:val="009F0F4A"/>
    <w:rsid w:val="009F13BD"/>
    <w:rsid w:val="009F1BBB"/>
    <w:rsid w:val="009F1C78"/>
    <w:rsid w:val="009F1DAF"/>
    <w:rsid w:val="009F1DEC"/>
    <w:rsid w:val="009F2095"/>
    <w:rsid w:val="009F2167"/>
    <w:rsid w:val="009F222A"/>
    <w:rsid w:val="009F287A"/>
    <w:rsid w:val="009F2E80"/>
    <w:rsid w:val="009F3909"/>
    <w:rsid w:val="009F3D72"/>
    <w:rsid w:val="009F438E"/>
    <w:rsid w:val="009F4433"/>
    <w:rsid w:val="009F463F"/>
    <w:rsid w:val="009F4724"/>
    <w:rsid w:val="009F4767"/>
    <w:rsid w:val="009F4849"/>
    <w:rsid w:val="009F4AB0"/>
    <w:rsid w:val="009F4B55"/>
    <w:rsid w:val="009F4C6D"/>
    <w:rsid w:val="009F4C91"/>
    <w:rsid w:val="009F5111"/>
    <w:rsid w:val="009F5441"/>
    <w:rsid w:val="009F5889"/>
    <w:rsid w:val="009F5926"/>
    <w:rsid w:val="009F5957"/>
    <w:rsid w:val="009F5B9F"/>
    <w:rsid w:val="009F5C36"/>
    <w:rsid w:val="009F5FA4"/>
    <w:rsid w:val="009F5FDC"/>
    <w:rsid w:val="009F629F"/>
    <w:rsid w:val="009F6587"/>
    <w:rsid w:val="009F660D"/>
    <w:rsid w:val="009F70E7"/>
    <w:rsid w:val="009F7722"/>
    <w:rsid w:val="009F781C"/>
    <w:rsid w:val="009F7981"/>
    <w:rsid w:val="009F7CA7"/>
    <w:rsid w:val="009F7CF6"/>
    <w:rsid w:val="009F7DA3"/>
    <w:rsid w:val="009F7FA1"/>
    <w:rsid w:val="00A00070"/>
    <w:rsid w:val="00A01011"/>
    <w:rsid w:val="00A011C7"/>
    <w:rsid w:val="00A013D5"/>
    <w:rsid w:val="00A01416"/>
    <w:rsid w:val="00A0151A"/>
    <w:rsid w:val="00A017AD"/>
    <w:rsid w:val="00A0181F"/>
    <w:rsid w:val="00A01822"/>
    <w:rsid w:val="00A01A07"/>
    <w:rsid w:val="00A01A36"/>
    <w:rsid w:val="00A01A63"/>
    <w:rsid w:val="00A01AA3"/>
    <w:rsid w:val="00A01B51"/>
    <w:rsid w:val="00A01D57"/>
    <w:rsid w:val="00A01DB1"/>
    <w:rsid w:val="00A023D1"/>
    <w:rsid w:val="00A02B6E"/>
    <w:rsid w:val="00A02C09"/>
    <w:rsid w:val="00A0341A"/>
    <w:rsid w:val="00A034C4"/>
    <w:rsid w:val="00A03A41"/>
    <w:rsid w:val="00A03A83"/>
    <w:rsid w:val="00A03AC9"/>
    <w:rsid w:val="00A03ADA"/>
    <w:rsid w:val="00A03BFF"/>
    <w:rsid w:val="00A03DAF"/>
    <w:rsid w:val="00A04291"/>
    <w:rsid w:val="00A0466D"/>
    <w:rsid w:val="00A046E8"/>
    <w:rsid w:val="00A050CD"/>
    <w:rsid w:val="00A05626"/>
    <w:rsid w:val="00A057C5"/>
    <w:rsid w:val="00A05C1A"/>
    <w:rsid w:val="00A05DE7"/>
    <w:rsid w:val="00A06074"/>
    <w:rsid w:val="00A061FC"/>
    <w:rsid w:val="00A06589"/>
    <w:rsid w:val="00A06F49"/>
    <w:rsid w:val="00A06F8C"/>
    <w:rsid w:val="00A078DE"/>
    <w:rsid w:val="00A07909"/>
    <w:rsid w:val="00A07D33"/>
    <w:rsid w:val="00A10442"/>
    <w:rsid w:val="00A10708"/>
    <w:rsid w:val="00A108B5"/>
    <w:rsid w:val="00A10B4A"/>
    <w:rsid w:val="00A10F7E"/>
    <w:rsid w:val="00A1126A"/>
    <w:rsid w:val="00A113C9"/>
    <w:rsid w:val="00A11520"/>
    <w:rsid w:val="00A1182D"/>
    <w:rsid w:val="00A11953"/>
    <w:rsid w:val="00A11A70"/>
    <w:rsid w:val="00A11B5F"/>
    <w:rsid w:val="00A11CA9"/>
    <w:rsid w:val="00A11EAB"/>
    <w:rsid w:val="00A11FCC"/>
    <w:rsid w:val="00A12015"/>
    <w:rsid w:val="00A120E8"/>
    <w:rsid w:val="00A12348"/>
    <w:rsid w:val="00A12AD5"/>
    <w:rsid w:val="00A12FBD"/>
    <w:rsid w:val="00A135FF"/>
    <w:rsid w:val="00A13697"/>
    <w:rsid w:val="00A140DA"/>
    <w:rsid w:val="00A142EF"/>
    <w:rsid w:val="00A14316"/>
    <w:rsid w:val="00A14B9B"/>
    <w:rsid w:val="00A14DCA"/>
    <w:rsid w:val="00A14FFB"/>
    <w:rsid w:val="00A15281"/>
    <w:rsid w:val="00A15610"/>
    <w:rsid w:val="00A1565E"/>
    <w:rsid w:val="00A1577D"/>
    <w:rsid w:val="00A15A67"/>
    <w:rsid w:val="00A15D25"/>
    <w:rsid w:val="00A16CFC"/>
    <w:rsid w:val="00A16DC1"/>
    <w:rsid w:val="00A1727B"/>
    <w:rsid w:val="00A17349"/>
    <w:rsid w:val="00A1752E"/>
    <w:rsid w:val="00A1796E"/>
    <w:rsid w:val="00A17A3C"/>
    <w:rsid w:val="00A17AC2"/>
    <w:rsid w:val="00A17B11"/>
    <w:rsid w:val="00A2024E"/>
    <w:rsid w:val="00A20531"/>
    <w:rsid w:val="00A20557"/>
    <w:rsid w:val="00A20BD0"/>
    <w:rsid w:val="00A210B0"/>
    <w:rsid w:val="00A216C6"/>
    <w:rsid w:val="00A21D03"/>
    <w:rsid w:val="00A221BA"/>
    <w:rsid w:val="00A221BE"/>
    <w:rsid w:val="00A22342"/>
    <w:rsid w:val="00A22741"/>
    <w:rsid w:val="00A231BA"/>
    <w:rsid w:val="00A231D4"/>
    <w:rsid w:val="00A23CC2"/>
    <w:rsid w:val="00A24261"/>
    <w:rsid w:val="00A24264"/>
    <w:rsid w:val="00A244D9"/>
    <w:rsid w:val="00A24502"/>
    <w:rsid w:val="00A24B59"/>
    <w:rsid w:val="00A24CC9"/>
    <w:rsid w:val="00A24ECD"/>
    <w:rsid w:val="00A26580"/>
    <w:rsid w:val="00A26718"/>
    <w:rsid w:val="00A26760"/>
    <w:rsid w:val="00A26822"/>
    <w:rsid w:val="00A268FF"/>
    <w:rsid w:val="00A2694F"/>
    <w:rsid w:val="00A26ACE"/>
    <w:rsid w:val="00A26B2F"/>
    <w:rsid w:val="00A270FB"/>
    <w:rsid w:val="00A27149"/>
    <w:rsid w:val="00A2726D"/>
    <w:rsid w:val="00A2754E"/>
    <w:rsid w:val="00A278D0"/>
    <w:rsid w:val="00A279C7"/>
    <w:rsid w:val="00A27A13"/>
    <w:rsid w:val="00A27BBA"/>
    <w:rsid w:val="00A27D19"/>
    <w:rsid w:val="00A27EA2"/>
    <w:rsid w:val="00A27F14"/>
    <w:rsid w:val="00A30414"/>
    <w:rsid w:val="00A3064F"/>
    <w:rsid w:val="00A30969"/>
    <w:rsid w:val="00A30A3B"/>
    <w:rsid w:val="00A30BB1"/>
    <w:rsid w:val="00A30D12"/>
    <w:rsid w:val="00A30FB6"/>
    <w:rsid w:val="00A3152E"/>
    <w:rsid w:val="00A31686"/>
    <w:rsid w:val="00A316C6"/>
    <w:rsid w:val="00A31B0A"/>
    <w:rsid w:val="00A3287D"/>
    <w:rsid w:val="00A32998"/>
    <w:rsid w:val="00A32A89"/>
    <w:rsid w:val="00A32FFA"/>
    <w:rsid w:val="00A33007"/>
    <w:rsid w:val="00A3368F"/>
    <w:rsid w:val="00A33754"/>
    <w:rsid w:val="00A33902"/>
    <w:rsid w:val="00A3399F"/>
    <w:rsid w:val="00A33FD3"/>
    <w:rsid w:val="00A342EB"/>
    <w:rsid w:val="00A3459A"/>
    <w:rsid w:val="00A345A0"/>
    <w:rsid w:val="00A34B6A"/>
    <w:rsid w:val="00A34C38"/>
    <w:rsid w:val="00A34D82"/>
    <w:rsid w:val="00A34FA5"/>
    <w:rsid w:val="00A35390"/>
    <w:rsid w:val="00A353AC"/>
    <w:rsid w:val="00A35A11"/>
    <w:rsid w:val="00A35C0C"/>
    <w:rsid w:val="00A35F34"/>
    <w:rsid w:val="00A36352"/>
    <w:rsid w:val="00A36529"/>
    <w:rsid w:val="00A3653A"/>
    <w:rsid w:val="00A365D7"/>
    <w:rsid w:val="00A3679C"/>
    <w:rsid w:val="00A3681E"/>
    <w:rsid w:val="00A3687F"/>
    <w:rsid w:val="00A36D34"/>
    <w:rsid w:val="00A36F20"/>
    <w:rsid w:val="00A3778C"/>
    <w:rsid w:val="00A377B2"/>
    <w:rsid w:val="00A3788F"/>
    <w:rsid w:val="00A37B1D"/>
    <w:rsid w:val="00A37B28"/>
    <w:rsid w:val="00A37CB8"/>
    <w:rsid w:val="00A37D1F"/>
    <w:rsid w:val="00A37ECD"/>
    <w:rsid w:val="00A4092D"/>
    <w:rsid w:val="00A40977"/>
    <w:rsid w:val="00A40ADD"/>
    <w:rsid w:val="00A40B0E"/>
    <w:rsid w:val="00A41109"/>
    <w:rsid w:val="00A41157"/>
    <w:rsid w:val="00A4165B"/>
    <w:rsid w:val="00A416A5"/>
    <w:rsid w:val="00A41724"/>
    <w:rsid w:val="00A41879"/>
    <w:rsid w:val="00A41B5C"/>
    <w:rsid w:val="00A41B90"/>
    <w:rsid w:val="00A41EB8"/>
    <w:rsid w:val="00A4230E"/>
    <w:rsid w:val="00A42621"/>
    <w:rsid w:val="00A42718"/>
    <w:rsid w:val="00A42743"/>
    <w:rsid w:val="00A427F2"/>
    <w:rsid w:val="00A428ED"/>
    <w:rsid w:val="00A4293E"/>
    <w:rsid w:val="00A42C34"/>
    <w:rsid w:val="00A42D32"/>
    <w:rsid w:val="00A42DB5"/>
    <w:rsid w:val="00A43067"/>
    <w:rsid w:val="00A43A15"/>
    <w:rsid w:val="00A43EEE"/>
    <w:rsid w:val="00A43F1D"/>
    <w:rsid w:val="00A443C3"/>
    <w:rsid w:val="00A445E3"/>
    <w:rsid w:val="00A4474B"/>
    <w:rsid w:val="00A44B6E"/>
    <w:rsid w:val="00A44C25"/>
    <w:rsid w:val="00A44E20"/>
    <w:rsid w:val="00A4540A"/>
    <w:rsid w:val="00A45AE2"/>
    <w:rsid w:val="00A45C1F"/>
    <w:rsid w:val="00A45EC1"/>
    <w:rsid w:val="00A45F73"/>
    <w:rsid w:val="00A464FE"/>
    <w:rsid w:val="00A46566"/>
    <w:rsid w:val="00A46580"/>
    <w:rsid w:val="00A46777"/>
    <w:rsid w:val="00A47054"/>
    <w:rsid w:val="00A47607"/>
    <w:rsid w:val="00A476B3"/>
    <w:rsid w:val="00A476B9"/>
    <w:rsid w:val="00A478B3"/>
    <w:rsid w:val="00A47B96"/>
    <w:rsid w:val="00A47D03"/>
    <w:rsid w:val="00A47FF8"/>
    <w:rsid w:val="00A50268"/>
    <w:rsid w:val="00A504BF"/>
    <w:rsid w:val="00A50767"/>
    <w:rsid w:val="00A5116C"/>
    <w:rsid w:val="00A513D0"/>
    <w:rsid w:val="00A515CA"/>
    <w:rsid w:val="00A51715"/>
    <w:rsid w:val="00A51DB4"/>
    <w:rsid w:val="00A52080"/>
    <w:rsid w:val="00A521FB"/>
    <w:rsid w:val="00A522B6"/>
    <w:rsid w:val="00A522FB"/>
    <w:rsid w:val="00A526E6"/>
    <w:rsid w:val="00A52A20"/>
    <w:rsid w:val="00A52B7B"/>
    <w:rsid w:val="00A52C40"/>
    <w:rsid w:val="00A52CEA"/>
    <w:rsid w:val="00A52E84"/>
    <w:rsid w:val="00A53067"/>
    <w:rsid w:val="00A530DF"/>
    <w:rsid w:val="00A53297"/>
    <w:rsid w:val="00A53588"/>
    <w:rsid w:val="00A536DC"/>
    <w:rsid w:val="00A53BE4"/>
    <w:rsid w:val="00A53C4B"/>
    <w:rsid w:val="00A54484"/>
    <w:rsid w:val="00A54511"/>
    <w:rsid w:val="00A54579"/>
    <w:rsid w:val="00A54675"/>
    <w:rsid w:val="00A54C61"/>
    <w:rsid w:val="00A54CC7"/>
    <w:rsid w:val="00A5510D"/>
    <w:rsid w:val="00A55112"/>
    <w:rsid w:val="00A55150"/>
    <w:rsid w:val="00A55266"/>
    <w:rsid w:val="00A5599D"/>
    <w:rsid w:val="00A55A8D"/>
    <w:rsid w:val="00A55CA0"/>
    <w:rsid w:val="00A55DEF"/>
    <w:rsid w:val="00A56961"/>
    <w:rsid w:val="00A56AFF"/>
    <w:rsid w:val="00A56EDF"/>
    <w:rsid w:val="00A5729A"/>
    <w:rsid w:val="00A57908"/>
    <w:rsid w:val="00A57916"/>
    <w:rsid w:val="00A57991"/>
    <w:rsid w:val="00A57CE5"/>
    <w:rsid w:val="00A57D00"/>
    <w:rsid w:val="00A57F40"/>
    <w:rsid w:val="00A57FD4"/>
    <w:rsid w:val="00A60049"/>
    <w:rsid w:val="00A6026F"/>
    <w:rsid w:val="00A60F4D"/>
    <w:rsid w:val="00A60FD9"/>
    <w:rsid w:val="00A612F1"/>
    <w:rsid w:val="00A6144C"/>
    <w:rsid w:val="00A61A9F"/>
    <w:rsid w:val="00A61AF7"/>
    <w:rsid w:val="00A61B3E"/>
    <w:rsid w:val="00A61FD6"/>
    <w:rsid w:val="00A61FF0"/>
    <w:rsid w:val="00A621CD"/>
    <w:rsid w:val="00A6236A"/>
    <w:rsid w:val="00A625BD"/>
    <w:rsid w:val="00A6283E"/>
    <w:rsid w:val="00A628E0"/>
    <w:rsid w:val="00A62ADA"/>
    <w:rsid w:val="00A62C08"/>
    <w:rsid w:val="00A62C2E"/>
    <w:rsid w:val="00A637B2"/>
    <w:rsid w:val="00A63DAD"/>
    <w:rsid w:val="00A63E1C"/>
    <w:rsid w:val="00A63E71"/>
    <w:rsid w:val="00A64D70"/>
    <w:rsid w:val="00A64EE8"/>
    <w:rsid w:val="00A64F2B"/>
    <w:rsid w:val="00A6505E"/>
    <w:rsid w:val="00A650EB"/>
    <w:rsid w:val="00A6515C"/>
    <w:rsid w:val="00A65298"/>
    <w:rsid w:val="00A65469"/>
    <w:rsid w:val="00A65645"/>
    <w:rsid w:val="00A65B3B"/>
    <w:rsid w:val="00A65B54"/>
    <w:rsid w:val="00A65DA5"/>
    <w:rsid w:val="00A65DD4"/>
    <w:rsid w:val="00A65FE4"/>
    <w:rsid w:val="00A661BB"/>
    <w:rsid w:val="00A664D8"/>
    <w:rsid w:val="00A665FF"/>
    <w:rsid w:val="00A667C2"/>
    <w:rsid w:val="00A66BD3"/>
    <w:rsid w:val="00A66F75"/>
    <w:rsid w:val="00A67043"/>
    <w:rsid w:val="00A674D0"/>
    <w:rsid w:val="00A67A7B"/>
    <w:rsid w:val="00A67AE3"/>
    <w:rsid w:val="00A701D1"/>
    <w:rsid w:val="00A703D2"/>
    <w:rsid w:val="00A705E6"/>
    <w:rsid w:val="00A7070E"/>
    <w:rsid w:val="00A7076B"/>
    <w:rsid w:val="00A708C0"/>
    <w:rsid w:val="00A70C2C"/>
    <w:rsid w:val="00A70C80"/>
    <w:rsid w:val="00A70D7D"/>
    <w:rsid w:val="00A7108B"/>
    <w:rsid w:val="00A711BF"/>
    <w:rsid w:val="00A71961"/>
    <w:rsid w:val="00A719CF"/>
    <w:rsid w:val="00A71A36"/>
    <w:rsid w:val="00A721AA"/>
    <w:rsid w:val="00A72657"/>
    <w:rsid w:val="00A72703"/>
    <w:rsid w:val="00A72C8B"/>
    <w:rsid w:val="00A72DCD"/>
    <w:rsid w:val="00A733FA"/>
    <w:rsid w:val="00A735A4"/>
    <w:rsid w:val="00A736A2"/>
    <w:rsid w:val="00A73850"/>
    <w:rsid w:val="00A73986"/>
    <w:rsid w:val="00A73A99"/>
    <w:rsid w:val="00A73B53"/>
    <w:rsid w:val="00A7443C"/>
    <w:rsid w:val="00A745E3"/>
    <w:rsid w:val="00A74A2E"/>
    <w:rsid w:val="00A74B6A"/>
    <w:rsid w:val="00A75339"/>
    <w:rsid w:val="00A756CB"/>
    <w:rsid w:val="00A75B12"/>
    <w:rsid w:val="00A75D38"/>
    <w:rsid w:val="00A75EF6"/>
    <w:rsid w:val="00A75F05"/>
    <w:rsid w:val="00A7620F"/>
    <w:rsid w:val="00A7640D"/>
    <w:rsid w:val="00A76538"/>
    <w:rsid w:val="00A765A2"/>
    <w:rsid w:val="00A767D0"/>
    <w:rsid w:val="00A768FE"/>
    <w:rsid w:val="00A769B0"/>
    <w:rsid w:val="00A76E99"/>
    <w:rsid w:val="00A770B6"/>
    <w:rsid w:val="00A7744A"/>
    <w:rsid w:val="00A77813"/>
    <w:rsid w:val="00A77B12"/>
    <w:rsid w:val="00A77C9E"/>
    <w:rsid w:val="00A77F4C"/>
    <w:rsid w:val="00A80265"/>
    <w:rsid w:val="00A80A4C"/>
    <w:rsid w:val="00A80F17"/>
    <w:rsid w:val="00A814C2"/>
    <w:rsid w:val="00A817CA"/>
    <w:rsid w:val="00A8180B"/>
    <w:rsid w:val="00A81B3E"/>
    <w:rsid w:val="00A81CDB"/>
    <w:rsid w:val="00A81D59"/>
    <w:rsid w:val="00A81D99"/>
    <w:rsid w:val="00A820E8"/>
    <w:rsid w:val="00A82270"/>
    <w:rsid w:val="00A8228B"/>
    <w:rsid w:val="00A822E1"/>
    <w:rsid w:val="00A8240D"/>
    <w:rsid w:val="00A8248E"/>
    <w:rsid w:val="00A827F2"/>
    <w:rsid w:val="00A82DBB"/>
    <w:rsid w:val="00A82EB2"/>
    <w:rsid w:val="00A83156"/>
    <w:rsid w:val="00A831AC"/>
    <w:rsid w:val="00A83338"/>
    <w:rsid w:val="00A83394"/>
    <w:rsid w:val="00A838E4"/>
    <w:rsid w:val="00A83D23"/>
    <w:rsid w:val="00A83FFC"/>
    <w:rsid w:val="00A84225"/>
    <w:rsid w:val="00A84329"/>
    <w:rsid w:val="00A8450B"/>
    <w:rsid w:val="00A845F7"/>
    <w:rsid w:val="00A8473B"/>
    <w:rsid w:val="00A8492B"/>
    <w:rsid w:val="00A84A76"/>
    <w:rsid w:val="00A84BA0"/>
    <w:rsid w:val="00A84CF9"/>
    <w:rsid w:val="00A84DC9"/>
    <w:rsid w:val="00A84E31"/>
    <w:rsid w:val="00A84E41"/>
    <w:rsid w:val="00A850C5"/>
    <w:rsid w:val="00A8513F"/>
    <w:rsid w:val="00A851B1"/>
    <w:rsid w:val="00A852CE"/>
    <w:rsid w:val="00A855F5"/>
    <w:rsid w:val="00A8563F"/>
    <w:rsid w:val="00A85679"/>
    <w:rsid w:val="00A85D56"/>
    <w:rsid w:val="00A85E1B"/>
    <w:rsid w:val="00A862C0"/>
    <w:rsid w:val="00A86464"/>
    <w:rsid w:val="00A866A0"/>
    <w:rsid w:val="00A86A5B"/>
    <w:rsid w:val="00A86C19"/>
    <w:rsid w:val="00A86D19"/>
    <w:rsid w:val="00A86E3C"/>
    <w:rsid w:val="00A87209"/>
    <w:rsid w:val="00A874A9"/>
    <w:rsid w:val="00A87DD3"/>
    <w:rsid w:val="00A90866"/>
    <w:rsid w:val="00A90875"/>
    <w:rsid w:val="00A90B64"/>
    <w:rsid w:val="00A90BA5"/>
    <w:rsid w:val="00A90CE3"/>
    <w:rsid w:val="00A90DC4"/>
    <w:rsid w:val="00A90FCF"/>
    <w:rsid w:val="00A910A6"/>
    <w:rsid w:val="00A910E8"/>
    <w:rsid w:val="00A91310"/>
    <w:rsid w:val="00A9176B"/>
    <w:rsid w:val="00A918D9"/>
    <w:rsid w:val="00A91C21"/>
    <w:rsid w:val="00A91DBA"/>
    <w:rsid w:val="00A92184"/>
    <w:rsid w:val="00A9227B"/>
    <w:rsid w:val="00A924A5"/>
    <w:rsid w:val="00A92E47"/>
    <w:rsid w:val="00A92FDD"/>
    <w:rsid w:val="00A9318C"/>
    <w:rsid w:val="00A931B5"/>
    <w:rsid w:val="00A933B1"/>
    <w:rsid w:val="00A93766"/>
    <w:rsid w:val="00A939D3"/>
    <w:rsid w:val="00A93A24"/>
    <w:rsid w:val="00A93EF4"/>
    <w:rsid w:val="00A940DD"/>
    <w:rsid w:val="00A9416E"/>
    <w:rsid w:val="00A94634"/>
    <w:rsid w:val="00A94BFF"/>
    <w:rsid w:val="00A94C0A"/>
    <w:rsid w:val="00A94C9A"/>
    <w:rsid w:val="00A94D71"/>
    <w:rsid w:val="00A94F9E"/>
    <w:rsid w:val="00A94FF3"/>
    <w:rsid w:val="00A95037"/>
    <w:rsid w:val="00A95A1C"/>
    <w:rsid w:val="00A95A44"/>
    <w:rsid w:val="00A95C34"/>
    <w:rsid w:val="00A95CF9"/>
    <w:rsid w:val="00A95D4E"/>
    <w:rsid w:val="00A95FA9"/>
    <w:rsid w:val="00A96489"/>
    <w:rsid w:val="00A964A0"/>
    <w:rsid w:val="00A9673E"/>
    <w:rsid w:val="00A96809"/>
    <w:rsid w:val="00A96A29"/>
    <w:rsid w:val="00A96A96"/>
    <w:rsid w:val="00A96D23"/>
    <w:rsid w:val="00A96DA4"/>
    <w:rsid w:val="00A96F57"/>
    <w:rsid w:val="00A96FCA"/>
    <w:rsid w:val="00A97052"/>
    <w:rsid w:val="00A97300"/>
    <w:rsid w:val="00A976BD"/>
    <w:rsid w:val="00A976F7"/>
    <w:rsid w:val="00A97917"/>
    <w:rsid w:val="00A97AAE"/>
    <w:rsid w:val="00A97B36"/>
    <w:rsid w:val="00AA0069"/>
    <w:rsid w:val="00AA0567"/>
    <w:rsid w:val="00AA0A75"/>
    <w:rsid w:val="00AA0BE3"/>
    <w:rsid w:val="00AA11F6"/>
    <w:rsid w:val="00AA13D4"/>
    <w:rsid w:val="00AA184A"/>
    <w:rsid w:val="00AA1C69"/>
    <w:rsid w:val="00AA2015"/>
    <w:rsid w:val="00AA20E5"/>
    <w:rsid w:val="00AA2349"/>
    <w:rsid w:val="00AA2737"/>
    <w:rsid w:val="00AA2A62"/>
    <w:rsid w:val="00AA2FE8"/>
    <w:rsid w:val="00AA305B"/>
    <w:rsid w:val="00AA30FC"/>
    <w:rsid w:val="00AA318C"/>
    <w:rsid w:val="00AA31B2"/>
    <w:rsid w:val="00AA3245"/>
    <w:rsid w:val="00AA33C6"/>
    <w:rsid w:val="00AA33EA"/>
    <w:rsid w:val="00AA34E7"/>
    <w:rsid w:val="00AA3FD7"/>
    <w:rsid w:val="00AA40CC"/>
    <w:rsid w:val="00AA428E"/>
    <w:rsid w:val="00AA435B"/>
    <w:rsid w:val="00AA45CD"/>
    <w:rsid w:val="00AA50A1"/>
    <w:rsid w:val="00AA564A"/>
    <w:rsid w:val="00AA592E"/>
    <w:rsid w:val="00AA656D"/>
    <w:rsid w:val="00AA65F4"/>
    <w:rsid w:val="00AA661F"/>
    <w:rsid w:val="00AA67C8"/>
    <w:rsid w:val="00AA6919"/>
    <w:rsid w:val="00AA6B0B"/>
    <w:rsid w:val="00AA6CB7"/>
    <w:rsid w:val="00AA6E05"/>
    <w:rsid w:val="00AA6EE3"/>
    <w:rsid w:val="00AA6FAA"/>
    <w:rsid w:val="00AA7273"/>
    <w:rsid w:val="00AA7780"/>
    <w:rsid w:val="00AA79AB"/>
    <w:rsid w:val="00AA7E00"/>
    <w:rsid w:val="00AB0124"/>
    <w:rsid w:val="00AB016B"/>
    <w:rsid w:val="00AB0A83"/>
    <w:rsid w:val="00AB0C3C"/>
    <w:rsid w:val="00AB0C58"/>
    <w:rsid w:val="00AB1099"/>
    <w:rsid w:val="00AB125E"/>
    <w:rsid w:val="00AB134A"/>
    <w:rsid w:val="00AB144A"/>
    <w:rsid w:val="00AB15A6"/>
    <w:rsid w:val="00AB168E"/>
    <w:rsid w:val="00AB16BE"/>
    <w:rsid w:val="00AB180C"/>
    <w:rsid w:val="00AB1A22"/>
    <w:rsid w:val="00AB1B6F"/>
    <w:rsid w:val="00AB1FA3"/>
    <w:rsid w:val="00AB2208"/>
    <w:rsid w:val="00AB2524"/>
    <w:rsid w:val="00AB258A"/>
    <w:rsid w:val="00AB296C"/>
    <w:rsid w:val="00AB2B11"/>
    <w:rsid w:val="00AB2D8B"/>
    <w:rsid w:val="00AB31F8"/>
    <w:rsid w:val="00AB323D"/>
    <w:rsid w:val="00AB3296"/>
    <w:rsid w:val="00AB3325"/>
    <w:rsid w:val="00AB3381"/>
    <w:rsid w:val="00AB36FE"/>
    <w:rsid w:val="00AB3A49"/>
    <w:rsid w:val="00AB3C07"/>
    <w:rsid w:val="00AB3C12"/>
    <w:rsid w:val="00AB3E12"/>
    <w:rsid w:val="00AB3E16"/>
    <w:rsid w:val="00AB4254"/>
    <w:rsid w:val="00AB4957"/>
    <w:rsid w:val="00AB4B27"/>
    <w:rsid w:val="00AB4C7D"/>
    <w:rsid w:val="00AB4D3C"/>
    <w:rsid w:val="00AB505E"/>
    <w:rsid w:val="00AB5104"/>
    <w:rsid w:val="00AB519E"/>
    <w:rsid w:val="00AB5538"/>
    <w:rsid w:val="00AB58A9"/>
    <w:rsid w:val="00AB620E"/>
    <w:rsid w:val="00AB66D5"/>
    <w:rsid w:val="00AB6D56"/>
    <w:rsid w:val="00AB73C2"/>
    <w:rsid w:val="00AB7D62"/>
    <w:rsid w:val="00AC049B"/>
    <w:rsid w:val="00AC09B7"/>
    <w:rsid w:val="00AC0C37"/>
    <w:rsid w:val="00AC0E5F"/>
    <w:rsid w:val="00AC1118"/>
    <w:rsid w:val="00AC1415"/>
    <w:rsid w:val="00AC16B2"/>
    <w:rsid w:val="00AC1BDB"/>
    <w:rsid w:val="00AC1D02"/>
    <w:rsid w:val="00AC1EAA"/>
    <w:rsid w:val="00AC22D4"/>
    <w:rsid w:val="00AC2546"/>
    <w:rsid w:val="00AC2674"/>
    <w:rsid w:val="00AC26AA"/>
    <w:rsid w:val="00AC2942"/>
    <w:rsid w:val="00AC2C4B"/>
    <w:rsid w:val="00AC2C77"/>
    <w:rsid w:val="00AC30A6"/>
    <w:rsid w:val="00AC336E"/>
    <w:rsid w:val="00AC33F9"/>
    <w:rsid w:val="00AC3BF5"/>
    <w:rsid w:val="00AC3D29"/>
    <w:rsid w:val="00AC3D7F"/>
    <w:rsid w:val="00AC40DA"/>
    <w:rsid w:val="00AC434E"/>
    <w:rsid w:val="00AC4360"/>
    <w:rsid w:val="00AC45B7"/>
    <w:rsid w:val="00AC4A80"/>
    <w:rsid w:val="00AC4C0C"/>
    <w:rsid w:val="00AC4C39"/>
    <w:rsid w:val="00AC5114"/>
    <w:rsid w:val="00AC5174"/>
    <w:rsid w:val="00AC564C"/>
    <w:rsid w:val="00AC58D8"/>
    <w:rsid w:val="00AC58E0"/>
    <w:rsid w:val="00AC58EF"/>
    <w:rsid w:val="00AC5CF3"/>
    <w:rsid w:val="00AC5D30"/>
    <w:rsid w:val="00AC60DF"/>
    <w:rsid w:val="00AC616B"/>
    <w:rsid w:val="00AC633D"/>
    <w:rsid w:val="00AC651B"/>
    <w:rsid w:val="00AC657F"/>
    <w:rsid w:val="00AC6A30"/>
    <w:rsid w:val="00AC6F2B"/>
    <w:rsid w:val="00AC6F54"/>
    <w:rsid w:val="00AC7677"/>
    <w:rsid w:val="00AC7C64"/>
    <w:rsid w:val="00AC7C81"/>
    <w:rsid w:val="00AC7D9B"/>
    <w:rsid w:val="00AD0474"/>
    <w:rsid w:val="00AD05BC"/>
    <w:rsid w:val="00AD0745"/>
    <w:rsid w:val="00AD0858"/>
    <w:rsid w:val="00AD08BE"/>
    <w:rsid w:val="00AD0909"/>
    <w:rsid w:val="00AD0957"/>
    <w:rsid w:val="00AD0994"/>
    <w:rsid w:val="00AD099F"/>
    <w:rsid w:val="00AD0A81"/>
    <w:rsid w:val="00AD0A9B"/>
    <w:rsid w:val="00AD0DA1"/>
    <w:rsid w:val="00AD0E89"/>
    <w:rsid w:val="00AD113E"/>
    <w:rsid w:val="00AD1692"/>
    <w:rsid w:val="00AD1BEB"/>
    <w:rsid w:val="00AD1DB8"/>
    <w:rsid w:val="00AD2235"/>
    <w:rsid w:val="00AD2430"/>
    <w:rsid w:val="00AD2C24"/>
    <w:rsid w:val="00AD2CB0"/>
    <w:rsid w:val="00AD30AD"/>
    <w:rsid w:val="00AD3422"/>
    <w:rsid w:val="00AD34A2"/>
    <w:rsid w:val="00AD371D"/>
    <w:rsid w:val="00AD3756"/>
    <w:rsid w:val="00AD3842"/>
    <w:rsid w:val="00AD384F"/>
    <w:rsid w:val="00AD3A7D"/>
    <w:rsid w:val="00AD3C14"/>
    <w:rsid w:val="00AD3C1B"/>
    <w:rsid w:val="00AD3E49"/>
    <w:rsid w:val="00AD4A73"/>
    <w:rsid w:val="00AD4BE0"/>
    <w:rsid w:val="00AD4C94"/>
    <w:rsid w:val="00AD4ED6"/>
    <w:rsid w:val="00AD52EC"/>
    <w:rsid w:val="00AD53F0"/>
    <w:rsid w:val="00AD5450"/>
    <w:rsid w:val="00AD54E3"/>
    <w:rsid w:val="00AD5582"/>
    <w:rsid w:val="00AD5593"/>
    <w:rsid w:val="00AD56A4"/>
    <w:rsid w:val="00AD5741"/>
    <w:rsid w:val="00AD5B1D"/>
    <w:rsid w:val="00AD5BBB"/>
    <w:rsid w:val="00AD5ED4"/>
    <w:rsid w:val="00AD5FA6"/>
    <w:rsid w:val="00AD64D3"/>
    <w:rsid w:val="00AD66E7"/>
    <w:rsid w:val="00AD6789"/>
    <w:rsid w:val="00AD68F7"/>
    <w:rsid w:val="00AD6A2E"/>
    <w:rsid w:val="00AD6B87"/>
    <w:rsid w:val="00AD6E8E"/>
    <w:rsid w:val="00AD6F70"/>
    <w:rsid w:val="00AD7151"/>
    <w:rsid w:val="00AD7372"/>
    <w:rsid w:val="00AD7476"/>
    <w:rsid w:val="00AD765F"/>
    <w:rsid w:val="00AD7741"/>
    <w:rsid w:val="00AD7A7A"/>
    <w:rsid w:val="00AD7E7F"/>
    <w:rsid w:val="00AD7FC8"/>
    <w:rsid w:val="00AE0266"/>
    <w:rsid w:val="00AE0271"/>
    <w:rsid w:val="00AE08EC"/>
    <w:rsid w:val="00AE0958"/>
    <w:rsid w:val="00AE09C2"/>
    <w:rsid w:val="00AE0C0F"/>
    <w:rsid w:val="00AE0CBB"/>
    <w:rsid w:val="00AE0E94"/>
    <w:rsid w:val="00AE0EC4"/>
    <w:rsid w:val="00AE116E"/>
    <w:rsid w:val="00AE14EB"/>
    <w:rsid w:val="00AE1B00"/>
    <w:rsid w:val="00AE1D15"/>
    <w:rsid w:val="00AE1D73"/>
    <w:rsid w:val="00AE238E"/>
    <w:rsid w:val="00AE25CD"/>
    <w:rsid w:val="00AE2C62"/>
    <w:rsid w:val="00AE2F05"/>
    <w:rsid w:val="00AE34D9"/>
    <w:rsid w:val="00AE35F7"/>
    <w:rsid w:val="00AE3701"/>
    <w:rsid w:val="00AE3778"/>
    <w:rsid w:val="00AE3822"/>
    <w:rsid w:val="00AE3C52"/>
    <w:rsid w:val="00AE3E0A"/>
    <w:rsid w:val="00AE3E36"/>
    <w:rsid w:val="00AE419F"/>
    <w:rsid w:val="00AE421D"/>
    <w:rsid w:val="00AE4353"/>
    <w:rsid w:val="00AE43CE"/>
    <w:rsid w:val="00AE47E2"/>
    <w:rsid w:val="00AE4985"/>
    <w:rsid w:val="00AE4D21"/>
    <w:rsid w:val="00AE4D7C"/>
    <w:rsid w:val="00AE5060"/>
    <w:rsid w:val="00AE53C8"/>
    <w:rsid w:val="00AE5480"/>
    <w:rsid w:val="00AE5641"/>
    <w:rsid w:val="00AE5713"/>
    <w:rsid w:val="00AE5D3A"/>
    <w:rsid w:val="00AE5E97"/>
    <w:rsid w:val="00AE5F35"/>
    <w:rsid w:val="00AE6071"/>
    <w:rsid w:val="00AE6687"/>
    <w:rsid w:val="00AE66D4"/>
    <w:rsid w:val="00AE676D"/>
    <w:rsid w:val="00AE6ADB"/>
    <w:rsid w:val="00AE70C5"/>
    <w:rsid w:val="00AE715E"/>
    <w:rsid w:val="00AE736E"/>
    <w:rsid w:val="00AE78BC"/>
    <w:rsid w:val="00AE7BA2"/>
    <w:rsid w:val="00AF001D"/>
    <w:rsid w:val="00AF01A2"/>
    <w:rsid w:val="00AF08D4"/>
    <w:rsid w:val="00AF0D51"/>
    <w:rsid w:val="00AF0F88"/>
    <w:rsid w:val="00AF130A"/>
    <w:rsid w:val="00AF13D7"/>
    <w:rsid w:val="00AF1530"/>
    <w:rsid w:val="00AF169B"/>
    <w:rsid w:val="00AF181F"/>
    <w:rsid w:val="00AF19DB"/>
    <w:rsid w:val="00AF1C95"/>
    <w:rsid w:val="00AF2080"/>
    <w:rsid w:val="00AF226D"/>
    <w:rsid w:val="00AF28D1"/>
    <w:rsid w:val="00AF2B73"/>
    <w:rsid w:val="00AF3238"/>
    <w:rsid w:val="00AF3370"/>
    <w:rsid w:val="00AF3486"/>
    <w:rsid w:val="00AF37A9"/>
    <w:rsid w:val="00AF3AB0"/>
    <w:rsid w:val="00AF3CCC"/>
    <w:rsid w:val="00AF4619"/>
    <w:rsid w:val="00AF461E"/>
    <w:rsid w:val="00AF4830"/>
    <w:rsid w:val="00AF4B80"/>
    <w:rsid w:val="00AF542D"/>
    <w:rsid w:val="00AF546A"/>
    <w:rsid w:val="00AF55FD"/>
    <w:rsid w:val="00AF565D"/>
    <w:rsid w:val="00AF5662"/>
    <w:rsid w:val="00AF5CB7"/>
    <w:rsid w:val="00AF5EEB"/>
    <w:rsid w:val="00AF5FAC"/>
    <w:rsid w:val="00AF5FC8"/>
    <w:rsid w:val="00AF6113"/>
    <w:rsid w:val="00AF6469"/>
    <w:rsid w:val="00AF64A7"/>
    <w:rsid w:val="00AF66D4"/>
    <w:rsid w:val="00AF6A38"/>
    <w:rsid w:val="00AF6C45"/>
    <w:rsid w:val="00AF7014"/>
    <w:rsid w:val="00AF712D"/>
    <w:rsid w:val="00AF72CF"/>
    <w:rsid w:val="00AF7339"/>
    <w:rsid w:val="00AF78B7"/>
    <w:rsid w:val="00AF7BFB"/>
    <w:rsid w:val="00B001D0"/>
    <w:rsid w:val="00B004A5"/>
    <w:rsid w:val="00B00730"/>
    <w:rsid w:val="00B0073C"/>
    <w:rsid w:val="00B009D7"/>
    <w:rsid w:val="00B00A46"/>
    <w:rsid w:val="00B00B8D"/>
    <w:rsid w:val="00B00C89"/>
    <w:rsid w:val="00B00DF9"/>
    <w:rsid w:val="00B00FCC"/>
    <w:rsid w:val="00B010AE"/>
    <w:rsid w:val="00B01108"/>
    <w:rsid w:val="00B011DB"/>
    <w:rsid w:val="00B01329"/>
    <w:rsid w:val="00B01469"/>
    <w:rsid w:val="00B0162A"/>
    <w:rsid w:val="00B017FA"/>
    <w:rsid w:val="00B019F2"/>
    <w:rsid w:val="00B01B21"/>
    <w:rsid w:val="00B01C81"/>
    <w:rsid w:val="00B01CE3"/>
    <w:rsid w:val="00B01CF6"/>
    <w:rsid w:val="00B01E2F"/>
    <w:rsid w:val="00B01F0D"/>
    <w:rsid w:val="00B02074"/>
    <w:rsid w:val="00B023A3"/>
    <w:rsid w:val="00B027AC"/>
    <w:rsid w:val="00B027C8"/>
    <w:rsid w:val="00B02B26"/>
    <w:rsid w:val="00B02B90"/>
    <w:rsid w:val="00B02E09"/>
    <w:rsid w:val="00B0315B"/>
    <w:rsid w:val="00B03980"/>
    <w:rsid w:val="00B04E0C"/>
    <w:rsid w:val="00B04FC8"/>
    <w:rsid w:val="00B051EC"/>
    <w:rsid w:val="00B0522C"/>
    <w:rsid w:val="00B05712"/>
    <w:rsid w:val="00B05BBF"/>
    <w:rsid w:val="00B064AC"/>
    <w:rsid w:val="00B06D93"/>
    <w:rsid w:val="00B07267"/>
    <w:rsid w:val="00B0761A"/>
    <w:rsid w:val="00B07E89"/>
    <w:rsid w:val="00B100BF"/>
    <w:rsid w:val="00B10380"/>
    <w:rsid w:val="00B10690"/>
    <w:rsid w:val="00B10798"/>
    <w:rsid w:val="00B10A34"/>
    <w:rsid w:val="00B111C3"/>
    <w:rsid w:val="00B1127D"/>
    <w:rsid w:val="00B1155C"/>
    <w:rsid w:val="00B11637"/>
    <w:rsid w:val="00B116BF"/>
    <w:rsid w:val="00B11714"/>
    <w:rsid w:val="00B11934"/>
    <w:rsid w:val="00B11C9A"/>
    <w:rsid w:val="00B11EC1"/>
    <w:rsid w:val="00B11F3B"/>
    <w:rsid w:val="00B1201D"/>
    <w:rsid w:val="00B12030"/>
    <w:rsid w:val="00B12113"/>
    <w:rsid w:val="00B12213"/>
    <w:rsid w:val="00B12361"/>
    <w:rsid w:val="00B127AE"/>
    <w:rsid w:val="00B1293D"/>
    <w:rsid w:val="00B12B20"/>
    <w:rsid w:val="00B12C33"/>
    <w:rsid w:val="00B12C81"/>
    <w:rsid w:val="00B12E51"/>
    <w:rsid w:val="00B12FF8"/>
    <w:rsid w:val="00B132FD"/>
    <w:rsid w:val="00B1349C"/>
    <w:rsid w:val="00B135B4"/>
    <w:rsid w:val="00B1360A"/>
    <w:rsid w:val="00B13694"/>
    <w:rsid w:val="00B136D4"/>
    <w:rsid w:val="00B139DC"/>
    <w:rsid w:val="00B13C02"/>
    <w:rsid w:val="00B13E81"/>
    <w:rsid w:val="00B13F29"/>
    <w:rsid w:val="00B141E7"/>
    <w:rsid w:val="00B143AF"/>
    <w:rsid w:val="00B1447A"/>
    <w:rsid w:val="00B1473E"/>
    <w:rsid w:val="00B147A4"/>
    <w:rsid w:val="00B1481D"/>
    <w:rsid w:val="00B14C1F"/>
    <w:rsid w:val="00B1522E"/>
    <w:rsid w:val="00B15463"/>
    <w:rsid w:val="00B1555A"/>
    <w:rsid w:val="00B1565F"/>
    <w:rsid w:val="00B159E5"/>
    <w:rsid w:val="00B15B5D"/>
    <w:rsid w:val="00B15C5A"/>
    <w:rsid w:val="00B15C5E"/>
    <w:rsid w:val="00B15CCC"/>
    <w:rsid w:val="00B15D13"/>
    <w:rsid w:val="00B15DC4"/>
    <w:rsid w:val="00B15F17"/>
    <w:rsid w:val="00B1608E"/>
    <w:rsid w:val="00B163DF"/>
    <w:rsid w:val="00B1640F"/>
    <w:rsid w:val="00B1649C"/>
    <w:rsid w:val="00B1662C"/>
    <w:rsid w:val="00B1695F"/>
    <w:rsid w:val="00B16BAE"/>
    <w:rsid w:val="00B16CC3"/>
    <w:rsid w:val="00B1776B"/>
    <w:rsid w:val="00B177FA"/>
    <w:rsid w:val="00B1795C"/>
    <w:rsid w:val="00B179D4"/>
    <w:rsid w:val="00B17DCE"/>
    <w:rsid w:val="00B20195"/>
    <w:rsid w:val="00B201DE"/>
    <w:rsid w:val="00B20604"/>
    <w:rsid w:val="00B206F4"/>
    <w:rsid w:val="00B20974"/>
    <w:rsid w:val="00B20AC6"/>
    <w:rsid w:val="00B20BA7"/>
    <w:rsid w:val="00B20E56"/>
    <w:rsid w:val="00B20F4F"/>
    <w:rsid w:val="00B2104E"/>
    <w:rsid w:val="00B21278"/>
    <w:rsid w:val="00B2181A"/>
    <w:rsid w:val="00B21852"/>
    <w:rsid w:val="00B21884"/>
    <w:rsid w:val="00B218EE"/>
    <w:rsid w:val="00B21F5B"/>
    <w:rsid w:val="00B22170"/>
    <w:rsid w:val="00B22374"/>
    <w:rsid w:val="00B223F1"/>
    <w:rsid w:val="00B224A2"/>
    <w:rsid w:val="00B228C2"/>
    <w:rsid w:val="00B23174"/>
    <w:rsid w:val="00B2324E"/>
    <w:rsid w:val="00B235AF"/>
    <w:rsid w:val="00B236EA"/>
    <w:rsid w:val="00B23723"/>
    <w:rsid w:val="00B24139"/>
    <w:rsid w:val="00B24BD2"/>
    <w:rsid w:val="00B24BDB"/>
    <w:rsid w:val="00B24C69"/>
    <w:rsid w:val="00B253B5"/>
    <w:rsid w:val="00B253E0"/>
    <w:rsid w:val="00B25AAF"/>
    <w:rsid w:val="00B26082"/>
    <w:rsid w:val="00B264E3"/>
    <w:rsid w:val="00B2686B"/>
    <w:rsid w:val="00B26B39"/>
    <w:rsid w:val="00B26D00"/>
    <w:rsid w:val="00B26D67"/>
    <w:rsid w:val="00B26FE2"/>
    <w:rsid w:val="00B2712C"/>
    <w:rsid w:val="00B2726B"/>
    <w:rsid w:val="00B27977"/>
    <w:rsid w:val="00B27AC8"/>
    <w:rsid w:val="00B27CC7"/>
    <w:rsid w:val="00B30207"/>
    <w:rsid w:val="00B303FE"/>
    <w:rsid w:val="00B304EC"/>
    <w:rsid w:val="00B30868"/>
    <w:rsid w:val="00B30E31"/>
    <w:rsid w:val="00B30F6E"/>
    <w:rsid w:val="00B3121B"/>
    <w:rsid w:val="00B313D1"/>
    <w:rsid w:val="00B314FF"/>
    <w:rsid w:val="00B31842"/>
    <w:rsid w:val="00B319E6"/>
    <w:rsid w:val="00B31E44"/>
    <w:rsid w:val="00B31EAC"/>
    <w:rsid w:val="00B31F12"/>
    <w:rsid w:val="00B322E9"/>
    <w:rsid w:val="00B3241C"/>
    <w:rsid w:val="00B3278D"/>
    <w:rsid w:val="00B32C49"/>
    <w:rsid w:val="00B32D8F"/>
    <w:rsid w:val="00B330DA"/>
    <w:rsid w:val="00B333EF"/>
    <w:rsid w:val="00B3368B"/>
    <w:rsid w:val="00B3388B"/>
    <w:rsid w:val="00B339B2"/>
    <w:rsid w:val="00B33E2F"/>
    <w:rsid w:val="00B340AC"/>
    <w:rsid w:val="00B342B2"/>
    <w:rsid w:val="00B34364"/>
    <w:rsid w:val="00B344E7"/>
    <w:rsid w:val="00B345C2"/>
    <w:rsid w:val="00B34782"/>
    <w:rsid w:val="00B34962"/>
    <w:rsid w:val="00B357CA"/>
    <w:rsid w:val="00B35804"/>
    <w:rsid w:val="00B359B0"/>
    <w:rsid w:val="00B35A4F"/>
    <w:rsid w:val="00B35BCE"/>
    <w:rsid w:val="00B35C6C"/>
    <w:rsid w:val="00B360FB"/>
    <w:rsid w:val="00B36208"/>
    <w:rsid w:val="00B365B2"/>
    <w:rsid w:val="00B36696"/>
    <w:rsid w:val="00B36925"/>
    <w:rsid w:val="00B369EC"/>
    <w:rsid w:val="00B36A75"/>
    <w:rsid w:val="00B36C7E"/>
    <w:rsid w:val="00B37DB5"/>
    <w:rsid w:val="00B37E98"/>
    <w:rsid w:val="00B37FB0"/>
    <w:rsid w:val="00B40186"/>
    <w:rsid w:val="00B401A1"/>
    <w:rsid w:val="00B4108B"/>
    <w:rsid w:val="00B41462"/>
    <w:rsid w:val="00B418B5"/>
    <w:rsid w:val="00B4193B"/>
    <w:rsid w:val="00B41C88"/>
    <w:rsid w:val="00B41DB7"/>
    <w:rsid w:val="00B41E37"/>
    <w:rsid w:val="00B41ED6"/>
    <w:rsid w:val="00B4218E"/>
    <w:rsid w:val="00B422D5"/>
    <w:rsid w:val="00B422F2"/>
    <w:rsid w:val="00B4249B"/>
    <w:rsid w:val="00B424A2"/>
    <w:rsid w:val="00B42991"/>
    <w:rsid w:val="00B42B04"/>
    <w:rsid w:val="00B42BD9"/>
    <w:rsid w:val="00B433A6"/>
    <w:rsid w:val="00B434EA"/>
    <w:rsid w:val="00B43639"/>
    <w:rsid w:val="00B436E2"/>
    <w:rsid w:val="00B43735"/>
    <w:rsid w:val="00B43C66"/>
    <w:rsid w:val="00B43CDF"/>
    <w:rsid w:val="00B4420A"/>
    <w:rsid w:val="00B4459C"/>
    <w:rsid w:val="00B44663"/>
    <w:rsid w:val="00B44737"/>
    <w:rsid w:val="00B44969"/>
    <w:rsid w:val="00B44CC3"/>
    <w:rsid w:val="00B44F99"/>
    <w:rsid w:val="00B4503B"/>
    <w:rsid w:val="00B45718"/>
    <w:rsid w:val="00B45791"/>
    <w:rsid w:val="00B45B65"/>
    <w:rsid w:val="00B45C15"/>
    <w:rsid w:val="00B45C74"/>
    <w:rsid w:val="00B460A2"/>
    <w:rsid w:val="00B4629B"/>
    <w:rsid w:val="00B463BA"/>
    <w:rsid w:val="00B466AF"/>
    <w:rsid w:val="00B467DE"/>
    <w:rsid w:val="00B46A30"/>
    <w:rsid w:val="00B46B32"/>
    <w:rsid w:val="00B46C9D"/>
    <w:rsid w:val="00B46F2E"/>
    <w:rsid w:val="00B47273"/>
    <w:rsid w:val="00B47B4C"/>
    <w:rsid w:val="00B47D9D"/>
    <w:rsid w:val="00B47FC7"/>
    <w:rsid w:val="00B502ED"/>
    <w:rsid w:val="00B50734"/>
    <w:rsid w:val="00B50D31"/>
    <w:rsid w:val="00B51052"/>
    <w:rsid w:val="00B5116D"/>
    <w:rsid w:val="00B51496"/>
    <w:rsid w:val="00B51911"/>
    <w:rsid w:val="00B51CCD"/>
    <w:rsid w:val="00B51D0C"/>
    <w:rsid w:val="00B52262"/>
    <w:rsid w:val="00B52581"/>
    <w:rsid w:val="00B526F8"/>
    <w:rsid w:val="00B52792"/>
    <w:rsid w:val="00B528A0"/>
    <w:rsid w:val="00B52986"/>
    <w:rsid w:val="00B53123"/>
    <w:rsid w:val="00B538AE"/>
    <w:rsid w:val="00B53DB4"/>
    <w:rsid w:val="00B53DC6"/>
    <w:rsid w:val="00B53E54"/>
    <w:rsid w:val="00B53F09"/>
    <w:rsid w:val="00B542B7"/>
    <w:rsid w:val="00B5456C"/>
    <w:rsid w:val="00B54744"/>
    <w:rsid w:val="00B549AF"/>
    <w:rsid w:val="00B54B58"/>
    <w:rsid w:val="00B54F7A"/>
    <w:rsid w:val="00B55013"/>
    <w:rsid w:val="00B5540E"/>
    <w:rsid w:val="00B5551C"/>
    <w:rsid w:val="00B55541"/>
    <w:rsid w:val="00B55693"/>
    <w:rsid w:val="00B55903"/>
    <w:rsid w:val="00B55BE4"/>
    <w:rsid w:val="00B55CF4"/>
    <w:rsid w:val="00B55E94"/>
    <w:rsid w:val="00B567D8"/>
    <w:rsid w:val="00B568C9"/>
    <w:rsid w:val="00B56909"/>
    <w:rsid w:val="00B56935"/>
    <w:rsid w:val="00B56C11"/>
    <w:rsid w:val="00B56DCC"/>
    <w:rsid w:val="00B56DE0"/>
    <w:rsid w:val="00B57321"/>
    <w:rsid w:val="00B57450"/>
    <w:rsid w:val="00B577C3"/>
    <w:rsid w:val="00B57841"/>
    <w:rsid w:val="00B57B4F"/>
    <w:rsid w:val="00B60760"/>
    <w:rsid w:val="00B609E8"/>
    <w:rsid w:val="00B60C44"/>
    <w:rsid w:val="00B60D1F"/>
    <w:rsid w:val="00B60F3F"/>
    <w:rsid w:val="00B614CE"/>
    <w:rsid w:val="00B614F2"/>
    <w:rsid w:val="00B617D3"/>
    <w:rsid w:val="00B6195D"/>
    <w:rsid w:val="00B62269"/>
    <w:rsid w:val="00B625DF"/>
    <w:rsid w:val="00B627CF"/>
    <w:rsid w:val="00B6295D"/>
    <w:rsid w:val="00B62A5F"/>
    <w:rsid w:val="00B62B20"/>
    <w:rsid w:val="00B6325E"/>
    <w:rsid w:val="00B6377C"/>
    <w:rsid w:val="00B637D3"/>
    <w:rsid w:val="00B63CCB"/>
    <w:rsid w:val="00B64025"/>
    <w:rsid w:val="00B641C5"/>
    <w:rsid w:val="00B64559"/>
    <w:rsid w:val="00B64761"/>
    <w:rsid w:val="00B64BA5"/>
    <w:rsid w:val="00B65125"/>
    <w:rsid w:val="00B65489"/>
    <w:rsid w:val="00B65598"/>
    <w:rsid w:val="00B6570B"/>
    <w:rsid w:val="00B65811"/>
    <w:rsid w:val="00B6633E"/>
    <w:rsid w:val="00B6665C"/>
    <w:rsid w:val="00B66751"/>
    <w:rsid w:val="00B6687F"/>
    <w:rsid w:val="00B66B89"/>
    <w:rsid w:val="00B66CF7"/>
    <w:rsid w:val="00B66F02"/>
    <w:rsid w:val="00B67113"/>
    <w:rsid w:val="00B674F1"/>
    <w:rsid w:val="00B67730"/>
    <w:rsid w:val="00B67C76"/>
    <w:rsid w:val="00B67FA7"/>
    <w:rsid w:val="00B70004"/>
    <w:rsid w:val="00B7008A"/>
    <w:rsid w:val="00B7020F"/>
    <w:rsid w:val="00B706E7"/>
    <w:rsid w:val="00B70862"/>
    <w:rsid w:val="00B70ABE"/>
    <w:rsid w:val="00B70CE5"/>
    <w:rsid w:val="00B70D87"/>
    <w:rsid w:val="00B7155A"/>
    <w:rsid w:val="00B715C2"/>
    <w:rsid w:val="00B71D76"/>
    <w:rsid w:val="00B71DB3"/>
    <w:rsid w:val="00B72461"/>
    <w:rsid w:val="00B72724"/>
    <w:rsid w:val="00B7286B"/>
    <w:rsid w:val="00B72BD8"/>
    <w:rsid w:val="00B72D2A"/>
    <w:rsid w:val="00B73225"/>
    <w:rsid w:val="00B73367"/>
    <w:rsid w:val="00B73457"/>
    <w:rsid w:val="00B73488"/>
    <w:rsid w:val="00B73C91"/>
    <w:rsid w:val="00B7400E"/>
    <w:rsid w:val="00B74042"/>
    <w:rsid w:val="00B7410F"/>
    <w:rsid w:val="00B74460"/>
    <w:rsid w:val="00B747A5"/>
    <w:rsid w:val="00B74925"/>
    <w:rsid w:val="00B749AF"/>
    <w:rsid w:val="00B74A96"/>
    <w:rsid w:val="00B74E77"/>
    <w:rsid w:val="00B74ED0"/>
    <w:rsid w:val="00B74FA1"/>
    <w:rsid w:val="00B75089"/>
    <w:rsid w:val="00B751E0"/>
    <w:rsid w:val="00B75405"/>
    <w:rsid w:val="00B75657"/>
    <w:rsid w:val="00B7582D"/>
    <w:rsid w:val="00B75AC9"/>
    <w:rsid w:val="00B75AEE"/>
    <w:rsid w:val="00B75DBA"/>
    <w:rsid w:val="00B75E30"/>
    <w:rsid w:val="00B75E70"/>
    <w:rsid w:val="00B76255"/>
    <w:rsid w:val="00B76404"/>
    <w:rsid w:val="00B768D4"/>
    <w:rsid w:val="00B76988"/>
    <w:rsid w:val="00B769E2"/>
    <w:rsid w:val="00B76B6A"/>
    <w:rsid w:val="00B76EA3"/>
    <w:rsid w:val="00B76EB5"/>
    <w:rsid w:val="00B77355"/>
    <w:rsid w:val="00B773DA"/>
    <w:rsid w:val="00B77535"/>
    <w:rsid w:val="00B77587"/>
    <w:rsid w:val="00B775B9"/>
    <w:rsid w:val="00B77E13"/>
    <w:rsid w:val="00B77EEF"/>
    <w:rsid w:val="00B801B5"/>
    <w:rsid w:val="00B8028B"/>
    <w:rsid w:val="00B80387"/>
    <w:rsid w:val="00B806C8"/>
    <w:rsid w:val="00B80A4F"/>
    <w:rsid w:val="00B80B94"/>
    <w:rsid w:val="00B80D78"/>
    <w:rsid w:val="00B80DEF"/>
    <w:rsid w:val="00B8159D"/>
    <w:rsid w:val="00B81A37"/>
    <w:rsid w:val="00B81B0D"/>
    <w:rsid w:val="00B81D5A"/>
    <w:rsid w:val="00B81EB0"/>
    <w:rsid w:val="00B822D5"/>
    <w:rsid w:val="00B825E4"/>
    <w:rsid w:val="00B82623"/>
    <w:rsid w:val="00B828C8"/>
    <w:rsid w:val="00B82B99"/>
    <w:rsid w:val="00B82F55"/>
    <w:rsid w:val="00B83025"/>
    <w:rsid w:val="00B8398D"/>
    <w:rsid w:val="00B844AD"/>
    <w:rsid w:val="00B8454D"/>
    <w:rsid w:val="00B846EE"/>
    <w:rsid w:val="00B84939"/>
    <w:rsid w:val="00B84974"/>
    <w:rsid w:val="00B84A4E"/>
    <w:rsid w:val="00B84BDE"/>
    <w:rsid w:val="00B84BF1"/>
    <w:rsid w:val="00B84C07"/>
    <w:rsid w:val="00B85001"/>
    <w:rsid w:val="00B853A7"/>
    <w:rsid w:val="00B85644"/>
    <w:rsid w:val="00B85BE6"/>
    <w:rsid w:val="00B85C24"/>
    <w:rsid w:val="00B85CBF"/>
    <w:rsid w:val="00B85E38"/>
    <w:rsid w:val="00B85E64"/>
    <w:rsid w:val="00B8646E"/>
    <w:rsid w:val="00B866F0"/>
    <w:rsid w:val="00B8687B"/>
    <w:rsid w:val="00B86C75"/>
    <w:rsid w:val="00B86D34"/>
    <w:rsid w:val="00B86E7F"/>
    <w:rsid w:val="00B86E86"/>
    <w:rsid w:val="00B86F61"/>
    <w:rsid w:val="00B86FC5"/>
    <w:rsid w:val="00B87160"/>
    <w:rsid w:val="00B8757E"/>
    <w:rsid w:val="00B87678"/>
    <w:rsid w:val="00B878B9"/>
    <w:rsid w:val="00B879A3"/>
    <w:rsid w:val="00B87B46"/>
    <w:rsid w:val="00B87F82"/>
    <w:rsid w:val="00B90030"/>
    <w:rsid w:val="00B9033D"/>
    <w:rsid w:val="00B9053D"/>
    <w:rsid w:val="00B9060E"/>
    <w:rsid w:val="00B9073D"/>
    <w:rsid w:val="00B90CDF"/>
    <w:rsid w:val="00B9100F"/>
    <w:rsid w:val="00B910C0"/>
    <w:rsid w:val="00B912EA"/>
    <w:rsid w:val="00B913AF"/>
    <w:rsid w:val="00B9144A"/>
    <w:rsid w:val="00B91C8C"/>
    <w:rsid w:val="00B91E1E"/>
    <w:rsid w:val="00B92192"/>
    <w:rsid w:val="00B923A7"/>
    <w:rsid w:val="00B923B9"/>
    <w:rsid w:val="00B9262C"/>
    <w:rsid w:val="00B9262F"/>
    <w:rsid w:val="00B9283B"/>
    <w:rsid w:val="00B928E7"/>
    <w:rsid w:val="00B92A01"/>
    <w:rsid w:val="00B934FB"/>
    <w:rsid w:val="00B93545"/>
    <w:rsid w:val="00B93689"/>
    <w:rsid w:val="00B93765"/>
    <w:rsid w:val="00B938D5"/>
    <w:rsid w:val="00B9396C"/>
    <w:rsid w:val="00B93E31"/>
    <w:rsid w:val="00B93EAA"/>
    <w:rsid w:val="00B93FFC"/>
    <w:rsid w:val="00B94347"/>
    <w:rsid w:val="00B943A2"/>
    <w:rsid w:val="00B947D3"/>
    <w:rsid w:val="00B94836"/>
    <w:rsid w:val="00B9492F"/>
    <w:rsid w:val="00B9498B"/>
    <w:rsid w:val="00B950DC"/>
    <w:rsid w:val="00B950EF"/>
    <w:rsid w:val="00B9548F"/>
    <w:rsid w:val="00B9559F"/>
    <w:rsid w:val="00B95A40"/>
    <w:rsid w:val="00B95BFB"/>
    <w:rsid w:val="00B960EA"/>
    <w:rsid w:val="00B96215"/>
    <w:rsid w:val="00B962D8"/>
    <w:rsid w:val="00B9630A"/>
    <w:rsid w:val="00B96893"/>
    <w:rsid w:val="00B96C9D"/>
    <w:rsid w:val="00B971CC"/>
    <w:rsid w:val="00B9789A"/>
    <w:rsid w:val="00B97BF5"/>
    <w:rsid w:val="00BA0064"/>
    <w:rsid w:val="00BA036B"/>
    <w:rsid w:val="00BA0A0C"/>
    <w:rsid w:val="00BA1053"/>
    <w:rsid w:val="00BA1108"/>
    <w:rsid w:val="00BA16F6"/>
    <w:rsid w:val="00BA1728"/>
    <w:rsid w:val="00BA187D"/>
    <w:rsid w:val="00BA1910"/>
    <w:rsid w:val="00BA19F4"/>
    <w:rsid w:val="00BA1A4B"/>
    <w:rsid w:val="00BA1CE6"/>
    <w:rsid w:val="00BA1EC7"/>
    <w:rsid w:val="00BA1F37"/>
    <w:rsid w:val="00BA1F58"/>
    <w:rsid w:val="00BA2292"/>
    <w:rsid w:val="00BA22C7"/>
    <w:rsid w:val="00BA27BC"/>
    <w:rsid w:val="00BA29AD"/>
    <w:rsid w:val="00BA2C78"/>
    <w:rsid w:val="00BA2D55"/>
    <w:rsid w:val="00BA329C"/>
    <w:rsid w:val="00BA36B1"/>
    <w:rsid w:val="00BA3934"/>
    <w:rsid w:val="00BA39F1"/>
    <w:rsid w:val="00BA429C"/>
    <w:rsid w:val="00BA42A6"/>
    <w:rsid w:val="00BA4788"/>
    <w:rsid w:val="00BA492B"/>
    <w:rsid w:val="00BA4A57"/>
    <w:rsid w:val="00BA4C5B"/>
    <w:rsid w:val="00BA509F"/>
    <w:rsid w:val="00BA5603"/>
    <w:rsid w:val="00BA569A"/>
    <w:rsid w:val="00BA56D7"/>
    <w:rsid w:val="00BA5C84"/>
    <w:rsid w:val="00BA5D0A"/>
    <w:rsid w:val="00BA5FFC"/>
    <w:rsid w:val="00BA63E2"/>
    <w:rsid w:val="00BA6571"/>
    <w:rsid w:val="00BA6751"/>
    <w:rsid w:val="00BA6F85"/>
    <w:rsid w:val="00BA7033"/>
    <w:rsid w:val="00BA736E"/>
    <w:rsid w:val="00BA7443"/>
    <w:rsid w:val="00BB0086"/>
    <w:rsid w:val="00BB0286"/>
    <w:rsid w:val="00BB05A0"/>
    <w:rsid w:val="00BB0624"/>
    <w:rsid w:val="00BB0AA6"/>
    <w:rsid w:val="00BB0D12"/>
    <w:rsid w:val="00BB0D3D"/>
    <w:rsid w:val="00BB0D9A"/>
    <w:rsid w:val="00BB0E86"/>
    <w:rsid w:val="00BB1049"/>
    <w:rsid w:val="00BB16FC"/>
    <w:rsid w:val="00BB1A15"/>
    <w:rsid w:val="00BB1B8C"/>
    <w:rsid w:val="00BB1E42"/>
    <w:rsid w:val="00BB2159"/>
    <w:rsid w:val="00BB238F"/>
    <w:rsid w:val="00BB2584"/>
    <w:rsid w:val="00BB2724"/>
    <w:rsid w:val="00BB27C5"/>
    <w:rsid w:val="00BB2908"/>
    <w:rsid w:val="00BB299B"/>
    <w:rsid w:val="00BB29C1"/>
    <w:rsid w:val="00BB29CE"/>
    <w:rsid w:val="00BB2A3F"/>
    <w:rsid w:val="00BB2CE6"/>
    <w:rsid w:val="00BB33A4"/>
    <w:rsid w:val="00BB3490"/>
    <w:rsid w:val="00BB3755"/>
    <w:rsid w:val="00BB379D"/>
    <w:rsid w:val="00BB383B"/>
    <w:rsid w:val="00BB3FB9"/>
    <w:rsid w:val="00BB3FD7"/>
    <w:rsid w:val="00BB41BB"/>
    <w:rsid w:val="00BB4C81"/>
    <w:rsid w:val="00BB50BB"/>
    <w:rsid w:val="00BB5D36"/>
    <w:rsid w:val="00BB5EAE"/>
    <w:rsid w:val="00BB65E8"/>
    <w:rsid w:val="00BB68A5"/>
    <w:rsid w:val="00BB695A"/>
    <w:rsid w:val="00BB6B87"/>
    <w:rsid w:val="00BB6EEF"/>
    <w:rsid w:val="00BB7034"/>
    <w:rsid w:val="00BB72A3"/>
    <w:rsid w:val="00BB73A8"/>
    <w:rsid w:val="00BB753E"/>
    <w:rsid w:val="00BB756E"/>
    <w:rsid w:val="00BB7890"/>
    <w:rsid w:val="00BB79B2"/>
    <w:rsid w:val="00BC00D6"/>
    <w:rsid w:val="00BC00F0"/>
    <w:rsid w:val="00BC03D8"/>
    <w:rsid w:val="00BC04CC"/>
    <w:rsid w:val="00BC05C1"/>
    <w:rsid w:val="00BC0666"/>
    <w:rsid w:val="00BC0EBA"/>
    <w:rsid w:val="00BC0EEA"/>
    <w:rsid w:val="00BC111F"/>
    <w:rsid w:val="00BC12A5"/>
    <w:rsid w:val="00BC1580"/>
    <w:rsid w:val="00BC15D9"/>
    <w:rsid w:val="00BC17F0"/>
    <w:rsid w:val="00BC183F"/>
    <w:rsid w:val="00BC1C39"/>
    <w:rsid w:val="00BC241D"/>
    <w:rsid w:val="00BC257F"/>
    <w:rsid w:val="00BC2D44"/>
    <w:rsid w:val="00BC30A7"/>
    <w:rsid w:val="00BC3163"/>
    <w:rsid w:val="00BC35C6"/>
    <w:rsid w:val="00BC3B97"/>
    <w:rsid w:val="00BC3C4B"/>
    <w:rsid w:val="00BC3C9F"/>
    <w:rsid w:val="00BC3E53"/>
    <w:rsid w:val="00BC3EAB"/>
    <w:rsid w:val="00BC4144"/>
    <w:rsid w:val="00BC4147"/>
    <w:rsid w:val="00BC418D"/>
    <w:rsid w:val="00BC4607"/>
    <w:rsid w:val="00BC4ABF"/>
    <w:rsid w:val="00BC4B1E"/>
    <w:rsid w:val="00BC5080"/>
    <w:rsid w:val="00BC5179"/>
    <w:rsid w:val="00BC53C2"/>
    <w:rsid w:val="00BC570D"/>
    <w:rsid w:val="00BC594D"/>
    <w:rsid w:val="00BC5B3B"/>
    <w:rsid w:val="00BC63BE"/>
    <w:rsid w:val="00BC64D9"/>
    <w:rsid w:val="00BC67A7"/>
    <w:rsid w:val="00BC68EF"/>
    <w:rsid w:val="00BC6AA4"/>
    <w:rsid w:val="00BC6BDD"/>
    <w:rsid w:val="00BC6C78"/>
    <w:rsid w:val="00BC6CE1"/>
    <w:rsid w:val="00BC6EE8"/>
    <w:rsid w:val="00BC6FD8"/>
    <w:rsid w:val="00BC70F4"/>
    <w:rsid w:val="00BC732B"/>
    <w:rsid w:val="00BC73ED"/>
    <w:rsid w:val="00BD01F3"/>
    <w:rsid w:val="00BD0722"/>
    <w:rsid w:val="00BD0979"/>
    <w:rsid w:val="00BD0993"/>
    <w:rsid w:val="00BD0D4C"/>
    <w:rsid w:val="00BD0DD1"/>
    <w:rsid w:val="00BD10B1"/>
    <w:rsid w:val="00BD1274"/>
    <w:rsid w:val="00BD1437"/>
    <w:rsid w:val="00BD14FC"/>
    <w:rsid w:val="00BD15A7"/>
    <w:rsid w:val="00BD18BC"/>
    <w:rsid w:val="00BD1CB2"/>
    <w:rsid w:val="00BD2124"/>
    <w:rsid w:val="00BD22AA"/>
    <w:rsid w:val="00BD22B0"/>
    <w:rsid w:val="00BD22D0"/>
    <w:rsid w:val="00BD2BE3"/>
    <w:rsid w:val="00BD32F6"/>
    <w:rsid w:val="00BD391B"/>
    <w:rsid w:val="00BD3D0F"/>
    <w:rsid w:val="00BD4119"/>
    <w:rsid w:val="00BD4294"/>
    <w:rsid w:val="00BD45C5"/>
    <w:rsid w:val="00BD47AC"/>
    <w:rsid w:val="00BD4A77"/>
    <w:rsid w:val="00BD4D9D"/>
    <w:rsid w:val="00BD4E94"/>
    <w:rsid w:val="00BD4F9E"/>
    <w:rsid w:val="00BD5C10"/>
    <w:rsid w:val="00BD5C17"/>
    <w:rsid w:val="00BD62B1"/>
    <w:rsid w:val="00BD6389"/>
    <w:rsid w:val="00BD657A"/>
    <w:rsid w:val="00BD6987"/>
    <w:rsid w:val="00BD6A30"/>
    <w:rsid w:val="00BD6C6D"/>
    <w:rsid w:val="00BD700A"/>
    <w:rsid w:val="00BD7333"/>
    <w:rsid w:val="00BD74E4"/>
    <w:rsid w:val="00BD75ED"/>
    <w:rsid w:val="00BD7B72"/>
    <w:rsid w:val="00BD7C46"/>
    <w:rsid w:val="00BD7D0D"/>
    <w:rsid w:val="00BD7DD7"/>
    <w:rsid w:val="00BE02CC"/>
    <w:rsid w:val="00BE063C"/>
    <w:rsid w:val="00BE0850"/>
    <w:rsid w:val="00BE08B1"/>
    <w:rsid w:val="00BE0A1B"/>
    <w:rsid w:val="00BE0A8D"/>
    <w:rsid w:val="00BE0C78"/>
    <w:rsid w:val="00BE0F8A"/>
    <w:rsid w:val="00BE13C6"/>
    <w:rsid w:val="00BE1500"/>
    <w:rsid w:val="00BE1B92"/>
    <w:rsid w:val="00BE1C03"/>
    <w:rsid w:val="00BE1E82"/>
    <w:rsid w:val="00BE21EB"/>
    <w:rsid w:val="00BE24D7"/>
    <w:rsid w:val="00BE2896"/>
    <w:rsid w:val="00BE318B"/>
    <w:rsid w:val="00BE323F"/>
    <w:rsid w:val="00BE327D"/>
    <w:rsid w:val="00BE3925"/>
    <w:rsid w:val="00BE396A"/>
    <w:rsid w:val="00BE3980"/>
    <w:rsid w:val="00BE40FE"/>
    <w:rsid w:val="00BE42C3"/>
    <w:rsid w:val="00BE447E"/>
    <w:rsid w:val="00BE45E6"/>
    <w:rsid w:val="00BE4666"/>
    <w:rsid w:val="00BE4856"/>
    <w:rsid w:val="00BE49E8"/>
    <w:rsid w:val="00BE4A2E"/>
    <w:rsid w:val="00BE4B3F"/>
    <w:rsid w:val="00BE4C43"/>
    <w:rsid w:val="00BE4E1E"/>
    <w:rsid w:val="00BE4E41"/>
    <w:rsid w:val="00BE5054"/>
    <w:rsid w:val="00BE5846"/>
    <w:rsid w:val="00BE5BA0"/>
    <w:rsid w:val="00BE6115"/>
    <w:rsid w:val="00BE6300"/>
    <w:rsid w:val="00BE672C"/>
    <w:rsid w:val="00BE6865"/>
    <w:rsid w:val="00BE6999"/>
    <w:rsid w:val="00BE6B12"/>
    <w:rsid w:val="00BE6B56"/>
    <w:rsid w:val="00BE6D06"/>
    <w:rsid w:val="00BE6F2B"/>
    <w:rsid w:val="00BE7353"/>
    <w:rsid w:val="00BE7D48"/>
    <w:rsid w:val="00BE7D95"/>
    <w:rsid w:val="00BE7ED2"/>
    <w:rsid w:val="00BF003D"/>
    <w:rsid w:val="00BF0080"/>
    <w:rsid w:val="00BF01B2"/>
    <w:rsid w:val="00BF0230"/>
    <w:rsid w:val="00BF0498"/>
    <w:rsid w:val="00BF0A97"/>
    <w:rsid w:val="00BF1534"/>
    <w:rsid w:val="00BF1626"/>
    <w:rsid w:val="00BF17B0"/>
    <w:rsid w:val="00BF1C4E"/>
    <w:rsid w:val="00BF1F28"/>
    <w:rsid w:val="00BF2AA7"/>
    <w:rsid w:val="00BF2BF1"/>
    <w:rsid w:val="00BF2CB8"/>
    <w:rsid w:val="00BF2DA4"/>
    <w:rsid w:val="00BF2F71"/>
    <w:rsid w:val="00BF314B"/>
    <w:rsid w:val="00BF3608"/>
    <w:rsid w:val="00BF376A"/>
    <w:rsid w:val="00BF37ED"/>
    <w:rsid w:val="00BF414D"/>
    <w:rsid w:val="00BF43B7"/>
    <w:rsid w:val="00BF47F3"/>
    <w:rsid w:val="00BF48A3"/>
    <w:rsid w:val="00BF48AE"/>
    <w:rsid w:val="00BF5195"/>
    <w:rsid w:val="00BF52FB"/>
    <w:rsid w:val="00BF530E"/>
    <w:rsid w:val="00BF54F9"/>
    <w:rsid w:val="00BF5E2C"/>
    <w:rsid w:val="00BF5FC7"/>
    <w:rsid w:val="00BF6289"/>
    <w:rsid w:val="00BF62DC"/>
    <w:rsid w:val="00BF65C4"/>
    <w:rsid w:val="00BF6BD7"/>
    <w:rsid w:val="00BF6CD7"/>
    <w:rsid w:val="00BF6E75"/>
    <w:rsid w:val="00BF7211"/>
    <w:rsid w:val="00BF758E"/>
    <w:rsid w:val="00BF7E38"/>
    <w:rsid w:val="00BF7E3A"/>
    <w:rsid w:val="00BF7F64"/>
    <w:rsid w:val="00C00103"/>
    <w:rsid w:val="00C00128"/>
    <w:rsid w:val="00C0024F"/>
    <w:rsid w:val="00C00978"/>
    <w:rsid w:val="00C00A37"/>
    <w:rsid w:val="00C01517"/>
    <w:rsid w:val="00C0181B"/>
    <w:rsid w:val="00C01A0F"/>
    <w:rsid w:val="00C01ED7"/>
    <w:rsid w:val="00C025CB"/>
    <w:rsid w:val="00C026D0"/>
    <w:rsid w:val="00C02CDF"/>
    <w:rsid w:val="00C0310A"/>
    <w:rsid w:val="00C03326"/>
    <w:rsid w:val="00C0362C"/>
    <w:rsid w:val="00C0366E"/>
    <w:rsid w:val="00C03890"/>
    <w:rsid w:val="00C03CE5"/>
    <w:rsid w:val="00C03F6A"/>
    <w:rsid w:val="00C040DD"/>
    <w:rsid w:val="00C04248"/>
    <w:rsid w:val="00C042DD"/>
    <w:rsid w:val="00C04C9E"/>
    <w:rsid w:val="00C04D3F"/>
    <w:rsid w:val="00C04EE7"/>
    <w:rsid w:val="00C050F5"/>
    <w:rsid w:val="00C05773"/>
    <w:rsid w:val="00C05A97"/>
    <w:rsid w:val="00C05BC3"/>
    <w:rsid w:val="00C05D86"/>
    <w:rsid w:val="00C05E45"/>
    <w:rsid w:val="00C05E58"/>
    <w:rsid w:val="00C061DA"/>
    <w:rsid w:val="00C06285"/>
    <w:rsid w:val="00C062F4"/>
    <w:rsid w:val="00C06519"/>
    <w:rsid w:val="00C065A0"/>
    <w:rsid w:val="00C065CA"/>
    <w:rsid w:val="00C06725"/>
    <w:rsid w:val="00C06C28"/>
    <w:rsid w:val="00C07296"/>
    <w:rsid w:val="00C075B2"/>
    <w:rsid w:val="00C078F7"/>
    <w:rsid w:val="00C07E5F"/>
    <w:rsid w:val="00C100BB"/>
    <w:rsid w:val="00C1051C"/>
    <w:rsid w:val="00C10709"/>
    <w:rsid w:val="00C109F5"/>
    <w:rsid w:val="00C10A60"/>
    <w:rsid w:val="00C10C71"/>
    <w:rsid w:val="00C1110A"/>
    <w:rsid w:val="00C11290"/>
    <w:rsid w:val="00C11324"/>
    <w:rsid w:val="00C11746"/>
    <w:rsid w:val="00C11BE6"/>
    <w:rsid w:val="00C11FFE"/>
    <w:rsid w:val="00C124D3"/>
    <w:rsid w:val="00C126C2"/>
    <w:rsid w:val="00C12741"/>
    <w:rsid w:val="00C12780"/>
    <w:rsid w:val="00C12975"/>
    <w:rsid w:val="00C12A6F"/>
    <w:rsid w:val="00C12BD8"/>
    <w:rsid w:val="00C12FBC"/>
    <w:rsid w:val="00C1302F"/>
    <w:rsid w:val="00C13054"/>
    <w:rsid w:val="00C1306F"/>
    <w:rsid w:val="00C1338E"/>
    <w:rsid w:val="00C1350A"/>
    <w:rsid w:val="00C14017"/>
    <w:rsid w:val="00C145CC"/>
    <w:rsid w:val="00C14601"/>
    <w:rsid w:val="00C14B56"/>
    <w:rsid w:val="00C152C1"/>
    <w:rsid w:val="00C155A2"/>
    <w:rsid w:val="00C15C07"/>
    <w:rsid w:val="00C1638C"/>
    <w:rsid w:val="00C16610"/>
    <w:rsid w:val="00C1664F"/>
    <w:rsid w:val="00C16B6B"/>
    <w:rsid w:val="00C16C49"/>
    <w:rsid w:val="00C16F11"/>
    <w:rsid w:val="00C17698"/>
    <w:rsid w:val="00C178B5"/>
    <w:rsid w:val="00C17CCC"/>
    <w:rsid w:val="00C17F95"/>
    <w:rsid w:val="00C17FC2"/>
    <w:rsid w:val="00C20138"/>
    <w:rsid w:val="00C201DA"/>
    <w:rsid w:val="00C2081E"/>
    <w:rsid w:val="00C208ED"/>
    <w:rsid w:val="00C20CF6"/>
    <w:rsid w:val="00C20EB0"/>
    <w:rsid w:val="00C20ED6"/>
    <w:rsid w:val="00C20FEB"/>
    <w:rsid w:val="00C2125B"/>
    <w:rsid w:val="00C214C8"/>
    <w:rsid w:val="00C214D0"/>
    <w:rsid w:val="00C2161E"/>
    <w:rsid w:val="00C21BCB"/>
    <w:rsid w:val="00C21CFD"/>
    <w:rsid w:val="00C21D96"/>
    <w:rsid w:val="00C21EA9"/>
    <w:rsid w:val="00C21EEC"/>
    <w:rsid w:val="00C22579"/>
    <w:rsid w:val="00C2284C"/>
    <w:rsid w:val="00C22A57"/>
    <w:rsid w:val="00C22BF0"/>
    <w:rsid w:val="00C22E6F"/>
    <w:rsid w:val="00C22EBB"/>
    <w:rsid w:val="00C2326D"/>
    <w:rsid w:val="00C232F6"/>
    <w:rsid w:val="00C23A61"/>
    <w:rsid w:val="00C23F24"/>
    <w:rsid w:val="00C24017"/>
    <w:rsid w:val="00C24BAB"/>
    <w:rsid w:val="00C251F6"/>
    <w:rsid w:val="00C2540B"/>
    <w:rsid w:val="00C2559A"/>
    <w:rsid w:val="00C257D8"/>
    <w:rsid w:val="00C2596B"/>
    <w:rsid w:val="00C25E57"/>
    <w:rsid w:val="00C267E5"/>
    <w:rsid w:val="00C2681A"/>
    <w:rsid w:val="00C269C5"/>
    <w:rsid w:val="00C26BC0"/>
    <w:rsid w:val="00C27012"/>
    <w:rsid w:val="00C27042"/>
    <w:rsid w:val="00C274BE"/>
    <w:rsid w:val="00C27970"/>
    <w:rsid w:val="00C27A2B"/>
    <w:rsid w:val="00C304A9"/>
    <w:rsid w:val="00C304E2"/>
    <w:rsid w:val="00C304EF"/>
    <w:rsid w:val="00C306E8"/>
    <w:rsid w:val="00C308ED"/>
    <w:rsid w:val="00C30A85"/>
    <w:rsid w:val="00C30AD6"/>
    <w:rsid w:val="00C30FB0"/>
    <w:rsid w:val="00C3106F"/>
    <w:rsid w:val="00C31129"/>
    <w:rsid w:val="00C31358"/>
    <w:rsid w:val="00C31930"/>
    <w:rsid w:val="00C31B25"/>
    <w:rsid w:val="00C31CB2"/>
    <w:rsid w:val="00C31D3C"/>
    <w:rsid w:val="00C31DBB"/>
    <w:rsid w:val="00C31E8B"/>
    <w:rsid w:val="00C32309"/>
    <w:rsid w:val="00C32994"/>
    <w:rsid w:val="00C32BBE"/>
    <w:rsid w:val="00C32DCA"/>
    <w:rsid w:val="00C32DFB"/>
    <w:rsid w:val="00C32F20"/>
    <w:rsid w:val="00C32F9C"/>
    <w:rsid w:val="00C3348D"/>
    <w:rsid w:val="00C33957"/>
    <w:rsid w:val="00C33C03"/>
    <w:rsid w:val="00C33CFC"/>
    <w:rsid w:val="00C33E68"/>
    <w:rsid w:val="00C33F1D"/>
    <w:rsid w:val="00C34255"/>
    <w:rsid w:val="00C3446A"/>
    <w:rsid w:val="00C3487A"/>
    <w:rsid w:val="00C34970"/>
    <w:rsid w:val="00C353CF"/>
    <w:rsid w:val="00C354E1"/>
    <w:rsid w:val="00C3569F"/>
    <w:rsid w:val="00C356AE"/>
    <w:rsid w:val="00C3574D"/>
    <w:rsid w:val="00C35A21"/>
    <w:rsid w:val="00C35BFC"/>
    <w:rsid w:val="00C35EF6"/>
    <w:rsid w:val="00C36030"/>
    <w:rsid w:val="00C36D77"/>
    <w:rsid w:val="00C374FA"/>
    <w:rsid w:val="00C37877"/>
    <w:rsid w:val="00C378A0"/>
    <w:rsid w:val="00C378EE"/>
    <w:rsid w:val="00C37C7A"/>
    <w:rsid w:val="00C37D7D"/>
    <w:rsid w:val="00C37D8A"/>
    <w:rsid w:val="00C37DC2"/>
    <w:rsid w:val="00C37F09"/>
    <w:rsid w:val="00C40582"/>
    <w:rsid w:val="00C40688"/>
    <w:rsid w:val="00C40750"/>
    <w:rsid w:val="00C4079C"/>
    <w:rsid w:val="00C407DB"/>
    <w:rsid w:val="00C4089F"/>
    <w:rsid w:val="00C40A78"/>
    <w:rsid w:val="00C40F5A"/>
    <w:rsid w:val="00C41434"/>
    <w:rsid w:val="00C4147E"/>
    <w:rsid w:val="00C41753"/>
    <w:rsid w:val="00C41991"/>
    <w:rsid w:val="00C41B80"/>
    <w:rsid w:val="00C41FA7"/>
    <w:rsid w:val="00C42137"/>
    <w:rsid w:val="00C42518"/>
    <w:rsid w:val="00C425D7"/>
    <w:rsid w:val="00C42724"/>
    <w:rsid w:val="00C42B6C"/>
    <w:rsid w:val="00C42EE4"/>
    <w:rsid w:val="00C42EE7"/>
    <w:rsid w:val="00C43403"/>
    <w:rsid w:val="00C43504"/>
    <w:rsid w:val="00C43713"/>
    <w:rsid w:val="00C43735"/>
    <w:rsid w:val="00C439E4"/>
    <w:rsid w:val="00C43E66"/>
    <w:rsid w:val="00C43F13"/>
    <w:rsid w:val="00C44030"/>
    <w:rsid w:val="00C44090"/>
    <w:rsid w:val="00C442AF"/>
    <w:rsid w:val="00C44413"/>
    <w:rsid w:val="00C4446A"/>
    <w:rsid w:val="00C4478F"/>
    <w:rsid w:val="00C4483A"/>
    <w:rsid w:val="00C44899"/>
    <w:rsid w:val="00C44A0C"/>
    <w:rsid w:val="00C44C34"/>
    <w:rsid w:val="00C4505B"/>
    <w:rsid w:val="00C45184"/>
    <w:rsid w:val="00C4519E"/>
    <w:rsid w:val="00C45741"/>
    <w:rsid w:val="00C458DB"/>
    <w:rsid w:val="00C4595C"/>
    <w:rsid w:val="00C459D2"/>
    <w:rsid w:val="00C45B8C"/>
    <w:rsid w:val="00C45B9A"/>
    <w:rsid w:val="00C45C35"/>
    <w:rsid w:val="00C4629A"/>
    <w:rsid w:val="00C4638D"/>
    <w:rsid w:val="00C46811"/>
    <w:rsid w:val="00C468C0"/>
    <w:rsid w:val="00C4691A"/>
    <w:rsid w:val="00C46D7B"/>
    <w:rsid w:val="00C47103"/>
    <w:rsid w:val="00C4712D"/>
    <w:rsid w:val="00C474AF"/>
    <w:rsid w:val="00C476D3"/>
    <w:rsid w:val="00C477AA"/>
    <w:rsid w:val="00C47B72"/>
    <w:rsid w:val="00C47EFD"/>
    <w:rsid w:val="00C5025B"/>
    <w:rsid w:val="00C50AA2"/>
    <w:rsid w:val="00C516DA"/>
    <w:rsid w:val="00C5173B"/>
    <w:rsid w:val="00C5176B"/>
    <w:rsid w:val="00C51C8F"/>
    <w:rsid w:val="00C51EFA"/>
    <w:rsid w:val="00C5219D"/>
    <w:rsid w:val="00C522DC"/>
    <w:rsid w:val="00C524B6"/>
    <w:rsid w:val="00C5263E"/>
    <w:rsid w:val="00C52848"/>
    <w:rsid w:val="00C5285F"/>
    <w:rsid w:val="00C52A85"/>
    <w:rsid w:val="00C52B8D"/>
    <w:rsid w:val="00C52CAB"/>
    <w:rsid w:val="00C5340D"/>
    <w:rsid w:val="00C53700"/>
    <w:rsid w:val="00C53759"/>
    <w:rsid w:val="00C53823"/>
    <w:rsid w:val="00C53930"/>
    <w:rsid w:val="00C53CC4"/>
    <w:rsid w:val="00C53DA7"/>
    <w:rsid w:val="00C53E98"/>
    <w:rsid w:val="00C5426C"/>
    <w:rsid w:val="00C54457"/>
    <w:rsid w:val="00C544F7"/>
    <w:rsid w:val="00C5491C"/>
    <w:rsid w:val="00C54D0B"/>
    <w:rsid w:val="00C54D79"/>
    <w:rsid w:val="00C54E13"/>
    <w:rsid w:val="00C54E1B"/>
    <w:rsid w:val="00C555EA"/>
    <w:rsid w:val="00C55A38"/>
    <w:rsid w:val="00C55DDD"/>
    <w:rsid w:val="00C560B7"/>
    <w:rsid w:val="00C562E5"/>
    <w:rsid w:val="00C56785"/>
    <w:rsid w:val="00C56939"/>
    <w:rsid w:val="00C56A63"/>
    <w:rsid w:val="00C56E54"/>
    <w:rsid w:val="00C5755B"/>
    <w:rsid w:val="00C579CA"/>
    <w:rsid w:val="00C57CBE"/>
    <w:rsid w:val="00C60070"/>
    <w:rsid w:val="00C60370"/>
    <w:rsid w:val="00C60482"/>
    <w:rsid w:val="00C60BF4"/>
    <w:rsid w:val="00C60C09"/>
    <w:rsid w:val="00C60CF4"/>
    <w:rsid w:val="00C60DD8"/>
    <w:rsid w:val="00C610D2"/>
    <w:rsid w:val="00C61139"/>
    <w:rsid w:val="00C61373"/>
    <w:rsid w:val="00C6174D"/>
    <w:rsid w:val="00C6176C"/>
    <w:rsid w:val="00C618A6"/>
    <w:rsid w:val="00C62157"/>
    <w:rsid w:val="00C62165"/>
    <w:rsid w:val="00C621A2"/>
    <w:rsid w:val="00C6227C"/>
    <w:rsid w:val="00C6271C"/>
    <w:rsid w:val="00C629C5"/>
    <w:rsid w:val="00C62BA7"/>
    <w:rsid w:val="00C62CD0"/>
    <w:rsid w:val="00C62E48"/>
    <w:rsid w:val="00C630AC"/>
    <w:rsid w:val="00C633BD"/>
    <w:rsid w:val="00C63760"/>
    <w:rsid w:val="00C63782"/>
    <w:rsid w:val="00C63AC8"/>
    <w:rsid w:val="00C63BB5"/>
    <w:rsid w:val="00C63D43"/>
    <w:rsid w:val="00C63DCB"/>
    <w:rsid w:val="00C6407A"/>
    <w:rsid w:val="00C64503"/>
    <w:rsid w:val="00C64828"/>
    <w:rsid w:val="00C64B6E"/>
    <w:rsid w:val="00C64D5C"/>
    <w:rsid w:val="00C64DE2"/>
    <w:rsid w:val="00C64F69"/>
    <w:rsid w:val="00C65215"/>
    <w:rsid w:val="00C65397"/>
    <w:rsid w:val="00C655A5"/>
    <w:rsid w:val="00C65F43"/>
    <w:rsid w:val="00C663F9"/>
    <w:rsid w:val="00C66703"/>
    <w:rsid w:val="00C669DE"/>
    <w:rsid w:val="00C66AC4"/>
    <w:rsid w:val="00C66CE5"/>
    <w:rsid w:val="00C66DC9"/>
    <w:rsid w:val="00C66E52"/>
    <w:rsid w:val="00C67102"/>
    <w:rsid w:val="00C671FE"/>
    <w:rsid w:val="00C6731E"/>
    <w:rsid w:val="00C677A8"/>
    <w:rsid w:val="00C67AC3"/>
    <w:rsid w:val="00C67D1A"/>
    <w:rsid w:val="00C70296"/>
    <w:rsid w:val="00C704C4"/>
    <w:rsid w:val="00C7063F"/>
    <w:rsid w:val="00C70EF8"/>
    <w:rsid w:val="00C71000"/>
    <w:rsid w:val="00C7101F"/>
    <w:rsid w:val="00C71299"/>
    <w:rsid w:val="00C713E1"/>
    <w:rsid w:val="00C71477"/>
    <w:rsid w:val="00C71D3E"/>
    <w:rsid w:val="00C71E1D"/>
    <w:rsid w:val="00C721AD"/>
    <w:rsid w:val="00C72956"/>
    <w:rsid w:val="00C729EB"/>
    <w:rsid w:val="00C729FF"/>
    <w:rsid w:val="00C72D34"/>
    <w:rsid w:val="00C72D71"/>
    <w:rsid w:val="00C73345"/>
    <w:rsid w:val="00C736DA"/>
    <w:rsid w:val="00C73701"/>
    <w:rsid w:val="00C7376A"/>
    <w:rsid w:val="00C73871"/>
    <w:rsid w:val="00C73D83"/>
    <w:rsid w:val="00C746BA"/>
    <w:rsid w:val="00C74940"/>
    <w:rsid w:val="00C755F7"/>
    <w:rsid w:val="00C75E4D"/>
    <w:rsid w:val="00C75F04"/>
    <w:rsid w:val="00C7632B"/>
    <w:rsid w:val="00C76406"/>
    <w:rsid w:val="00C765DB"/>
    <w:rsid w:val="00C766D6"/>
    <w:rsid w:val="00C769AF"/>
    <w:rsid w:val="00C76ABA"/>
    <w:rsid w:val="00C76D68"/>
    <w:rsid w:val="00C76FF8"/>
    <w:rsid w:val="00C77577"/>
    <w:rsid w:val="00C77AE4"/>
    <w:rsid w:val="00C77C65"/>
    <w:rsid w:val="00C8017B"/>
    <w:rsid w:val="00C801DC"/>
    <w:rsid w:val="00C8068A"/>
    <w:rsid w:val="00C80DA4"/>
    <w:rsid w:val="00C80EBE"/>
    <w:rsid w:val="00C81249"/>
    <w:rsid w:val="00C812D2"/>
    <w:rsid w:val="00C81427"/>
    <w:rsid w:val="00C8149A"/>
    <w:rsid w:val="00C8169F"/>
    <w:rsid w:val="00C816F3"/>
    <w:rsid w:val="00C818D8"/>
    <w:rsid w:val="00C81966"/>
    <w:rsid w:val="00C81F3A"/>
    <w:rsid w:val="00C822C5"/>
    <w:rsid w:val="00C82609"/>
    <w:rsid w:val="00C827EB"/>
    <w:rsid w:val="00C829AB"/>
    <w:rsid w:val="00C82A4A"/>
    <w:rsid w:val="00C82F46"/>
    <w:rsid w:val="00C83038"/>
    <w:rsid w:val="00C8318D"/>
    <w:rsid w:val="00C835B2"/>
    <w:rsid w:val="00C836A7"/>
    <w:rsid w:val="00C83B65"/>
    <w:rsid w:val="00C84069"/>
    <w:rsid w:val="00C8415B"/>
    <w:rsid w:val="00C84432"/>
    <w:rsid w:val="00C8453A"/>
    <w:rsid w:val="00C8471F"/>
    <w:rsid w:val="00C84B04"/>
    <w:rsid w:val="00C84C17"/>
    <w:rsid w:val="00C84D66"/>
    <w:rsid w:val="00C8503D"/>
    <w:rsid w:val="00C8524F"/>
    <w:rsid w:val="00C85258"/>
    <w:rsid w:val="00C853EB"/>
    <w:rsid w:val="00C8571A"/>
    <w:rsid w:val="00C85779"/>
    <w:rsid w:val="00C85813"/>
    <w:rsid w:val="00C8597E"/>
    <w:rsid w:val="00C85C20"/>
    <w:rsid w:val="00C85D3C"/>
    <w:rsid w:val="00C85FD5"/>
    <w:rsid w:val="00C86026"/>
    <w:rsid w:val="00C86229"/>
    <w:rsid w:val="00C863D9"/>
    <w:rsid w:val="00C86568"/>
    <w:rsid w:val="00C869DA"/>
    <w:rsid w:val="00C86B62"/>
    <w:rsid w:val="00C86BBA"/>
    <w:rsid w:val="00C86C17"/>
    <w:rsid w:val="00C86D4F"/>
    <w:rsid w:val="00C86FFA"/>
    <w:rsid w:val="00C8701C"/>
    <w:rsid w:val="00C87191"/>
    <w:rsid w:val="00C8732E"/>
    <w:rsid w:val="00C876A3"/>
    <w:rsid w:val="00C87C0F"/>
    <w:rsid w:val="00C87C9F"/>
    <w:rsid w:val="00C87ED3"/>
    <w:rsid w:val="00C87ED4"/>
    <w:rsid w:val="00C87F37"/>
    <w:rsid w:val="00C905E8"/>
    <w:rsid w:val="00C90647"/>
    <w:rsid w:val="00C90651"/>
    <w:rsid w:val="00C906E8"/>
    <w:rsid w:val="00C90A05"/>
    <w:rsid w:val="00C90AAE"/>
    <w:rsid w:val="00C90E91"/>
    <w:rsid w:val="00C90F4B"/>
    <w:rsid w:val="00C90FED"/>
    <w:rsid w:val="00C9105B"/>
    <w:rsid w:val="00C9113F"/>
    <w:rsid w:val="00C913AC"/>
    <w:rsid w:val="00C914A0"/>
    <w:rsid w:val="00C916D0"/>
    <w:rsid w:val="00C9188B"/>
    <w:rsid w:val="00C91A64"/>
    <w:rsid w:val="00C91ABF"/>
    <w:rsid w:val="00C91AE4"/>
    <w:rsid w:val="00C91AF9"/>
    <w:rsid w:val="00C91B38"/>
    <w:rsid w:val="00C91E32"/>
    <w:rsid w:val="00C91EEA"/>
    <w:rsid w:val="00C92131"/>
    <w:rsid w:val="00C9215A"/>
    <w:rsid w:val="00C923ED"/>
    <w:rsid w:val="00C924DF"/>
    <w:rsid w:val="00C927CC"/>
    <w:rsid w:val="00C927EA"/>
    <w:rsid w:val="00C929E9"/>
    <w:rsid w:val="00C92B45"/>
    <w:rsid w:val="00C92C86"/>
    <w:rsid w:val="00C92CE7"/>
    <w:rsid w:val="00C92D47"/>
    <w:rsid w:val="00C93061"/>
    <w:rsid w:val="00C93415"/>
    <w:rsid w:val="00C93A26"/>
    <w:rsid w:val="00C93DAA"/>
    <w:rsid w:val="00C93FDF"/>
    <w:rsid w:val="00C941CE"/>
    <w:rsid w:val="00C9451E"/>
    <w:rsid w:val="00C946C0"/>
    <w:rsid w:val="00C94821"/>
    <w:rsid w:val="00C94B31"/>
    <w:rsid w:val="00C951C6"/>
    <w:rsid w:val="00C95292"/>
    <w:rsid w:val="00C95346"/>
    <w:rsid w:val="00C9538F"/>
    <w:rsid w:val="00C953EB"/>
    <w:rsid w:val="00C955F7"/>
    <w:rsid w:val="00C95829"/>
    <w:rsid w:val="00C958A1"/>
    <w:rsid w:val="00C95C75"/>
    <w:rsid w:val="00C9640D"/>
    <w:rsid w:val="00C9655A"/>
    <w:rsid w:val="00C96562"/>
    <w:rsid w:val="00C96820"/>
    <w:rsid w:val="00C968A2"/>
    <w:rsid w:val="00C9697B"/>
    <w:rsid w:val="00C96E62"/>
    <w:rsid w:val="00C96F67"/>
    <w:rsid w:val="00C9797F"/>
    <w:rsid w:val="00C97EA4"/>
    <w:rsid w:val="00CA00FE"/>
    <w:rsid w:val="00CA0F14"/>
    <w:rsid w:val="00CA0F82"/>
    <w:rsid w:val="00CA108F"/>
    <w:rsid w:val="00CA15A4"/>
    <w:rsid w:val="00CA170F"/>
    <w:rsid w:val="00CA1770"/>
    <w:rsid w:val="00CA1821"/>
    <w:rsid w:val="00CA2180"/>
    <w:rsid w:val="00CA21FB"/>
    <w:rsid w:val="00CA264A"/>
    <w:rsid w:val="00CA272F"/>
    <w:rsid w:val="00CA2792"/>
    <w:rsid w:val="00CA2923"/>
    <w:rsid w:val="00CA2AB9"/>
    <w:rsid w:val="00CA2ABB"/>
    <w:rsid w:val="00CA2B0C"/>
    <w:rsid w:val="00CA300D"/>
    <w:rsid w:val="00CA323E"/>
    <w:rsid w:val="00CA34A4"/>
    <w:rsid w:val="00CA3658"/>
    <w:rsid w:val="00CA3843"/>
    <w:rsid w:val="00CA3979"/>
    <w:rsid w:val="00CA399E"/>
    <w:rsid w:val="00CA3BD7"/>
    <w:rsid w:val="00CA3CA9"/>
    <w:rsid w:val="00CA3FF9"/>
    <w:rsid w:val="00CA412B"/>
    <w:rsid w:val="00CA41D7"/>
    <w:rsid w:val="00CA4348"/>
    <w:rsid w:val="00CA472D"/>
    <w:rsid w:val="00CA4926"/>
    <w:rsid w:val="00CA4A73"/>
    <w:rsid w:val="00CA4B13"/>
    <w:rsid w:val="00CA4B84"/>
    <w:rsid w:val="00CA502B"/>
    <w:rsid w:val="00CA51B9"/>
    <w:rsid w:val="00CA5262"/>
    <w:rsid w:val="00CA5605"/>
    <w:rsid w:val="00CA5614"/>
    <w:rsid w:val="00CA57C1"/>
    <w:rsid w:val="00CA6E21"/>
    <w:rsid w:val="00CA6F51"/>
    <w:rsid w:val="00CA705F"/>
    <w:rsid w:val="00CA70BD"/>
    <w:rsid w:val="00CA736E"/>
    <w:rsid w:val="00CA73DE"/>
    <w:rsid w:val="00CA74C9"/>
    <w:rsid w:val="00CA752A"/>
    <w:rsid w:val="00CA7615"/>
    <w:rsid w:val="00CA78C2"/>
    <w:rsid w:val="00CA7B5E"/>
    <w:rsid w:val="00CB0318"/>
    <w:rsid w:val="00CB0486"/>
    <w:rsid w:val="00CB054B"/>
    <w:rsid w:val="00CB05D8"/>
    <w:rsid w:val="00CB05DC"/>
    <w:rsid w:val="00CB08FE"/>
    <w:rsid w:val="00CB0EA0"/>
    <w:rsid w:val="00CB13B3"/>
    <w:rsid w:val="00CB17FF"/>
    <w:rsid w:val="00CB197A"/>
    <w:rsid w:val="00CB19B6"/>
    <w:rsid w:val="00CB1D71"/>
    <w:rsid w:val="00CB1E96"/>
    <w:rsid w:val="00CB2165"/>
    <w:rsid w:val="00CB260B"/>
    <w:rsid w:val="00CB2931"/>
    <w:rsid w:val="00CB2F0B"/>
    <w:rsid w:val="00CB3310"/>
    <w:rsid w:val="00CB3525"/>
    <w:rsid w:val="00CB36CC"/>
    <w:rsid w:val="00CB3E8F"/>
    <w:rsid w:val="00CB3ED2"/>
    <w:rsid w:val="00CB437C"/>
    <w:rsid w:val="00CB45DD"/>
    <w:rsid w:val="00CB4915"/>
    <w:rsid w:val="00CB4CBA"/>
    <w:rsid w:val="00CB4D71"/>
    <w:rsid w:val="00CB4EEC"/>
    <w:rsid w:val="00CB4FA9"/>
    <w:rsid w:val="00CB4FB7"/>
    <w:rsid w:val="00CB4FEF"/>
    <w:rsid w:val="00CB4FF7"/>
    <w:rsid w:val="00CB500C"/>
    <w:rsid w:val="00CB5106"/>
    <w:rsid w:val="00CB5A01"/>
    <w:rsid w:val="00CB5AF0"/>
    <w:rsid w:val="00CB5DD1"/>
    <w:rsid w:val="00CB5F1F"/>
    <w:rsid w:val="00CB5F6E"/>
    <w:rsid w:val="00CB6023"/>
    <w:rsid w:val="00CB649A"/>
    <w:rsid w:val="00CB64C3"/>
    <w:rsid w:val="00CB6774"/>
    <w:rsid w:val="00CB67A9"/>
    <w:rsid w:val="00CB707E"/>
    <w:rsid w:val="00CB72B5"/>
    <w:rsid w:val="00CB73E0"/>
    <w:rsid w:val="00CB7470"/>
    <w:rsid w:val="00CB7D04"/>
    <w:rsid w:val="00CC049B"/>
    <w:rsid w:val="00CC05A3"/>
    <w:rsid w:val="00CC0808"/>
    <w:rsid w:val="00CC08D1"/>
    <w:rsid w:val="00CC0B43"/>
    <w:rsid w:val="00CC0C13"/>
    <w:rsid w:val="00CC10FB"/>
    <w:rsid w:val="00CC1419"/>
    <w:rsid w:val="00CC1761"/>
    <w:rsid w:val="00CC195B"/>
    <w:rsid w:val="00CC19A5"/>
    <w:rsid w:val="00CC1B22"/>
    <w:rsid w:val="00CC1E24"/>
    <w:rsid w:val="00CC202A"/>
    <w:rsid w:val="00CC27E0"/>
    <w:rsid w:val="00CC2CBB"/>
    <w:rsid w:val="00CC2FF7"/>
    <w:rsid w:val="00CC3452"/>
    <w:rsid w:val="00CC3519"/>
    <w:rsid w:val="00CC363E"/>
    <w:rsid w:val="00CC3A07"/>
    <w:rsid w:val="00CC3B55"/>
    <w:rsid w:val="00CC3EB3"/>
    <w:rsid w:val="00CC40A8"/>
    <w:rsid w:val="00CC427C"/>
    <w:rsid w:val="00CC4340"/>
    <w:rsid w:val="00CC4429"/>
    <w:rsid w:val="00CC45F1"/>
    <w:rsid w:val="00CC468D"/>
    <w:rsid w:val="00CC494A"/>
    <w:rsid w:val="00CC5079"/>
    <w:rsid w:val="00CC5413"/>
    <w:rsid w:val="00CC5A38"/>
    <w:rsid w:val="00CC5E38"/>
    <w:rsid w:val="00CC5F92"/>
    <w:rsid w:val="00CC5FCE"/>
    <w:rsid w:val="00CC6346"/>
    <w:rsid w:val="00CC6617"/>
    <w:rsid w:val="00CC67D9"/>
    <w:rsid w:val="00CC6C89"/>
    <w:rsid w:val="00CC7914"/>
    <w:rsid w:val="00CC7AD6"/>
    <w:rsid w:val="00CD01C0"/>
    <w:rsid w:val="00CD02D9"/>
    <w:rsid w:val="00CD071E"/>
    <w:rsid w:val="00CD0C8D"/>
    <w:rsid w:val="00CD1A89"/>
    <w:rsid w:val="00CD1E21"/>
    <w:rsid w:val="00CD2099"/>
    <w:rsid w:val="00CD25EF"/>
    <w:rsid w:val="00CD25F6"/>
    <w:rsid w:val="00CD291F"/>
    <w:rsid w:val="00CD2A2B"/>
    <w:rsid w:val="00CD3122"/>
    <w:rsid w:val="00CD35FC"/>
    <w:rsid w:val="00CD3786"/>
    <w:rsid w:val="00CD383C"/>
    <w:rsid w:val="00CD3A32"/>
    <w:rsid w:val="00CD3CE7"/>
    <w:rsid w:val="00CD3E9A"/>
    <w:rsid w:val="00CD3F1A"/>
    <w:rsid w:val="00CD40C0"/>
    <w:rsid w:val="00CD4711"/>
    <w:rsid w:val="00CD4751"/>
    <w:rsid w:val="00CD4B43"/>
    <w:rsid w:val="00CD4CA8"/>
    <w:rsid w:val="00CD4E91"/>
    <w:rsid w:val="00CD5121"/>
    <w:rsid w:val="00CD51C3"/>
    <w:rsid w:val="00CD5B36"/>
    <w:rsid w:val="00CD5CAA"/>
    <w:rsid w:val="00CD6402"/>
    <w:rsid w:val="00CD6A16"/>
    <w:rsid w:val="00CD6AD4"/>
    <w:rsid w:val="00CD713F"/>
    <w:rsid w:val="00CD757A"/>
    <w:rsid w:val="00CD77F5"/>
    <w:rsid w:val="00CD78BB"/>
    <w:rsid w:val="00CD794E"/>
    <w:rsid w:val="00CD7AA6"/>
    <w:rsid w:val="00CD7EB5"/>
    <w:rsid w:val="00CE00F7"/>
    <w:rsid w:val="00CE068D"/>
    <w:rsid w:val="00CE0BC0"/>
    <w:rsid w:val="00CE171A"/>
    <w:rsid w:val="00CE1748"/>
    <w:rsid w:val="00CE1953"/>
    <w:rsid w:val="00CE1A9B"/>
    <w:rsid w:val="00CE1B59"/>
    <w:rsid w:val="00CE1C37"/>
    <w:rsid w:val="00CE2386"/>
    <w:rsid w:val="00CE264B"/>
    <w:rsid w:val="00CE2745"/>
    <w:rsid w:val="00CE2AAF"/>
    <w:rsid w:val="00CE2ACB"/>
    <w:rsid w:val="00CE3448"/>
    <w:rsid w:val="00CE3550"/>
    <w:rsid w:val="00CE36CE"/>
    <w:rsid w:val="00CE385E"/>
    <w:rsid w:val="00CE3C13"/>
    <w:rsid w:val="00CE3E1E"/>
    <w:rsid w:val="00CE42CD"/>
    <w:rsid w:val="00CE44AF"/>
    <w:rsid w:val="00CE454E"/>
    <w:rsid w:val="00CE45B4"/>
    <w:rsid w:val="00CE45B7"/>
    <w:rsid w:val="00CE46E7"/>
    <w:rsid w:val="00CE4B7F"/>
    <w:rsid w:val="00CE4D96"/>
    <w:rsid w:val="00CE6377"/>
    <w:rsid w:val="00CE65A3"/>
    <w:rsid w:val="00CE688E"/>
    <w:rsid w:val="00CE6D6B"/>
    <w:rsid w:val="00CE71AB"/>
    <w:rsid w:val="00CE7308"/>
    <w:rsid w:val="00CE75AD"/>
    <w:rsid w:val="00CE773D"/>
    <w:rsid w:val="00CE7884"/>
    <w:rsid w:val="00CF00B3"/>
    <w:rsid w:val="00CF00E0"/>
    <w:rsid w:val="00CF0664"/>
    <w:rsid w:val="00CF085F"/>
    <w:rsid w:val="00CF0BB8"/>
    <w:rsid w:val="00CF0CD2"/>
    <w:rsid w:val="00CF0DA3"/>
    <w:rsid w:val="00CF152A"/>
    <w:rsid w:val="00CF1640"/>
    <w:rsid w:val="00CF166F"/>
    <w:rsid w:val="00CF19AF"/>
    <w:rsid w:val="00CF1C3F"/>
    <w:rsid w:val="00CF1CDC"/>
    <w:rsid w:val="00CF1D35"/>
    <w:rsid w:val="00CF1F22"/>
    <w:rsid w:val="00CF20A7"/>
    <w:rsid w:val="00CF2839"/>
    <w:rsid w:val="00CF2E43"/>
    <w:rsid w:val="00CF2F63"/>
    <w:rsid w:val="00CF3109"/>
    <w:rsid w:val="00CF355F"/>
    <w:rsid w:val="00CF3607"/>
    <w:rsid w:val="00CF3A2C"/>
    <w:rsid w:val="00CF4878"/>
    <w:rsid w:val="00CF49DD"/>
    <w:rsid w:val="00CF4B94"/>
    <w:rsid w:val="00CF4BAA"/>
    <w:rsid w:val="00CF4D22"/>
    <w:rsid w:val="00CF502E"/>
    <w:rsid w:val="00CF50C7"/>
    <w:rsid w:val="00CF5368"/>
    <w:rsid w:val="00CF55B0"/>
    <w:rsid w:val="00CF56C1"/>
    <w:rsid w:val="00CF5CEE"/>
    <w:rsid w:val="00CF6038"/>
    <w:rsid w:val="00CF6081"/>
    <w:rsid w:val="00CF60B4"/>
    <w:rsid w:val="00CF64CF"/>
    <w:rsid w:val="00CF65D2"/>
    <w:rsid w:val="00CF7045"/>
    <w:rsid w:val="00CF70B8"/>
    <w:rsid w:val="00CF72DD"/>
    <w:rsid w:val="00CF77D0"/>
    <w:rsid w:val="00CF7907"/>
    <w:rsid w:val="00CF7CE3"/>
    <w:rsid w:val="00CF7F09"/>
    <w:rsid w:val="00CF7FAF"/>
    <w:rsid w:val="00D000BC"/>
    <w:rsid w:val="00D00D51"/>
    <w:rsid w:val="00D00EDA"/>
    <w:rsid w:val="00D01105"/>
    <w:rsid w:val="00D0140E"/>
    <w:rsid w:val="00D015EF"/>
    <w:rsid w:val="00D01790"/>
    <w:rsid w:val="00D019AE"/>
    <w:rsid w:val="00D01B81"/>
    <w:rsid w:val="00D01BCA"/>
    <w:rsid w:val="00D01D07"/>
    <w:rsid w:val="00D02375"/>
    <w:rsid w:val="00D02F83"/>
    <w:rsid w:val="00D03BFB"/>
    <w:rsid w:val="00D04046"/>
    <w:rsid w:val="00D0453A"/>
    <w:rsid w:val="00D051A5"/>
    <w:rsid w:val="00D054B0"/>
    <w:rsid w:val="00D054B6"/>
    <w:rsid w:val="00D054F6"/>
    <w:rsid w:val="00D057C0"/>
    <w:rsid w:val="00D0580A"/>
    <w:rsid w:val="00D05A70"/>
    <w:rsid w:val="00D05AD1"/>
    <w:rsid w:val="00D05E8A"/>
    <w:rsid w:val="00D061C6"/>
    <w:rsid w:val="00D065F0"/>
    <w:rsid w:val="00D067D7"/>
    <w:rsid w:val="00D069C7"/>
    <w:rsid w:val="00D06A01"/>
    <w:rsid w:val="00D06A6D"/>
    <w:rsid w:val="00D070E7"/>
    <w:rsid w:val="00D0713D"/>
    <w:rsid w:val="00D0734A"/>
    <w:rsid w:val="00D07E25"/>
    <w:rsid w:val="00D07E88"/>
    <w:rsid w:val="00D101D5"/>
    <w:rsid w:val="00D10412"/>
    <w:rsid w:val="00D10934"/>
    <w:rsid w:val="00D10B1E"/>
    <w:rsid w:val="00D10ED6"/>
    <w:rsid w:val="00D11024"/>
    <w:rsid w:val="00D11076"/>
    <w:rsid w:val="00D110E8"/>
    <w:rsid w:val="00D115EE"/>
    <w:rsid w:val="00D11957"/>
    <w:rsid w:val="00D11AB7"/>
    <w:rsid w:val="00D11CC0"/>
    <w:rsid w:val="00D11D19"/>
    <w:rsid w:val="00D11FE3"/>
    <w:rsid w:val="00D1202E"/>
    <w:rsid w:val="00D12817"/>
    <w:rsid w:val="00D12BE6"/>
    <w:rsid w:val="00D12EFD"/>
    <w:rsid w:val="00D12F46"/>
    <w:rsid w:val="00D13042"/>
    <w:rsid w:val="00D13162"/>
    <w:rsid w:val="00D13443"/>
    <w:rsid w:val="00D1350A"/>
    <w:rsid w:val="00D135E9"/>
    <w:rsid w:val="00D13679"/>
    <w:rsid w:val="00D13880"/>
    <w:rsid w:val="00D1394E"/>
    <w:rsid w:val="00D13CF4"/>
    <w:rsid w:val="00D13FD7"/>
    <w:rsid w:val="00D1415A"/>
    <w:rsid w:val="00D141F1"/>
    <w:rsid w:val="00D143D2"/>
    <w:rsid w:val="00D14563"/>
    <w:rsid w:val="00D14727"/>
    <w:rsid w:val="00D14735"/>
    <w:rsid w:val="00D14F31"/>
    <w:rsid w:val="00D151B5"/>
    <w:rsid w:val="00D152F9"/>
    <w:rsid w:val="00D15611"/>
    <w:rsid w:val="00D159B6"/>
    <w:rsid w:val="00D159E8"/>
    <w:rsid w:val="00D15A22"/>
    <w:rsid w:val="00D15FE1"/>
    <w:rsid w:val="00D16068"/>
    <w:rsid w:val="00D16227"/>
    <w:rsid w:val="00D16324"/>
    <w:rsid w:val="00D16686"/>
    <w:rsid w:val="00D169D2"/>
    <w:rsid w:val="00D16B93"/>
    <w:rsid w:val="00D16D4C"/>
    <w:rsid w:val="00D16D5D"/>
    <w:rsid w:val="00D176E5"/>
    <w:rsid w:val="00D17B3A"/>
    <w:rsid w:val="00D200E4"/>
    <w:rsid w:val="00D202C4"/>
    <w:rsid w:val="00D2032A"/>
    <w:rsid w:val="00D20413"/>
    <w:rsid w:val="00D20594"/>
    <w:rsid w:val="00D205C5"/>
    <w:rsid w:val="00D2077E"/>
    <w:rsid w:val="00D2079C"/>
    <w:rsid w:val="00D20944"/>
    <w:rsid w:val="00D20965"/>
    <w:rsid w:val="00D20B23"/>
    <w:rsid w:val="00D20C8D"/>
    <w:rsid w:val="00D20CCF"/>
    <w:rsid w:val="00D210E4"/>
    <w:rsid w:val="00D21374"/>
    <w:rsid w:val="00D213B0"/>
    <w:rsid w:val="00D21934"/>
    <w:rsid w:val="00D21D3D"/>
    <w:rsid w:val="00D21D7F"/>
    <w:rsid w:val="00D21DF1"/>
    <w:rsid w:val="00D21FB5"/>
    <w:rsid w:val="00D222BE"/>
    <w:rsid w:val="00D22445"/>
    <w:rsid w:val="00D2263C"/>
    <w:rsid w:val="00D22766"/>
    <w:rsid w:val="00D227F1"/>
    <w:rsid w:val="00D22C60"/>
    <w:rsid w:val="00D22E7B"/>
    <w:rsid w:val="00D230BB"/>
    <w:rsid w:val="00D2312A"/>
    <w:rsid w:val="00D23187"/>
    <w:rsid w:val="00D232B5"/>
    <w:rsid w:val="00D237C4"/>
    <w:rsid w:val="00D23F69"/>
    <w:rsid w:val="00D24670"/>
    <w:rsid w:val="00D247C6"/>
    <w:rsid w:val="00D250C3"/>
    <w:rsid w:val="00D2530E"/>
    <w:rsid w:val="00D25682"/>
    <w:rsid w:val="00D25694"/>
    <w:rsid w:val="00D25FDA"/>
    <w:rsid w:val="00D26337"/>
    <w:rsid w:val="00D264EA"/>
    <w:rsid w:val="00D2696A"/>
    <w:rsid w:val="00D26976"/>
    <w:rsid w:val="00D269DA"/>
    <w:rsid w:val="00D26A74"/>
    <w:rsid w:val="00D26F59"/>
    <w:rsid w:val="00D2708A"/>
    <w:rsid w:val="00D270AE"/>
    <w:rsid w:val="00D27216"/>
    <w:rsid w:val="00D27744"/>
    <w:rsid w:val="00D27810"/>
    <w:rsid w:val="00D2789F"/>
    <w:rsid w:val="00D279FC"/>
    <w:rsid w:val="00D27F07"/>
    <w:rsid w:val="00D308DE"/>
    <w:rsid w:val="00D30CE3"/>
    <w:rsid w:val="00D30E12"/>
    <w:rsid w:val="00D30FC1"/>
    <w:rsid w:val="00D311CE"/>
    <w:rsid w:val="00D313C7"/>
    <w:rsid w:val="00D31725"/>
    <w:rsid w:val="00D31795"/>
    <w:rsid w:val="00D317BE"/>
    <w:rsid w:val="00D31A24"/>
    <w:rsid w:val="00D32148"/>
    <w:rsid w:val="00D322E1"/>
    <w:rsid w:val="00D32430"/>
    <w:rsid w:val="00D3259B"/>
    <w:rsid w:val="00D3269C"/>
    <w:rsid w:val="00D32838"/>
    <w:rsid w:val="00D32CBD"/>
    <w:rsid w:val="00D32E81"/>
    <w:rsid w:val="00D32E96"/>
    <w:rsid w:val="00D33093"/>
    <w:rsid w:val="00D33706"/>
    <w:rsid w:val="00D337DC"/>
    <w:rsid w:val="00D33800"/>
    <w:rsid w:val="00D34020"/>
    <w:rsid w:val="00D3439C"/>
    <w:rsid w:val="00D34401"/>
    <w:rsid w:val="00D3455C"/>
    <w:rsid w:val="00D347EC"/>
    <w:rsid w:val="00D34A50"/>
    <w:rsid w:val="00D34B22"/>
    <w:rsid w:val="00D34C57"/>
    <w:rsid w:val="00D34CD6"/>
    <w:rsid w:val="00D34E65"/>
    <w:rsid w:val="00D35192"/>
    <w:rsid w:val="00D355E4"/>
    <w:rsid w:val="00D35875"/>
    <w:rsid w:val="00D35AD5"/>
    <w:rsid w:val="00D35C73"/>
    <w:rsid w:val="00D35E0F"/>
    <w:rsid w:val="00D361A6"/>
    <w:rsid w:val="00D364E6"/>
    <w:rsid w:val="00D36530"/>
    <w:rsid w:val="00D36664"/>
    <w:rsid w:val="00D367C5"/>
    <w:rsid w:val="00D36907"/>
    <w:rsid w:val="00D36956"/>
    <w:rsid w:val="00D3697A"/>
    <w:rsid w:val="00D36F3A"/>
    <w:rsid w:val="00D372E6"/>
    <w:rsid w:val="00D37463"/>
    <w:rsid w:val="00D37645"/>
    <w:rsid w:val="00D37833"/>
    <w:rsid w:val="00D37D15"/>
    <w:rsid w:val="00D37EEE"/>
    <w:rsid w:val="00D405F9"/>
    <w:rsid w:val="00D407F8"/>
    <w:rsid w:val="00D40863"/>
    <w:rsid w:val="00D40891"/>
    <w:rsid w:val="00D40A96"/>
    <w:rsid w:val="00D40DE3"/>
    <w:rsid w:val="00D41070"/>
    <w:rsid w:val="00D4108E"/>
    <w:rsid w:val="00D41333"/>
    <w:rsid w:val="00D41651"/>
    <w:rsid w:val="00D4165B"/>
    <w:rsid w:val="00D41B09"/>
    <w:rsid w:val="00D41C63"/>
    <w:rsid w:val="00D41E06"/>
    <w:rsid w:val="00D42338"/>
    <w:rsid w:val="00D4254F"/>
    <w:rsid w:val="00D42628"/>
    <w:rsid w:val="00D42867"/>
    <w:rsid w:val="00D42AE7"/>
    <w:rsid w:val="00D42B34"/>
    <w:rsid w:val="00D43084"/>
    <w:rsid w:val="00D435AB"/>
    <w:rsid w:val="00D43785"/>
    <w:rsid w:val="00D43869"/>
    <w:rsid w:val="00D43FC9"/>
    <w:rsid w:val="00D4421C"/>
    <w:rsid w:val="00D44312"/>
    <w:rsid w:val="00D4469A"/>
    <w:rsid w:val="00D447F7"/>
    <w:rsid w:val="00D449FF"/>
    <w:rsid w:val="00D44D3E"/>
    <w:rsid w:val="00D44F71"/>
    <w:rsid w:val="00D45221"/>
    <w:rsid w:val="00D45603"/>
    <w:rsid w:val="00D459E6"/>
    <w:rsid w:val="00D45B2F"/>
    <w:rsid w:val="00D45CFE"/>
    <w:rsid w:val="00D45DA4"/>
    <w:rsid w:val="00D460FD"/>
    <w:rsid w:val="00D465B2"/>
    <w:rsid w:val="00D467D1"/>
    <w:rsid w:val="00D4697B"/>
    <w:rsid w:val="00D46A36"/>
    <w:rsid w:val="00D46EA1"/>
    <w:rsid w:val="00D470E2"/>
    <w:rsid w:val="00D47128"/>
    <w:rsid w:val="00D47146"/>
    <w:rsid w:val="00D4763C"/>
    <w:rsid w:val="00D47656"/>
    <w:rsid w:val="00D47A23"/>
    <w:rsid w:val="00D47B90"/>
    <w:rsid w:val="00D47CE7"/>
    <w:rsid w:val="00D47FF3"/>
    <w:rsid w:val="00D503D2"/>
    <w:rsid w:val="00D50846"/>
    <w:rsid w:val="00D50AFB"/>
    <w:rsid w:val="00D50B10"/>
    <w:rsid w:val="00D50BBA"/>
    <w:rsid w:val="00D50EDF"/>
    <w:rsid w:val="00D51148"/>
    <w:rsid w:val="00D519DA"/>
    <w:rsid w:val="00D51E66"/>
    <w:rsid w:val="00D521F6"/>
    <w:rsid w:val="00D52284"/>
    <w:rsid w:val="00D524B6"/>
    <w:rsid w:val="00D52752"/>
    <w:rsid w:val="00D53144"/>
    <w:rsid w:val="00D531EF"/>
    <w:rsid w:val="00D532EC"/>
    <w:rsid w:val="00D53356"/>
    <w:rsid w:val="00D536E2"/>
    <w:rsid w:val="00D53B9B"/>
    <w:rsid w:val="00D53CEE"/>
    <w:rsid w:val="00D53D02"/>
    <w:rsid w:val="00D5419C"/>
    <w:rsid w:val="00D54E95"/>
    <w:rsid w:val="00D557BC"/>
    <w:rsid w:val="00D55C99"/>
    <w:rsid w:val="00D55D43"/>
    <w:rsid w:val="00D5621D"/>
    <w:rsid w:val="00D56233"/>
    <w:rsid w:val="00D563B9"/>
    <w:rsid w:val="00D56552"/>
    <w:rsid w:val="00D56668"/>
    <w:rsid w:val="00D5672B"/>
    <w:rsid w:val="00D56787"/>
    <w:rsid w:val="00D56C24"/>
    <w:rsid w:val="00D56EA9"/>
    <w:rsid w:val="00D57151"/>
    <w:rsid w:val="00D571B1"/>
    <w:rsid w:val="00D5723D"/>
    <w:rsid w:val="00D575D6"/>
    <w:rsid w:val="00D577BB"/>
    <w:rsid w:val="00D577CB"/>
    <w:rsid w:val="00D57864"/>
    <w:rsid w:val="00D60107"/>
    <w:rsid w:val="00D6016B"/>
    <w:rsid w:val="00D6034F"/>
    <w:rsid w:val="00D605B9"/>
    <w:rsid w:val="00D6084B"/>
    <w:rsid w:val="00D608F3"/>
    <w:rsid w:val="00D60EBB"/>
    <w:rsid w:val="00D61216"/>
    <w:rsid w:val="00D612C6"/>
    <w:rsid w:val="00D61586"/>
    <w:rsid w:val="00D61859"/>
    <w:rsid w:val="00D61A0D"/>
    <w:rsid w:val="00D61DB4"/>
    <w:rsid w:val="00D621C4"/>
    <w:rsid w:val="00D622A4"/>
    <w:rsid w:val="00D62566"/>
    <w:rsid w:val="00D626CF"/>
    <w:rsid w:val="00D626D4"/>
    <w:rsid w:val="00D62781"/>
    <w:rsid w:val="00D6285B"/>
    <w:rsid w:val="00D63175"/>
    <w:rsid w:val="00D633C3"/>
    <w:rsid w:val="00D636ED"/>
    <w:rsid w:val="00D6393A"/>
    <w:rsid w:val="00D63B6C"/>
    <w:rsid w:val="00D63D2F"/>
    <w:rsid w:val="00D64361"/>
    <w:rsid w:val="00D64F05"/>
    <w:rsid w:val="00D64F6E"/>
    <w:rsid w:val="00D655CC"/>
    <w:rsid w:val="00D6567D"/>
    <w:rsid w:val="00D656F0"/>
    <w:rsid w:val="00D65711"/>
    <w:rsid w:val="00D6590C"/>
    <w:rsid w:val="00D6598F"/>
    <w:rsid w:val="00D65A10"/>
    <w:rsid w:val="00D65A32"/>
    <w:rsid w:val="00D65BF9"/>
    <w:rsid w:val="00D65CB1"/>
    <w:rsid w:val="00D65D57"/>
    <w:rsid w:val="00D65DB6"/>
    <w:rsid w:val="00D65F11"/>
    <w:rsid w:val="00D65F5E"/>
    <w:rsid w:val="00D660CC"/>
    <w:rsid w:val="00D66443"/>
    <w:rsid w:val="00D66476"/>
    <w:rsid w:val="00D6652C"/>
    <w:rsid w:val="00D6685E"/>
    <w:rsid w:val="00D66E1E"/>
    <w:rsid w:val="00D66F34"/>
    <w:rsid w:val="00D670B2"/>
    <w:rsid w:val="00D6716B"/>
    <w:rsid w:val="00D675BC"/>
    <w:rsid w:val="00D675FA"/>
    <w:rsid w:val="00D67737"/>
    <w:rsid w:val="00D67A86"/>
    <w:rsid w:val="00D67BC1"/>
    <w:rsid w:val="00D67D7A"/>
    <w:rsid w:val="00D67E51"/>
    <w:rsid w:val="00D7018E"/>
    <w:rsid w:val="00D70825"/>
    <w:rsid w:val="00D70832"/>
    <w:rsid w:val="00D70BDD"/>
    <w:rsid w:val="00D70BFF"/>
    <w:rsid w:val="00D7104B"/>
    <w:rsid w:val="00D712AB"/>
    <w:rsid w:val="00D7143D"/>
    <w:rsid w:val="00D718A5"/>
    <w:rsid w:val="00D71D27"/>
    <w:rsid w:val="00D71E63"/>
    <w:rsid w:val="00D71EC1"/>
    <w:rsid w:val="00D720E9"/>
    <w:rsid w:val="00D725CC"/>
    <w:rsid w:val="00D726DD"/>
    <w:rsid w:val="00D72981"/>
    <w:rsid w:val="00D729C9"/>
    <w:rsid w:val="00D7308A"/>
    <w:rsid w:val="00D73153"/>
    <w:rsid w:val="00D7369B"/>
    <w:rsid w:val="00D73A0E"/>
    <w:rsid w:val="00D740C5"/>
    <w:rsid w:val="00D743B0"/>
    <w:rsid w:val="00D7468A"/>
    <w:rsid w:val="00D746A9"/>
    <w:rsid w:val="00D74817"/>
    <w:rsid w:val="00D7488F"/>
    <w:rsid w:val="00D748B0"/>
    <w:rsid w:val="00D74C2C"/>
    <w:rsid w:val="00D74E6F"/>
    <w:rsid w:val="00D753DF"/>
    <w:rsid w:val="00D75418"/>
    <w:rsid w:val="00D755D6"/>
    <w:rsid w:val="00D7568B"/>
    <w:rsid w:val="00D75DDD"/>
    <w:rsid w:val="00D76021"/>
    <w:rsid w:val="00D76091"/>
    <w:rsid w:val="00D7614D"/>
    <w:rsid w:val="00D76384"/>
    <w:rsid w:val="00D763D2"/>
    <w:rsid w:val="00D7640F"/>
    <w:rsid w:val="00D76432"/>
    <w:rsid w:val="00D7657E"/>
    <w:rsid w:val="00D76677"/>
    <w:rsid w:val="00D76CA4"/>
    <w:rsid w:val="00D76DEE"/>
    <w:rsid w:val="00D76EAE"/>
    <w:rsid w:val="00D773F5"/>
    <w:rsid w:val="00D77518"/>
    <w:rsid w:val="00D77B84"/>
    <w:rsid w:val="00D77DA0"/>
    <w:rsid w:val="00D801A7"/>
    <w:rsid w:val="00D80534"/>
    <w:rsid w:val="00D8053D"/>
    <w:rsid w:val="00D806D8"/>
    <w:rsid w:val="00D8089C"/>
    <w:rsid w:val="00D80A3D"/>
    <w:rsid w:val="00D80B73"/>
    <w:rsid w:val="00D80BB5"/>
    <w:rsid w:val="00D80D7E"/>
    <w:rsid w:val="00D80E4D"/>
    <w:rsid w:val="00D8100C"/>
    <w:rsid w:val="00D8169E"/>
    <w:rsid w:val="00D8183B"/>
    <w:rsid w:val="00D82252"/>
    <w:rsid w:val="00D82319"/>
    <w:rsid w:val="00D823F2"/>
    <w:rsid w:val="00D8259C"/>
    <w:rsid w:val="00D825F6"/>
    <w:rsid w:val="00D82BF1"/>
    <w:rsid w:val="00D83072"/>
    <w:rsid w:val="00D8307B"/>
    <w:rsid w:val="00D8309C"/>
    <w:rsid w:val="00D833C7"/>
    <w:rsid w:val="00D833F7"/>
    <w:rsid w:val="00D83478"/>
    <w:rsid w:val="00D83705"/>
    <w:rsid w:val="00D83A2E"/>
    <w:rsid w:val="00D83FA5"/>
    <w:rsid w:val="00D83FD5"/>
    <w:rsid w:val="00D843CC"/>
    <w:rsid w:val="00D843E6"/>
    <w:rsid w:val="00D847B6"/>
    <w:rsid w:val="00D848E1"/>
    <w:rsid w:val="00D84939"/>
    <w:rsid w:val="00D84A55"/>
    <w:rsid w:val="00D84A56"/>
    <w:rsid w:val="00D84B66"/>
    <w:rsid w:val="00D84F83"/>
    <w:rsid w:val="00D8511C"/>
    <w:rsid w:val="00D85127"/>
    <w:rsid w:val="00D85D3B"/>
    <w:rsid w:val="00D85E24"/>
    <w:rsid w:val="00D86095"/>
    <w:rsid w:val="00D862A1"/>
    <w:rsid w:val="00D865AF"/>
    <w:rsid w:val="00D8691D"/>
    <w:rsid w:val="00D86C93"/>
    <w:rsid w:val="00D86E8D"/>
    <w:rsid w:val="00D8775E"/>
    <w:rsid w:val="00D87ACE"/>
    <w:rsid w:val="00D87C7F"/>
    <w:rsid w:val="00D87CA7"/>
    <w:rsid w:val="00D9060C"/>
    <w:rsid w:val="00D90787"/>
    <w:rsid w:val="00D90BD7"/>
    <w:rsid w:val="00D90C4E"/>
    <w:rsid w:val="00D91076"/>
    <w:rsid w:val="00D91117"/>
    <w:rsid w:val="00D9139F"/>
    <w:rsid w:val="00D91582"/>
    <w:rsid w:val="00D9158E"/>
    <w:rsid w:val="00D917F6"/>
    <w:rsid w:val="00D91FD1"/>
    <w:rsid w:val="00D92398"/>
    <w:rsid w:val="00D923DB"/>
    <w:rsid w:val="00D9253E"/>
    <w:rsid w:val="00D92555"/>
    <w:rsid w:val="00D92854"/>
    <w:rsid w:val="00D92898"/>
    <w:rsid w:val="00D92A05"/>
    <w:rsid w:val="00D92BE5"/>
    <w:rsid w:val="00D931A4"/>
    <w:rsid w:val="00D933C5"/>
    <w:rsid w:val="00D93770"/>
    <w:rsid w:val="00D9457F"/>
    <w:rsid w:val="00D946F7"/>
    <w:rsid w:val="00D948C2"/>
    <w:rsid w:val="00D95138"/>
    <w:rsid w:val="00D955F4"/>
    <w:rsid w:val="00D95842"/>
    <w:rsid w:val="00D95A60"/>
    <w:rsid w:val="00D95B7B"/>
    <w:rsid w:val="00D963FA"/>
    <w:rsid w:val="00D96455"/>
    <w:rsid w:val="00D96DD3"/>
    <w:rsid w:val="00D96EB0"/>
    <w:rsid w:val="00D96ECB"/>
    <w:rsid w:val="00D97419"/>
    <w:rsid w:val="00D97679"/>
    <w:rsid w:val="00D97783"/>
    <w:rsid w:val="00D97787"/>
    <w:rsid w:val="00D979A9"/>
    <w:rsid w:val="00D979AC"/>
    <w:rsid w:val="00D97C3D"/>
    <w:rsid w:val="00D97D30"/>
    <w:rsid w:val="00D97FAF"/>
    <w:rsid w:val="00DA0171"/>
    <w:rsid w:val="00DA0666"/>
    <w:rsid w:val="00DA0DC9"/>
    <w:rsid w:val="00DA116B"/>
    <w:rsid w:val="00DA1263"/>
    <w:rsid w:val="00DA1367"/>
    <w:rsid w:val="00DA149A"/>
    <w:rsid w:val="00DA15B9"/>
    <w:rsid w:val="00DA1A0A"/>
    <w:rsid w:val="00DA1AAD"/>
    <w:rsid w:val="00DA1D0F"/>
    <w:rsid w:val="00DA1E61"/>
    <w:rsid w:val="00DA1EEA"/>
    <w:rsid w:val="00DA1EF6"/>
    <w:rsid w:val="00DA1F34"/>
    <w:rsid w:val="00DA25C3"/>
    <w:rsid w:val="00DA2978"/>
    <w:rsid w:val="00DA2AC0"/>
    <w:rsid w:val="00DA2E5E"/>
    <w:rsid w:val="00DA3150"/>
    <w:rsid w:val="00DA368E"/>
    <w:rsid w:val="00DA3993"/>
    <w:rsid w:val="00DA3C37"/>
    <w:rsid w:val="00DA3CE0"/>
    <w:rsid w:val="00DA3F26"/>
    <w:rsid w:val="00DA40AB"/>
    <w:rsid w:val="00DA529B"/>
    <w:rsid w:val="00DA53D4"/>
    <w:rsid w:val="00DA5748"/>
    <w:rsid w:val="00DA58BC"/>
    <w:rsid w:val="00DA5AD9"/>
    <w:rsid w:val="00DA5BA6"/>
    <w:rsid w:val="00DA6050"/>
    <w:rsid w:val="00DA6366"/>
    <w:rsid w:val="00DA6404"/>
    <w:rsid w:val="00DA65A9"/>
    <w:rsid w:val="00DA67E9"/>
    <w:rsid w:val="00DA6A74"/>
    <w:rsid w:val="00DA6E86"/>
    <w:rsid w:val="00DA784A"/>
    <w:rsid w:val="00DA7A08"/>
    <w:rsid w:val="00DA7C27"/>
    <w:rsid w:val="00DA7E22"/>
    <w:rsid w:val="00DA7F0C"/>
    <w:rsid w:val="00DB0190"/>
    <w:rsid w:val="00DB0526"/>
    <w:rsid w:val="00DB0758"/>
    <w:rsid w:val="00DB0A90"/>
    <w:rsid w:val="00DB0AB8"/>
    <w:rsid w:val="00DB0AFC"/>
    <w:rsid w:val="00DB0B99"/>
    <w:rsid w:val="00DB0D33"/>
    <w:rsid w:val="00DB0DEC"/>
    <w:rsid w:val="00DB0E96"/>
    <w:rsid w:val="00DB10D6"/>
    <w:rsid w:val="00DB1277"/>
    <w:rsid w:val="00DB145C"/>
    <w:rsid w:val="00DB15BF"/>
    <w:rsid w:val="00DB1721"/>
    <w:rsid w:val="00DB2198"/>
    <w:rsid w:val="00DB22E1"/>
    <w:rsid w:val="00DB23E0"/>
    <w:rsid w:val="00DB26CD"/>
    <w:rsid w:val="00DB2747"/>
    <w:rsid w:val="00DB2A36"/>
    <w:rsid w:val="00DB2CFE"/>
    <w:rsid w:val="00DB2E9F"/>
    <w:rsid w:val="00DB310D"/>
    <w:rsid w:val="00DB313C"/>
    <w:rsid w:val="00DB3655"/>
    <w:rsid w:val="00DB3949"/>
    <w:rsid w:val="00DB3E4F"/>
    <w:rsid w:val="00DB3FED"/>
    <w:rsid w:val="00DB406C"/>
    <w:rsid w:val="00DB456A"/>
    <w:rsid w:val="00DB47FE"/>
    <w:rsid w:val="00DB4FDB"/>
    <w:rsid w:val="00DB5006"/>
    <w:rsid w:val="00DB5019"/>
    <w:rsid w:val="00DB575B"/>
    <w:rsid w:val="00DB5908"/>
    <w:rsid w:val="00DB5FBA"/>
    <w:rsid w:val="00DB6369"/>
    <w:rsid w:val="00DB644E"/>
    <w:rsid w:val="00DB6488"/>
    <w:rsid w:val="00DB64C7"/>
    <w:rsid w:val="00DB6781"/>
    <w:rsid w:val="00DB697C"/>
    <w:rsid w:val="00DB69B9"/>
    <w:rsid w:val="00DB6EDA"/>
    <w:rsid w:val="00DB746B"/>
    <w:rsid w:val="00DB78EA"/>
    <w:rsid w:val="00DB7995"/>
    <w:rsid w:val="00DB79AE"/>
    <w:rsid w:val="00DB79C5"/>
    <w:rsid w:val="00DB7B55"/>
    <w:rsid w:val="00DB7C71"/>
    <w:rsid w:val="00DB7E94"/>
    <w:rsid w:val="00DC006B"/>
    <w:rsid w:val="00DC0255"/>
    <w:rsid w:val="00DC07A8"/>
    <w:rsid w:val="00DC0A15"/>
    <w:rsid w:val="00DC0A5C"/>
    <w:rsid w:val="00DC0CCF"/>
    <w:rsid w:val="00DC0DEE"/>
    <w:rsid w:val="00DC0E53"/>
    <w:rsid w:val="00DC15CC"/>
    <w:rsid w:val="00DC1C16"/>
    <w:rsid w:val="00DC1F95"/>
    <w:rsid w:val="00DC1FC8"/>
    <w:rsid w:val="00DC200E"/>
    <w:rsid w:val="00DC25D6"/>
    <w:rsid w:val="00DC2651"/>
    <w:rsid w:val="00DC29A6"/>
    <w:rsid w:val="00DC2A8F"/>
    <w:rsid w:val="00DC2DF7"/>
    <w:rsid w:val="00DC2FC1"/>
    <w:rsid w:val="00DC300F"/>
    <w:rsid w:val="00DC313F"/>
    <w:rsid w:val="00DC317F"/>
    <w:rsid w:val="00DC3333"/>
    <w:rsid w:val="00DC3402"/>
    <w:rsid w:val="00DC354C"/>
    <w:rsid w:val="00DC3800"/>
    <w:rsid w:val="00DC3910"/>
    <w:rsid w:val="00DC3C40"/>
    <w:rsid w:val="00DC414B"/>
    <w:rsid w:val="00DC441D"/>
    <w:rsid w:val="00DC46F4"/>
    <w:rsid w:val="00DC4807"/>
    <w:rsid w:val="00DC4824"/>
    <w:rsid w:val="00DC486F"/>
    <w:rsid w:val="00DC48A5"/>
    <w:rsid w:val="00DC4993"/>
    <w:rsid w:val="00DC4AD3"/>
    <w:rsid w:val="00DC4D7A"/>
    <w:rsid w:val="00DC4DF6"/>
    <w:rsid w:val="00DC4F2A"/>
    <w:rsid w:val="00DC4FE3"/>
    <w:rsid w:val="00DC51AF"/>
    <w:rsid w:val="00DC52E1"/>
    <w:rsid w:val="00DC5459"/>
    <w:rsid w:val="00DC54A6"/>
    <w:rsid w:val="00DC54A7"/>
    <w:rsid w:val="00DC5608"/>
    <w:rsid w:val="00DC5B1B"/>
    <w:rsid w:val="00DC5BE4"/>
    <w:rsid w:val="00DC636B"/>
    <w:rsid w:val="00DC63E5"/>
    <w:rsid w:val="00DC6616"/>
    <w:rsid w:val="00DC66EC"/>
    <w:rsid w:val="00DC67D5"/>
    <w:rsid w:val="00DC6ABD"/>
    <w:rsid w:val="00DC6E66"/>
    <w:rsid w:val="00DC6F42"/>
    <w:rsid w:val="00DC70C0"/>
    <w:rsid w:val="00DC70E3"/>
    <w:rsid w:val="00DC7158"/>
    <w:rsid w:val="00DC7255"/>
    <w:rsid w:val="00DC7D0F"/>
    <w:rsid w:val="00DD0032"/>
    <w:rsid w:val="00DD003C"/>
    <w:rsid w:val="00DD02F9"/>
    <w:rsid w:val="00DD030F"/>
    <w:rsid w:val="00DD03E2"/>
    <w:rsid w:val="00DD07FB"/>
    <w:rsid w:val="00DD09FA"/>
    <w:rsid w:val="00DD0C2F"/>
    <w:rsid w:val="00DD0D1A"/>
    <w:rsid w:val="00DD0E41"/>
    <w:rsid w:val="00DD1323"/>
    <w:rsid w:val="00DD1992"/>
    <w:rsid w:val="00DD1A65"/>
    <w:rsid w:val="00DD1C51"/>
    <w:rsid w:val="00DD1D55"/>
    <w:rsid w:val="00DD1ED7"/>
    <w:rsid w:val="00DD2036"/>
    <w:rsid w:val="00DD2069"/>
    <w:rsid w:val="00DD2435"/>
    <w:rsid w:val="00DD2A7A"/>
    <w:rsid w:val="00DD2B30"/>
    <w:rsid w:val="00DD2E3E"/>
    <w:rsid w:val="00DD364E"/>
    <w:rsid w:val="00DD3B13"/>
    <w:rsid w:val="00DD3C59"/>
    <w:rsid w:val="00DD422A"/>
    <w:rsid w:val="00DD460B"/>
    <w:rsid w:val="00DD4B8E"/>
    <w:rsid w:val="00DD4B94"/>
    <w:rsid w:val="00DD4ED7"/>
    <w:rsid w:val="00DD4FC8"/>
    <w:rsid w:val="00DD4FE7"/>
    <w:rsid w:val="00DD51CA"/>
    <w:rsid w:val="00DD5323"/>
    <w:rsid w:val="00DD580E"/>
    <w:rsid w:val="00DD592C"/>
    <w:rsid w:val="00DD5971"/>
    <w:rsid w:val="00DD6388"/>
    <w:rsid w:val="00DD659D"/>
    <w:rsid w:val="00DD6652"/>
    <w:rsid w:val="00DD6789"/>
    <w:rsid w:val="00DD67A6"/>
    <w:rsid w:val="00DD680A"/>
    <w:rsid w:val="00DD68E2"/>
    <w:rsid w:val="00DD6951"/>
    <w:rsid w:val="00DD6AA2"/>
    <w:rsid w:val="00DD6D7B"/>
    <w:rsid w:val="00DD6ED1"/>
    <w:rsid w:val="00DD75B3"/>
    <w:rsid w:val="00DD75BA"/>
    <w:rsid w:val="00DD77A7"/>
    <w:rsid w:val="00DE07F9"/>
    <w:rsid w:val="00DE084A"/>
    <w:rsid w:val="00DE08BD"/>
    <w:rsid w:val="00DE0C1E"/>
    <w:rsid w:val="00DE0CC6"/>
    <w:rsid w:val="00DE0F55"/>
    <w:rsid w:val="00DE117B"/>
    <w:rsid w:val="00DE145B"/>
    <w:rsid w:val="00DE14B5"/>
    <w:rsid w:val="00DE1576"/>
    <w:rsid w:val="00DE18AD"/>
    <w:rsid w:val="00DE1C70"/>
    <w:rsid w:val="00DE200D"/>
    <w:rsid w:val="00DE20B8"/>
    <w:rsid w:val="00DE242D"/>
    <w:rsid w:val="00DE24E6"/>
    <w:rsid w:val="00DE251D"/>
    <w:rsid w:val="00DE268A"/>
    <w:rsid w:val="00DE2765"/>
    <w:rsid w:val="00DE2C41"/>
    <w:rsid w:val="00DE2CBF"/>
    <w:rsid w:val="00DE2E89"/>
    <w:rsid w:val="00DE32BF"/>
    <w:rsid w:val="00DE332A"/>
    <w:rsid w:val="00DE3972"/>
    <w:rsid w:val="00DE4C17"/>
    <w:rsid w:val="00DE4D13"/>
    <w:rsid w:val="00DE4D48"/>
    <w:rsid w:val="00DE4EE9"/>
    <w:rsid w:val="00DE5439"/>
    <w:rsid w:val="00DE56F3"/>
    <w:rsid w:val="00DE5739"/>
    <w:rsid w:val="00DE599D"/>
    <w:rsid w:val="00DE59DB"/>
    <w:rsid w:val="00DE5B20"/>
    <w:rsid w:val="00DE6028"/>
    <w:rsid w:val="00DE6235"/>
    <w:rsid w:val="00DE62CD"/>
    <w:rsid w:val="00DE6310"/>
    <w:rsid w:val="00DE67D7"/>
    <w:rsid w:val="00DE6918"/>
    <w:rsid w:val="00DE6973"/>
    <w:rsid w:val="00DE6AB6"/>
    <w:rsid w:val="00DE6BDD"/>
    <w:rsid w:val="00DE6C9E"/>
    <w:rsid w:val="00DE7014"/>
    <w:rsid w:val="00DE7AB8"/>
    <w:rsid w:val="00DE7BBC"/>
    <w:rsid w:val="00DE7C98"/>
    <w:rsid w:val="00DE7F84"/>
    <w:rsid w:val="00DF0171"/>
    <w:rsid w:val="00DF018B"/>
    <w:rsid w:val="00DF049A"/>
    <w:rsid w:val="00DF0887"/>
    <w:rsid w:val="00DF0BD4"/>
    <w:rsid w:val="00DF0BEF"/>
    <w:rsid w:val="00DF0DD6"/>
    <w:rsid w:val="00DF10BE"/>
    <w:rsid w:val="00DF11D1"/>
    <w:rsid w:val="00DF12CB"/>
    <w:rsid w:val="00DF12E9"/>
    <w:rsid w:val="00DF1341"/>
    <w:rsid w:val="00DF1587"/>
    <w:rsid w:val="00DF18C0"/>
    <w:rsid w:val="00DF1A22"/>
    <w:rsid w:val="00DF1BAF"/>
    <w:rsid w:val="00DF1F8B"/>
    <w:rsid w:val="00DF228E"/>
    <w:rsid w:val="00DF2654"/>
    <w:rsid w:val="00DF2914"/>
    <w:rsid w:val="00DF2FB1"/>
    <w:rsid w:val="00DF3141"/>
    <w:rsid w:val="00DF332B"/>
    <w:rsid w:val="00DF34E8"/>
    <w:rsid w:val="00DF37E4"/>
    <w:rsid w:val="00DF3CDF"/>
    <w:rsid w:val="00DF43AE"/>
    <w:rsid w:val="00DF4522"/>
    <w:rsid w:val="00DF459F"/>
    <w:rsid w:val="00DF48CE"/>
    <w:rsid w:val="00DF4CF8"/>
    <w:rsid w:val="00DF4EA1"/>
    <w:rsid w:val="00DF4F7F"/>
    <w:rsid w:val="00DF536E"/>
    <w:rsid w:val="00DF5480"/>
    <w:rsid w:val="00DF5553"/>
    <w:rsid w:val="00DF55DC"/>
    <w:rsid w:val="00DF5738"/>
    <w:rsid w:val="00DF574D"/>
    <w:rsid w:val="00DF583E"/>
    <w:rsid w:val="00DF59BB"/>
    <w:rsid w:val="00DF59FF"/>
    <w:rsid w:val="00DF5B0D"/>
    <w:rsid w:val="00DF61C3"/>
    <w:rsid w:val="00DF6384"/>
    <w:rsid w:val="00DF65BA"/>
    <w:rsid w:val="00DF66EF"/>
    <w:rsid w:val="00DF688A"/>
    <w:rsid w:val="00DF6E9C"/>
    <w:rsid w:val="00DF73AB"/>
    <w:rsid w:val="00DF7599"/>
    <w:rsid w:val="00DF76F0"/>
    <w:rsid w:val="00DF7B73"/>
    <w:rsid w:val="00DF7BEE"/>
    <w:rsid w:val="00DF7C71"/>
    <w:rsid w:val="00DF7D85"/>
    <w:rsid w:val="00DF7F6A"/>
    <w:rsid w:val="00E00449"/>
    <w:rsid w:val="00E006FD"/>
    <w:rsid w:val="00E007E5"/>
    <w:rsid w:val="00E0095D"/>
    <w:rsid w:val="00E00AF6"/>
    <w:rsid w:val="00E0126C"/>
    <w:rsid w:val="00E01411"/>
    <w:rsid w:val="00E017A1"/>
    <w:rsid w:val="00E01A3A"/>
    <w:rsid w:val="00E01A76"/>
    <w:rsid w:val="00E01B5B"/>
    <w:rsid w:val="00E0211B"/>
    <w:rsid w:val="00E02246"/>
    <w:rsid w:val="00E024E8"/>
    <w:rsid w:val="00E02DD8"/>
    <w:rsid w:val="00E02EB4"/>
    <w:rsid w:val="00E02F61"/>
    <w:rsid w:val="00E03159"/>
    <w:rsid w:val="00E0339C"/>
    <w:rsid w:val="00E035B9"/>
    <w:rsid w:val="00E03640"/>
    <w:rsid w:val="00E036F9"/>
    <w:rsid w:val="00E03A1B"/>
    <w:rsid w:val="00E03B76"/>
    <w:rsid w:val="00E03CD6"/>
    <w:rsid w:val="00E04034"/>
    <w:rsid w:val="00E0405E"/>
    <w:rsid w:val="00E0428B"/>
    <w:rsid w:val="00E04561"/>
    <w:rsid w:val="00E0478E"/>
    <w:rsid w:val="00E04A96"/>
    <w:rsid w:val="00E05427"/>
    <w:rsid w:val="00E05966"/>
    <w:rsid w:val="00E05E75"/>
    <w:rsid w:val="00E05EAA"/>
    <w:rsid w:val="00E05EAC"/>
    <w:rsid w:val="00E05EFF"/>
    <w:rsid w:val="00E05F7A"/>
    <w:rsid w:val="00E06036"/>
    <w:rsid w:val="00E06213"/>
    <w:rsid w:val="00E06292"/>
    <w:rsid w:val="00E0671F"/>
    <w:rsid w:val="00E067FC"/>
    <w:rsid w:val="00E0686F"/>
    <w:rsid w:val="00E06A33"/>
    <w:rsid w:val="00E06BB8"/>
    <w:rsid w:val="00E06EC2"/>
    <w:rsid w:val="00E0725E"/>
    <w:rsid w:val="00E072DA"/>
    <w:rsid w:val="00E074BD"/>
    <w:rsid w:val="00E076C1"/>
    <w:rsid w:val="00E077A8"/>
    <w:rsid w:val="00E0790D"/>
    <w:rsid w:val="00E07BFA"/>
    <w:rsid w:val="00E07C57"/>
    <w:rsid w:val="00E07D21"/>
    <w:rsid w:val="00E10353"/>
    <w:rsid w:val="00E103D5"/>
    <w:rsid w:val="00E1065A"/>
    <w:rsid w:val="00E1086A"/>
    <w:rsid w:val="00E10B4F"/>
    <w:rsid w:val="00E10B83"/>
    <w:rsid w:val="00E10EF0"/>
    <w:rsid w:val="00E11103"/>
    <w:rsid w:val="00E112B3"/>
    <w:rsid w:val="00E1148F"/>
    <w:rsid w:val="00E11977"/>
    <w:rsid w:val="00E11BB0"/>
    <w:rsid w:val="00E11C8F"/>
    <w:rsid w:val="00E11CDF"/>
    <w:rsid w:val="00E1212D"/>
    <w:rsid w:val="00E123A3"/>
    <w:rsid w:val="00E123CE"/>
    <w:rsid w:val="00E12597"/>
    <w:rsid w:val="00E125BF"/>
    <w:rsid w:val="00E12D6A"/>
    <w:rsid w:val="00E1320C"/>
    <w:rsid w:val="00E138B5"/>
    <w:rsid w:val="00E13A77"/>
    <w:rsid w:val="00E13AAB"/>
    <w:rsid w:val="00E13D05"/>
    <w:rsid w:val="00E141FF"/>
    <w:rsid w:val="00E147FB"/>
    <w:rsid w:val="00E14CE5"/>
    <w:rsid w:val="00E14DCE"/>
    <w:rsid w:val="00E15131"/>
    <w:rsid w:val="00E153A6"/>
    <w:rsid w:val="00E154CA"/>
    <w:rsid w:val="00E154FA"/>
    <w:rsid w:val="00E160B4"/>
    <w:rsid w:val="00E161C5"/>
    <w:rsid w:val="00E161CB"/>
    <w:rsid w:val="00E161ED"/>
    <w:rsid w:val="00E162A5"/>
    <w:rsid w:val="00E16322"/>
    <w:rsid w:val="00E1660F"/>
    <w:rsid w:val="00E167CB"/>
    <w:rsid w:val="00E16A2F"/>
    <w:rsid w:val="00E16CAE"/>
    <w:rsid w:val="00E16E80"/>
    <w:rsid w:val="00E170B9"/>
    <w:rsid w:val="00E1724E"/>
    <w:rsid w:val="00E1730D"/>
    <w:rsid w:val="00E1731A"/>
    <w:rsid w:val="00E173EF"/>
    <w:rsid w:val="00E17449"/>
    <w:rsid w:val="00E174DB"/>
    <w:rsid w:val="00E176BD"/>
    <w:rsid w:val="00E176CA"/>
    <w:rsid w:val="00E1783A"/>
    <w:rsid w:val="00E178B0"/>
    <w:rsid w:val="00E17A0A"/>
    <w:rsid w:val="00E17B90"/>
    <w:rsid w:val="00E17BD5"/>
    <w:rsid w:val="00E21155"/>
    <w:rsid w:val="00E211CD"/>
    <w:rsid w:val="00E2153F"/>
    <w:rsid w:val="00E21943"/>
    <w:rsid w:val="00E2218C"/>
    <w:rsid w:val="00E222AC"/>
    <w:rsid w:val="00E223FE"/>
    <w:rsid w:val="00E22628"/>
    <w:rsid w:val="00E228C5"/>
    <w:rsid w:val="00E22E2C"/>
    <w:rsid w:val="00E230FC"/>
    <w:rsid w:val="00E23553"/>
    <w:rsid w:val="00E2361E"/>
    <w:rsid w:val="00E23BD6"/>
    <w:rsid w:val="00E24465"/>
    <w:rsid w:val="00E247F0"/>
    <w:rsid w:val="00E24B52"/>
    <w:rsid w:val="00E24ED1"/>
    <w:rsid w:val="00E24F63"/>
    <w:rsid w:val="00E256E3"/>
    <w:rsid w:val="00E258E1"/>
    <w:rsid w:val="00E25B0E"/>
    <w:rsid w:val="00E25D30"/>
    <w:rsid w:val="00E25FEA"/>
    <w:rsid w:val="00E26263"/>
    <w:rsid w:val="00E26334"/>
    <w:rsid w:val="00E26545"/>
    <w:rsid w:val="00E26992"/>
    <w:rsid w:val="00E26A60"/>
    <w:rsid w:val="00E26BBB"/>
    <w:rsid w:val="00E26DF6"/>
    <w:rsid w:val="00E2727E"/>
    <w:rsid w:val="00E27675"/>
    <w:rsid w:val="00E27697"/>
    <w:rsid w:val="00E27FA4"/>
    <w:rsid w:val="00E30731"/>
    <w:rsid w:val="00E307A7"/>
    <w:rsid w:val="00E30BAD"/>
    <w:rsid w:val="00E30D15"/>
    <w:rsid w:val="00E30EAA"/>
    <w:rsid w:val="00E30ED2"/>
    <w:rsid w:val="00E314F1"/>
    <w:rsid w:val="00E318F6"/>
    <w:rsid w:val="00E319E3"/>
    <w:rsid w:val="00E31AA9"/>
    <w:rsid w:val="00E31DAD"/>
    <w:rsid w:val="00E321F0"/>
    <w:rsid w:val="00E32260"/>
    <w:rsid w:val="00E3227F"/>
    <w:rsid w:val="00E32561"/>
    <w:rsid w:val="00E325E5"/>
    <w:rsid w:val="00E334D4"/>
    <w:rsid w:val="00E33CA4"/>
    <w:rsid w:val="00E3401B"/>
    <w:rsid w:val="00E34374"/>
    <w:rsid w:val="00E3439A"/>
    <w:rsid w:val="00E343D1"/>
    <w:rsid w:val="00E3475C"/>
    <w:rsid w:val="00E34A11"/>
    <w:rsid w:val="00E34BFE"/>
    <w:rsid w:val="00E34C5A"/>
    <w:rsid w:val="00E34C99"/>
    <w:rsid w:val="00E34DA0"/>
    <w:rsid w:val="00E34E76"/>
    <w:rsid w:val="00E352C3"/>
    <w:rsid w:val="00E358DA"/>
    <w:rsid w:val="00E35954"/>
    <w:rsid w:val="00E35BD2"/>
    <w:rsid w:val="00E35C4D"/>
    <w:rsid w:val="00E36446"/>
    <w:rsid w:val="00E364C6"/>
    <w:rsid w:val="00E366FB"/>
    <w:rsid w:val="00E3683E"/>
    <w:rsid w:val="00E36913"/>
    <w:rsid w:val="00E36B54"/>
    <w:rsid w:val="00E36B8C"/>
    <w:rsid w:val="00E36DCD"/>
    <w:rsid w:val="00E3716D"/>
    <w:rsid w:val="00E37569"/>
    <w:rsid w:val="00E376CA"/>
    <w:rsid w:val="00E37723"/>
    <w:rsid w:val="00E37A94"/>
    <w:rsid w:val="00E37B84"/>
    <w:rsid w:val="00E4004E"/>
    <w:rsid w:val="00E40225"/>
    <w:rsid w:val="00E40248"/>
    <w:rsid w:val="00E40637"/>
    <w:rsid w:val="00E407C9"/>
    <w:rsid w:val="00E40C35"/>
    <w:rsid w:val="00E40DBF"/>
    <w:rsid w:val="00E40E53"/>
    <w:rsid w:val="00E414A9"/>
    <w:rsid w:val="00E417DE"/>
    <w:rsid w:val="00E41BEB"/>
    <w:rsid w:val="00E41C51"/>
    <w:rsid w:val="00E41CE4"/>
    <w:rsid w:val="00E41DB2"/>
    <w:rsid w:val="00E424EB"/>
    <w:rsid w:val="00E42BED"/>
    <w:rsid w:val="00E42E07"/>
    <w:rsid w:val="00E4321E"/>
    <w:rsid w:val="00E4336F"/>
    <w:rsid w:val="00E4361E"/>
    <w:rsid w:val="00E437EF"/>
    <w:rsid w:val="00E43A95"/>
    <w:rsid w:val="00E44107"/>
    <w:rsid w:val="00E443FE"/>
    <w:rsid w:val="00E448C2"/>
    <w:rsid w:val="00E44C64"/>
    <w:rsid w:val="00E44EBF"/>
    <w:rsid w:val="00E44F1E"/>
    <w:rsid w:val="00E452A4"/>
    <w:rsid w:val="00E45507"/>
    <w:rsid w:val="00E458A1"/>
    <w:rsid w:val="00E45928"/>
    <w:rsid w:val="00E45B6E"/>
    <w:rsid w:val="00E460E0"/>
    <w:rsid w:val="00E462D3"/>
    <w:rsid w:val="00E46343"/>
    <w:rsid w:val="00E463AA"/>
    <w:rsid w:val="00E46451"/>
    <w:rsid w:val="00E46AA3"/>
    <w:rsid w:val="00E46E3A"/>
    <w:rsid w:val="00E46FA7"/>
    <w:rsid w:val="00E471E9"/>
    <w:rsid w:val="00E4730C"/>
    <w:rsid w:val="00E47320"/>
    <w:rsid w:val="00E473EF"/>
    <w:rsid w:val="00E473FB"/>
    <w:rsid w:val="00E47572"/>
    <w:rsid w:val="00E47677"/>
    <w:rsid w:val="00E476C7"/>
    <w:rsid w:val="00E4780E"/>
    <w:rsid w:val="00E47F7E"/>
    <w:rsid w:val="00E50026"/>
    <w:rsid w:val="00E5005E"/>
    <w:rsid w:val="00E50468"/>
    <w:rsid w:val="00E509F2"/>
    <w:rsid w:val="00E50B12"/>
    <w:rsid w:val="00E50DD1"/>
    <w:rsid w:val="00E50DD7"/>
    <w:rsid w:val="00E5107D"/>
    <w:rsid w:val="00E51143"/>
    <w:rsid w:val="00E511A7"/>
    <w:rsid w:val="00E51343"/>
    <w:rsid w:val="00E5144A"/>
    <w:rsid w:val="00E5182B"/>
    <w:rsid w:val="00E519BB"/>
    <w:rsid w:val="00E51B30"/>
    <w:rsid w:val="00E51F08"/>
    <w:rsid w:val="00E526F5"/>
    <w:rsid w:val="00E53163"/>
    <w:rsid w:val="00E53268"/>
    <w:rsid w:val="00E5365C"/>
    <w:rsid w:val="00E53A65"/>
    <w:rsid w:val="00E53DDD"/>
    <w:rsid w:val="00E542C7"/>
    <w:rsid w:val="00E54340"/>
    <w:rsid w:val="00E547AB"/>
    <w:rsid w:val="00E54D09"/>
    <w:rsid w:val="00E54DBD"/>
    <w:rsid w:val="00E551F8"/>
    <w:rsid w:val="00E5539D"/>
    <w:rsid w:val="00E55692"/>
    <w:rsid w:val="00E557CA"/>
    <w:rsid w:val="00E559BC"/>
    <w:rsid w:val="00E55A5B"/>
    <w:rsid w:val="00E55CBA"/>
    <w:rsid w:val="00E55D5F"/>
    <w:rsid w:val="00E55DD8"/>
    <w:rsid w:val="00E562F2"/>
    <w:rsid w:val="00E5753B"/>
    <w:rsid w:val="00E575FE"/>
    <w:rsid w:val="00E5783F"/>
    <w:rsid w:val="00E578E8"/>
    <w:rsid w:val="00E57920"/>
    <w:rsid w:val="00E57D16"/>
    <w:rsid w:val="00E57D9A"/>
    <w:rsid w:val="00E57F9D"/>
    <w:rsid w:val="00E60124"/>
    <w:rsid w:val="00E6058F"/>
    <w:rsid w:val="00E60E85"/>
    <w:rsid w:val="00E61131"/>
    <w:rsid w:val="00E611AB"/>
    <w:rsid w:val="00E61590"/>
    <w:rsid w:val="00E61617"/>
    <w:rsid w:val="00E616B1"/>
    <w:rsid w:val="00E61893"/>
    <w:rsid w:val="00E62114"/>
    <w:rsid w:val="00E622F1"/>
    <w:rsid w:val="00E62E65"/>
    <w:rsid w:val="00E6323C"/>
    <w:rsid w:val="00E63474"/>
    <w:rsid w:val="00E63FB1"/>
    <w:rsid w:val="00E642E2"/>
    <w:rsid w:val="00E647BA"/>
    <w:rsid w:val="00E64947"/>
    <w:rsid w:val="00E64B71"/>
    <w:rsid w:val="00E64FD9"/>
    <w:rsid w:val="00E65055"/>
    <w:rsid w:val="00E65366"/>
    <w:rsid w:val="00E653CE"/>
    <w:rsid w:val="00E654C5"/>
    <w:rsid w:val="00E65687"/>
    <w:rsid w:val="00E659B6"/>
    <w:rsid w:val="00E65E24"/>
    <w:rsid w:val="00E65FC7"/>
    <w:rsid w:val="00E661C1"/>
    <w:rsid w:val="00E6649B"/>
    <w:rsid w:val="00E66511"/>
    <w:rsid w:val="00E666A6"/>
    <w:rsid w:val="00E666BC"/>
    <w:rsid w:val="00E666C0"/>
    <w:rsid w:val="00E6671C"/>
    <w:rsid w:val="00E66B59"/>
    <w:rsid w:val="00E676FA"/>
    <w:rsid w:val="00E67A53"/>
    <w:rsid w:val="00E67A89"/>
    <w:rsid w:val="00E67ACB"/>
    <w:rsid w:val="00E67E63"/>
    <w:rsid w:val="00E708A6"/>
    <w:rsid w:val="00E7091B"/>
    <w:rsid w:val="00E70A14"/>
    <w:rsid w:val="00E70CF9"/>
    <w:rsid w:val="00E70DBD"/>
    <w:rsid w:val="00E7110F"/>
    <w:rsid w:val="00E716A7"/>
    <w:rsid w:val="00E719D2"/>
    <w:rsid w:val="00E71A5B"/>
    <w:rsid w:val="00E71DC7"/>
    <w:rsid w:val="00E723C9"/>
    <w:rsid w:val="00E72535"/>
    <w:rsid w:val="00E7254D"/>
    <w:rsid w:val="00E727AA"/>
    <w:rsid w:val="00E72C43"/>
    <w:rsid w:val="00E731D6"/>
    <w:rsid w:val="00E73217"/>
    <w:rsid w:val="00E73324"/>
    <w:rsid w:val="00E737E1"/>
    <w:rsid w:val="00E73A4F"/>
    <w:rsid w:val="00E73B5D"/>
    <w:rsid w:val="00E73C0D"/>
    <w:rsid w:val="00E73DFE"/>
    <w:rsid w:val="00E73F3D"/>
    <w:rsid w:val="00E740BB"/>
    <w:rsid w:val="00E744FA"/>
    <w:rsid w:val="00E748FD"/>
    <w:rsid w:val="00E74DEF"/>
    <w:rsid w:val="00E74E3E"/>
    <w:rsid w:val="00E74EB3"/>
    <w:rsid w:val="00E75242"/>
    <w:rsid w:val="00E754CF"/>
    <w:rsid w:val="00E75CD1"/>
    <w:rsid w:val="00E75CEA"/>
    <w:rsid w:val="00E75F28"/>
    <w:rsid w:val="00E763AB"/>
    <w:rsid w:val="00E76422"/>
    <w:rsid w:val="00E7646C"/>
    <w:rsid w:val="00E7687B"/>
    <w:rsid w:val="00E76D5E"/>
    <w:rsid w:val="00E770C4"/>
    <w:rsid w:val="00E7710B"/>
    <w:rsid w:val="00E774E3"/>
    <w:rsid w:val="00E774EC"/>
    <w:rsid w:val="00E77867"/>
    <w:rsid w:val="00E77C0C"/>
    <w:rsid w:val="00E80008"/>
    <w:rsid w:val="00E8004A"/>
    <w:rsid w:val="00E8010D"/>
    <w:rsid w:val="00E80205"/>
    <w:rsid w:val="00E807AC"/>
    <w:rsid w:val="00E80919"/>
    <w:rsid w:val="00E809AA"/>
    <w:rsid w:val="00E80A0C"/>
    <w:rsid w:val="00E81020"/>
    <w:rsid w:val="00E8113D"/>
    <w:rsid w:val="00E813C8"/>
    <w:rsid w:val="00E81AC8"/>
    <w:rsid w:val="00E81B08"/>
    <w:rsid w:val="00E81C86"/>
    <w:rsid w:val="00E81D93"/>
    <w:rsid w:val="00E82234"/>
    <w:rsid w:val="00E8248E"/>
    <w:rsid w:val="00E82532"/>
    <w:rsid w:val="00E828A6"/>
    <w:rsid w:val="00E829C6"/>
    <w:rsid w:val="00E82FD8"/>
    <w:rsid w:val="00E831BC"/>
    <w:rsid w:val="00E83337"/>
    <w:rsid w:val="00E833C3"/>
    <w:rsid w:val="00E83760"/>
    <w:rsid w:val="00E83896"/>
    <w:rsid w:val="00E83A47"/>
    <w:rsid w:val="00E83D34"/>
    <w:rsid w:val="00E83F1E"/>
    <w:rsid w:val="00E83FE7"/>
    <w:rsid w:val="00E8410D"/>
    <w:rsid w:val="00E84CE0"/>
    <w:rsid w:val="00E8529E"/>
    <w:rsid w:val="00E85472"/>
    <w:rsid w:val="00E858E1"/>
    <w:rsid w:val="00E85903"/>
    <w:rsid w:val="00E85D0A"/>
    <w:rsid w:val="00E861FA"/>
    <w:rsid w:val="00E86299"/>
    <w:rsid w:val="00E86330"/>
    <w:rsid w:val="00E86344"/>
    <w:rsid w:val="00E8646B"/>
    <w:rsid w:val="00E86515"/>
    <w:rsid w:val="00E86589"/>
    <w:rsid w:val="00E869BC"/>
    <w:rsid w:val="00E86A20"/>
    <w:rsid w:val="00E86A4D"/>
    <w:rsid w:val="00E86B14"/>
    <w:rsid w:val="00E86F35"/>
    <w:rsid w:val="00E87114"/>
    <w:rsid w:val="00E8713C"/>
    <w:rsid w:val="00E87498"/>
    <w:rsid w:val="00E87B01"/>
    <w:rsid w:val="00E87DEA"/>
    <w:rsid w:val="00E87E1E"/>
    <w:rsid w:val="00E90023"/>
    <w:rsid w:val="00E90136"/>
    <w:rsid w:val="00E901DA"/>
    <w:rsid w:val="00E902CA"/>
    <w:rsid w:val="00E90453"/>
    <w:rsid w:val="00E904E8"/>
    <w:rsid w:val="00E905C4"/>
    <w:rsid w:val="00E908E9"/>
    <w:rsid w:val="00E90DCE"/>
    <w:rsid w:val="00E9161C"/>
    <w:rsid w:val="00E9170D"/>
    <w:rsid w:val="00E91C0A"/>
    <w:rsid w:val="00E91C8C"/>
    <w:rsid w:val="00E91D9A"/>
    <w:rsid w:val="00E92182"/>
    <w:rsid w:val="00E9234B"/>
    <w:rsid w:val="00E9237C"/>
    <w:rsid w:val="00E924CC"/>
    <w:rsid w:val="00E92D85"/>
    <w:rsid w:val="00E92DC2"/>
    <w:rsid w:val="00E92EAA"/>
    <w:rsid w:val="00E93120"/>
    <w:rsid w:val="00E93127"/>
    <w:rsid w:val="00E9327D"/>
    <w:rsid w:val="00E934FB"/>
    <w:rsid w:val="00E93581"/>
    <w:rsid w:val="00E937F9"/>
    <w:rsid w:val="00E93842"/>
    <w:rsid w:val="00E93A0C"/>
    <w:rsid w:val="00E940CC"/>
    <w:rsid w:val="00E9436D"/>
    <w:rsid w:val="00E943A2"/>
    <w:rsid w:val="00E944DC"/>
    <w:rsid w:val="00E945EB"/>
    <w:rsid w:val="00E946D1"/>
    <w:rsid w:val="00E946DB"/>
    <w:rsid w:val="00E94943"/>
    <w:rsid w:val="00E94960"/>
    <w:rsid w:val="00E94B7E"/>
    <w:rsid w:val="00E94D0B"/>
    <w:rsid w:val="00E94FD7"/>
    <w:rsid w:val="00E951C4"/>
    <w:rsid w:val="00E958B6"/>
    <w:rsid w:val="00E95991"/>
    <w:rsid w:val="00E95B26"/>
    <w:rsid w:val="00E95CB1"/>
    <w:rsid w:val="00E95CE7"/>
    <w:rsid w:val="00E964FC"/>
    <w:rsid w:val="00E96521"/>
    <w:rsid w:val="00E96C3B"/>
    <w:rsid w:val="00E96C9E"/>
    <w:rsid w:val="00E96E3C"/>
    <w:rsid w:val="00E96FB0"/>
    <w:rsid w:val="00E96FD9"/>
    <w:rsid w:val="00E97045"/>
    <w:rsid w:val="00E97298"/>
    <w:rsid w:val="00E974F2"/>
    <w:rsid w:val="00E97B37"/>
    <w:rsid w:val="00E97BDD"/>
    <w:rsid w:val="00E97C91"/>
    <w:rsid w:val="00E97F88"/>
    <w:rsid w:val="00EA018E"/>
    <w:rsid w:val="00EA03B3"/>
    <w:rsid w:val="00EA0589"/>
    <w:rsid w:val="00EA0740"/>
    <w:rsid w:val="00EA0AC7"/>
    <w:rsid w:val="00EA0D2D"/>
    <w:rsid w:val="00EA0D34"/>
    <w:rsid w:val="00EA0E53"/>
    <w:rsid w:val="00EA1134"/>
    <w:rsid w:val="00EA1931"/>
    <w:rsid w:val="00EA19BF"/>
    <w:rsid w:val="00EA1A57"/>
    <w:rsid w:val="00EA1B6B"/>
    <w:rsid w:val="00EA1E27"/>
    <w:rsid w:val="00EA1E42"/>
    <w:rsid w:val="00EA20ED"/>
    <w:rsid w:val="00EA2676"/>
    <w:rsid w:val="00EA28E8"/>
    <w:rsid w:val="00EA2A23"/>
    <w:rsid w:val="00EA2BBD"/>
    <w:rsid w:val="00EA2E5A"/>
    <w:rsid w:val="00EA2FC1"/>
    <w:rsid w:val="00EA32DA"/>
    <w:rsid w:val="00EA33A5"/>
    <w:rsid w:val="00EA341A"/>
    <w:rsid w:val="00EA397B"/>
    <w:rsid w:val="00EA3D48"/>
    <w:rsid w:val="00EA3F40"/>
    <w:rsid w:val="00EA3FD5"/>
    <w:rsid w:val="00EA44C1"/>
    <w:rsid w:val="00EA4558"/>
    <w:rsid w:val="00EA4B70"/>
    <w:rsid w:val="00EA52CD"/>
    <w:rsid w:val="00EA5497"/>
    <w:rsid w:val="00EA550B"/>
    <w:rsid w:val="00EA5567"/>
    <w:rsid w:val="00EA58AB"/>
    <w:rsid w:val="00EA58BC"/>
    <w:rsid w:val="00EA592E"/>
    <w:rsid w:val="00EA59A9"/>
    <w:rsid w:val="00EA5A7F"/>
    <w:rsid w:val="00EA5AE1"/>
    <w:rsid w:val="00EA5EC4"/>
    <w:rsid w:val="00EA624C"/>
    <w:rsid w:val="00EA65CD"/>
    <w:rsid w:val="00EA6C1F"/>
    <w:rsid w:val="00EA6D60"/>
    <w:rsid w:val="00EA6DC2"/>
    <w:rsid w:val="00EA7487"/>
    <w:rsid w:val="00EA76E3"/>
    <w:rsid w:val="00EA783D"/>
    <w:rsid w:val="00EA7946"/>
    <w:rsid w:val="00EA7B84"/>
    <w:rsid w:val="00EA7D23"/>
    <w:rsid w:val="00EA7DD1"/>
    <w:rsid w:val="00EB0263"/>
    <w:rsid w:val="00EB06BF"/>
    <w:rsid w:val="00EB0889"/>
    <w:rsid w:val="00EB0FBA"/>
    <w:rsid w:val="00EB0FC7"/>
    <w:rsid w:val="00EB114F"/>
    <w:rsid w:val="00EB12E9"/>
    <w:rsid w:val="00EB136E"/>
    <w:rsid w:val="00EB1422"/>
    <w:rsid w:val="00EB147E"/>
    <w:rsid w:val="00EB14CD"/>
    <w:rsid w:val="00EB17C4"/>
    <w:rsid w:val="00EB1C40"/>
    <w:rsid w:val="00EB1CC1"/>
    <w:rsid w:val="00EB1CF0"/>
    <w:rsid w:val="00EB2353"/>
    <w:rsid w:val="00EB26C9"/>
    <w:rsid w:val="00EB2766"/>
    <w:rsid w:val="00EB28CB"/>
    <w:rsid w:val="00EB29B6"/>
    <w:rsid w:val="00EB2CFB"/>
    <w:rsid w:val="00EB2D94"/>
    <w:rsid w:val="00EB2EC5"/>
    <w:rsid w:val="00EB309F"/>
    <w:rsid w:val="00EB318E"/>
    <w:rsid w:val="00EB31EC"/>
    <w:rsid w:val="00EB345D"/>
    <w:rsid w:val="00EB3967"/>
    <w:rsid w:val="00EB3DB8"/>
    <w:rsid w:val="00EB3FFF"/>
    <w:rsid w:val="00EB418F"/>
    <w:rsid w:val="00EB4660"/>
    <w:rsid w:val="00EB476B"/>
    <w:rsid w:val="00EB47E0"/>
    <w:rsid w:val="00EB4F17"/>
    <w:rsid w:val="00EB50A7"/>
    <w:rsid w:val="00EB529B"/>
    <w:rsid w:val="00EB5568"/>
    <w:rsid w:val="00EB55FC"/>
    <w:rsid w:val="00EB56AB"/>
    <w:rsid w:val="00EB585C"/>
    <w:rsid w:val="00EB59AE"/>
    <w:rsid w:val="00EB5A04"/>
    <w:rsid w:val="00EB5BD0"/>
    <w:rsid w:val="00EB5DC3"/>
    <w:rsid w:val="00EB60FD"/>
    <w:rsid w:val="00EB7173"/>
    <w:rsid w:val="00EB74DC"/>
    <w:rsid w:val="00EB776C"/>
    <w:rsid w:val="00EB7A06"/>
    <w:rsid w:val="00EB7B26"/>
    <w:rsid w:val="00EB7B8A"/>
    <w:rsid w:val="00EB7C63"/>
    <w:rsid w:val="00EB7C69"/>
    <w:rsid w:val="00EC03F4"/>
    <w:rsid w:val="00EC0726"/>
    <w:rsid w:val="00EC0932"/>
    <w:rsid w:val="00EC095A"/>
    <w:rsid w:val="00EC0C15"/>
    <w:rsid w:val="00EC0C47"/>
    <w:rsid w:val="00EC0ED1"/>
    <w:rsid w:val="00EC10DE"/>
    <w:rsid w:val="00EC12AC"/>
    <w:rsid w:val="00EC16D0"/>
    <w:rsid w:val="00EC1B97"/>
    <w:rsid w:val="00EC1CFD"/>
    <w:rsid w:val="00EC1EC4"/>
    <w:rsid w:val="00EC20C9"/>
    <w:rsid w:val="00EC2423"/>
    <w:rsid w:val="00EC2522"/>
    <w:rsid w:val="00EC29F8"/>
    <w:rsid w:val="00EC2DDE"/>
    <w:rsid w:val="00EC3226"/>
    <w:rsid w:val="00EC3237"/>
    <w:rsid w:val="00EC3A58"/>
    <w:rsid w:val="00EC415F"/>
    <w:rsid w:val="00EC42BA"/>
    <w:rsid w:val="00EC4412"/>
    <w:rsid w:val="00EC4B89"/>
    <w:rsid w:val="00EC4C8F"/>
    <w:rsid w:val="00EC4D07"/>
    <w:rsid w:val="00EC4D66"/>
    <w:rsid w:val="00EC4DA4"/>
    <w:rsid w:val="00EC4E89"/>
    <w:rsid w:val="00EC4E8F"/>
    <w:rsid w:val="00EC5048"/>
    <w:rsid w:val="00EC5157"/>
    <w:rsid w:val="00EC5289"/>
    <w:rsid w:val="00EC587D"/>
    <w:rsid w:val="00EC5B87"/>
    <w:rsid w:val="00EC5BB1"/>
    <w:rsid w:val="00EC5C69"/>
    <w:rsid w:val="00EC60CA"/>
    <w:rsid w:val="00EC6B5A"/>
    <w:rsid w:val="00EC718A"/>
    <w:rsid w:val="00EC71D9"/>
    <w:rsid w:val="00EC742D"/>
    <w:rsid w:val="00EC75B6"/>
    <w:rsid w:val="00EC7663"/>
    <w:rsid w:val="00EC7725"/>
    <w:rsid w:val="00EC7774"/>
    <w:rsid w:val="00EC7D7C"/>
    <w:rsid w:val="00ED0160"/>
    <w:rsid w:val="00ED02C7"/>
    <w:rsid w:val="00ED05CA"/>
    <w:rsid w:val="00ED096F"/>
    <w:rsid w:val="00ED0991"/>
    <w:rsid w:val="00ED0AF1"/>
    <w:rsid w:val="00ED0D90"/>
    <w:rsid w:val="00ED0E29"/>
    <w:rsid w:val="00ED0FA2"/>
    <w:rsid w:val="00ED16A1"/>
    <w:rsid w:val="00ED17B4"/>
    <w:rsid w:val="00ED1E75"/>
    <w:rsid w:val="00ED21C0"/>
    <w:rsid w:val="00ED21F2"/>
    <w:rsid w:val="00ED240D"/>
    <w:rsid w:val="00ED246B"/>
    <w:rsid w:val="00ED25DB"/>
    <w:rsid w:val="00ED294D"/>
    <w:rsid w:val="00ED29BF"/>
    <w:rsid w:val="00ED2C6E"/>
    <w:rsid w:val="00ED2EFE"/>
    <w:rsid w:val="00ED3151"/>
    <w:rsid w:val="00ED31FB"/>
    <w:rsid w:val="00ED3264"/>
    <w:rsid w:val="00ED3516"/>
    <w:rsid w:val="00ED36A2"/>
    <w:rsid w:val="00ED3762"/>
    <w:rsid w:val="00ED38F7"/>
    <w:rsid w:val="00ED392D"/>
    <w:rsid w:val="00ED39B2"/>
    <w:rsid w:val="00ED3A93"/>
    <w:rsid w:val="00ED3E78"/>
    <w:rsid w:val="00ED3F28"/>
    <w:rsid w:val="00ED410E"/>
    <w:rsid w:val="00ED4250"/>
    <w:rsid w:val="00ED4266"/>
    <w:rsid w:val="00ED4310"/>
    <w:rsid w:val="00ED435B"/>
    <w:rsid w:val="00ED437C"/>
    <w:rsid w:val="00ED443C"/>
    <w:rsid w:val="00ED4566"/>
    <w:rsid w:val="00ED4579"/>
    <w:rsid w:val="00ED45C3"/>
    <w:rsid w:val="00ED46BA"/>
    <w:rsid w:val="00ED4924"/>
    <w:rsid w:val="00ED4A3C"/>
    <w:rsid w:val="00ED4BA2"/>
    <w:rsid w:val="00ED4DAC"/>
    <w:rsid w:val="00ED4E70"/>
    <w:rsid w:val="00ED5294"/>
    <w:rsid w:val="00ED5340"/>
    <w:rsid w:val="00ED540B"/>
    <w:rsid w:val="00ED58FE"/>
    <w:rsid w:val="00ED5DFE"/>
    <w:rsid w:val="00ED5F18"/>
    <w:rsid w:val="00ED5F8B"/>
    <w:rsid w:val="00ED6196"/>
    <w:rsid w:val="00ED624B"/>
    <w:rsid w:val="00ED6457"/>
    <w:rsid w:val="00ED6652"/>
    <w:rsid w:val="00ED6666"/>
    <w:rsid w:val="00ED668F"/>
    <w:rsid w:val="00ED699B"/>
    <w:rsid w:val="00ED6C8F"/>
    <w:rsid w:val="00ED6D51"/>
    <w:rsid w:val="00ED6F01"/>
    <w:rsid w:val="00ED6F80"/>
    <w:rsid w:val="00ED73E5"/>
    <w:rsid w:val="00ED77D0"/>
    <w:rsid w:val="00ED791B"/>
    <w:rsid w:val="00ED7AA9"/>
    <w:rsid w:val="00ED7F67"/>
    <w:rsid w:val="00EE0462"/>
    <w:rsid w:val="00EE071F"/>
    <w:rsid w:val="00EE07F8"/>
    <w:rsid w:val="00EE0956"/>
    <w:rsid w:val="00EE0C04"/>
    <w:rsid w:val="00EE0D19"/>
    <w:rsid w:val="00EE0D75"/>
    <w:rsid w:val="00EE0DE2"/>
    <w:rsid w:val="00EE1B5F"/>
    <w:rsid w:val="00EE1E78"/>
    <w:rsid w:val="00EE1FDE"/>
    <w:rsid w:val="00EE2055"/>
    <w:rsid w:val="00EE223F"/>
    <w:rsid w:val="00EE23AA"/>
    <w:rsid w:val="00EE2871"/>
    <w:rsid w:val="00EE2A14"/>
    <w:rsid w:val="00EE2C30"/>
    <w:rsid w:val="00EE2CC4"/>
    <w:rsid w:val="00EE3AE1"/>
    <w:rsid w:val="00EE3CEB"/>
    <w:rsid w:val="00EE41E5"/>
    <w:rsid w:val="00EE420E"/>
    <w:rsid w:val="00EE43E6"/>
    <w:rsid w:val="00EE4760"/>
    <w:rsid w:val="00EE530A"/>
    <w:rsid w:val="00EE5556"/>
    <w:rsid w:val="00EE57CC"/>
    <w:rsid w:val="00EE5B21"/>
    <w:rsid w:val="00EE5C35"/>
    <w:rsid w:val="00EE5D8C"/>
    <w:rsid w:val="00EE5DF6"/>
    <w:rsid w:val="00EE61A4"/>
    <w:rsid w:val="00EE6342"/>
    <w:rsid w:val="00EE68BD"/>
    <w:rsid w:val="00EE6B75"/>
    <w:rsid w:val="00EE6E25"/>
    <w:rsid w:val="00EE7402"/>
    <w:rsid w:val="00EE7490"/>
    <w:rsid w:val="00EE755C"/>
    <w:rsid w:val="00EE760D"/>
    <w:rsid w:val="00EE76C6"/>
    <w:rsid w:val="00EE779D"/>
    <w:rsid w:val="00EE77A4"/>
    <w:rsid w:val="00EE7888"/>
    <w:rsid w:val="00EE7968"/>
    <w:rsid w:val="00EE7C16"/>
    <w:rsid w:val="00EE7E4D"/>
    <w:rsid w:val="00EF06A9"/>
    <w:rsid w:val="00EF08F1"/>
    <w:rsid w:val="00EF0B74"/>
    <w:rsid w:val="00EF0B9B"/>
    <w:rsid w:val="00EF10EF"/>
    <w:rsid w:val="00EF121C"/>
    <w:rsid w:val="00EF1231"/>
    <w:rsid w:val="00EF140E"/>
    <w:rsid w:val="00EF167A"/>
    <w:rsid w:val="00EF1B3F"/>
    <w:rsid w:val="00EF1E18"/>
    <w:rsid w:val="00EF2083"/>
    <w:rsid w:val="00EF224D"/>
    <w:rsid w:val="00EF268A"/>
    <w:rsid w:val="00EF2834"/>
    <w:rsid w:val="00EF2C3B"/>
    <w:rsid w:val="00EF2D8F"/>
    <w:rsid w:val="00EF313B"/>
    <w:rsid w:val="00EF31E6"/>
    <w:rsid w:val="00EF34C2"/>
    <w:rsid w:val="00EF3585"/>
    <w:rsid w:val="00EF3EC4"/>
    <w:rsid w:val="00EF48FD"/>
    <w:rsid w:val="00EF4ED9"/>
    <w:rsid w:val="00EF5016"/>
    <w:rsid w:val="00EF5024"/>
    <w:rsid w:val="00EF59DE"/>
    <w:rsid w:val="00EF5A1D"/>
    <w:rsid w:val="00EF5A7A"/>
    <w:rsid w:val="00EF5AB1"/>
    <w:rsid w:val="00EF65F6"/>
    <w:rsid w:val="00EF66B6"/>
    <w:rsid w:val="00EF6895"/>
    <w:rsid w:val="00EF6DE0"/>
    <w:rsid w:val="00EF6DE6"/>
    <w:rsid w:val="00EF7163"/>
    <w:rsid w:val="00EF729A"/>
    <w:rsid w:val="00EF734D"/>
    <w:rsid w:val="00EF7857"/>
    <w:rsid w:val="00EF7CBE"/>
    <w:rsid w:val="00EF7E8C"/>
    <w:rsid w:val="00F002BD"/>
    <w:rsid w:val="00F00908"/>
    <w:rsid w:val="00F00BEA"/>
    <w:rsid w:val="00F00C73"/>
    <w:rsid w:val="00F00E2F"/>
    <w:rsid w:val="00F00E8B"/>
    <w:rsid w:val="00F00F87"/>
    <w:rsid w:val="00F012D5"/>
    <w:rsid w:val="00F014A9"/>
    <w:rsid w:val="00F01558"/>
    <w:rsid w:val="00F015F8"/>
    <w:rsid w:val="00F01AB2"/>
    <w:rsid w:val="00F01D9D"/>
    <w:rsid w:val="00F01E4F"/>
    <w:rsid w:val="00F01E84"/>
    <w:rsid w:val="00F01F39"/>
    <w:rsid w:val="00F0222D"/>
    <w:rsid w:val="00F024B3"/>
    <w:rsid w:val="00F0255B"/>
    <w:rsid w:val="00F0265A"/>
    <w:rsid w:val="00F02DC0"/>
    <w:rsid w:val="00F031FC"/>
    <w:rsid w:val="00F03715"/>
    <w:rsid w:val="00F03804"/>
    <w:rsid w:val="00F03809"/>
    <w:rsid w:val="00F03AB4"/>
    <w:rsid w:val="00F03E09"/>
    <w:rsid w:val="00F03E27"/>
    <w:rsid w:val="00F04294"/>
    <w:rsid w:val="00F0438E"/>
    <w:rsid w:val="00F043BA"/>
    <w:rsid w:val="00F044CF"/>
    <w:rsid w:val="00F04580"/>
    <w:rsid w:val="00F045BC"/>
    <w:rsid w:val="00F04653"/>
    <w:rsid w:val="00F0465A"/>
    <w:rsid w:val="00F048AD"/>
    <w:rsid w:val="00F04C41"/>
    <w:rsid w:val="00F04CA7"/>
    <w:rsid w:val="00F04F1C"/>
    <w:rsid w:val="00F04F59"/>
    <w:rsid w:val="00F04FE1"/>
    <w:rsid w:val="00F0511C"/>
    <w:rsid w:val="00F060BF"/>
    <w:rsid w:val="00F06225"/>
    <w:rsid w:val="00F06263"/>
    <w:rsid w:val="00F06298"/>
    <w:rsid w:val="00F06407"/>
    <w:rsid w:val="00F06538"/>
    <w:rsid w:val="00F065A2"/>
    <w:rsid w:val="00F069F2"/>
    <w:rsid w:val="00F06AF0"/>
    <w:rsid w:val="00F07598"/>
    <w:rsid w:val="00F075B7"/>
    <w:rsid w:val="00F07639"/>
    <w:rsid w:val="00F07713"/>
    <w:rsid w:val="00F0783B"/>
    <w:rsid w:val="00F0789A"/>
    <w:rsid w:val="00F079CB"/>
    <w:rsid w:val="00F07D8B"/>
    <w:rsid w:val="00F07E0D"/>
    <w:rsid w:val="00F1002E"/>
    <w:rsid w:val="00F10131"/>
    <w:rsid w:val="00F105FD"/>
    <w:rsid w:val="00F10667"/>
    <w:rsid w:val="00F10698"/>
    <w:rsid w:val="00F10E34"/>
    <w:rsid w:val="00F1100E"/>
    <w:rsid w:val="00F111CA"/>
    <w:rsid w:val="00F11285"/>
    <w:rsid w:val="00F114D2"/>
    <w:rsid w:val="00F11678"/>
    <w:rsid w:val="00F11837"/>
    <w:rsid w:val="00F11BA5"/>
    <w:rsid w:val="00F12141"/>
    <w:rsid w:val="00F12155"/>
    <w:rsid w:val="00F124FD"/>
    <w:rsid w:val="00F12BC2"/>
    <w:rsid w:val="00F12DD9"/>
    <w:rsid w:val="00F12EA1"/>
    <w:rsid w:val="00F13041"/>
    <w:rsid w:val="00F13521"/>
    <w:rsid w:val="00F1361E"/>
    <w:rsid w:val="00F13D81"/>
    <w:rsid w:val="00F142E5"/>
    <w:rsid w:val="00F1447C"/>
    <w:rsid w:val="00F144AB"/>
    <w:rsid w:val="00F150A2"/>
    <w:rsid w:val="00F1538E"/>
    <w:rsid w:val="00F15670"/>
    <w:rsid w:val="00F15E40"/>
    <w:rsid w:val="00F160EF"/>
    <w:rsid w:val="00F163CA"/>
    <w:rsid w:val="00F165E0"/>
    <w:rsid w:val="00F166BD"/>
    <w:rsid w:val="00F16CCE"/>
    <w:rsid w:val="00F172CD"/>
    <w:rsid w:val="00F17607"/>
    <w:rsid w:val="00F17895"/>
    <w:rsid w:val="00F17C01"/>
    <w:rsid w:val="00F17C3E"/>
    <w:rsid w:val="00F20820"/>
    <w:rsid w:val="00F20A8C"/>
    <w:rsid w:val="00F20AAC"/>
    <w:rsid w:val="00F20BE9"/>
    <w:rsid w:val="00F20BED"/>
    <w:rsid w:val="00F20F21"/>
    <w:rsid w:val="00F21023"/>
    <w:rsid w:val="00F21056"/>
    <w:rsid w:val="00F215A6"/>
    <w:rsid w:val="00F2189C"/>
    <w:rsid w:val="00F21E1B"/>
    <w:rsid w:val="00F21E91"/>
    <w:rsid w:val="00F228A9"/>
    <w:rsid w:val="00F228FE"/>
    <w:rsid w:val="00F22B34"/>
    <w:rsid w:val="00F22F4C"/>
    <w:rsid w:val="00F23112"/>
    <w:rsid w:val="00F231BD"/>
    <w:rsid w:val="00F237B6"/>
    <w:rsid w:val="00F23B27"/>
    <w:rsid w:val="00F23C4B"/>
    <w:rsid w:val="00F23D6B"/>
    <w:rsid w:val="00F23E30"/>
    <w:rsid w:val="00F2457F"/>
    <w:rsid w:val="00F247EB"/>
    <w:rsid w:val="00F24859"/>
    <w:rsid w:val="00F2496A"/>
    <w:rsid w:val="00F24B4A"/>
    <w:rsid w:val="00F24E28"/>
    <w:rsid w:val="00F24EA1"/>
    <w:rsid w:val="00F2501F"/>
    <w:rsid w:val="00F253E8"/>
    <w:rsid w:val="00F25401"/>
    <w:rsid w:val="00F25573"/>
    <w:rsid w:val="00F25A6D"/>
    <w:rsid w:val="00F25E3A"/>
    <w:rsid w:val="00F2635A"/>
    <w:rsid w:val="00F263D7"/>
    <w:rsid w:val="00F268B6"/>
    <w:rsid w:val="00F26A89"/>
    <w:rsid w:val="00F26CF7"/>
    <w:rsid w:val="00F26D93"/>
    <w:rsid w:val="00F27017"/>
    <w:rsid w:val="00F27419"/>
    <w:rsid w:val="00F27487"/>
    <w:rsid w:val="00F278FD"/>
    <w:rsid w:val="00F2790F"/>
    <w:rsid w:val="00F30064"/>
    <w:rsid w:val="00F300F0"/>
    <w:rsid w:val="00F301ED"/>
    <w:rsid w:val="00F3066F"/>
    <w:rsid w:val="00F30721"/>
    <w:rsid w:val="00F30A09"/>
    <w:rsid w:val="00F30B47"/>
    <w:rsid w:val="00F30E6D"/>
    <w:rsid w:val="00F31608"/>
    <w:rsid w:val="00F31B1A"/>
    <w:rsid w:val="00F31E35"/>
    <w:rsid w:val="00F321EC"/>
    <w:rsid w:val="00F321F1"/>
    <w:rsid w:val="00F322C3"/>
    <w:rsid w:val="00F32451"/>
    <w:rsid w:val="00F32500"/>
    <w:rsid w:val="00F32626"/>
    <w:rsid w:val="00F327B1"/>
    <w:rsid w:val="00F32A38"/>
    <w:rsid w:val="00F32A86"/>
    <w:rsid w:val="00F32DDE"/>
    <w:rsid w:val="00F32E82"/>
    <w:rsid w:val="00F334B4"/>
    <w:rsid w:val="00F33BC8"/>
    <w:rsid w:val="00F34335"/>
    <w:rsid w:val="00F3491D"/>
    <w:rsid w:val="00F349A6"/>
    <w:rsid w:val="00F349FF"/>
    <w:rsid w:val="00F34AA8"/>
    <w:rsid w:val="00F34B11"/>
    <w:rsid w:val="00F34D2B"/>
    <w:rsid w:val="00F35072"/>
    <w:rsid w:val="00F350BE"/>
    <w:rsid w:val="00F350C3"/>
    <w:rsid w:val="00F3514B"/>
    <w:rsid w:val="00F35579"/>
    <w:rsid w:val="00F35B39"/>
    <w:rsid w:val="00F35B7A"/>
    <w:rsid w:val="00F360A7"/>
    <w:rsid w:val="00F363C2"/>
    <w:rsid w:val="00F36D32"/>
    <w:rsid w:val="00F3748E"/>
    <w:rsid w:val="00F376A7"/>
    <w:rsid w:val="00F377BE"/>
    <w:rsid w:val="00F377F2"/>
    <w:rsid w:val="00F37919"/>
    <w:rsid w:val="00F37A51"/>
    <w:rsid w:val="00F37B14"/>
    <w:rsid w:val="00F37CFF"/>
    <w:rsid w:val="00F37DA3"/>
    <w:rsid w:val="00F37E1C"/>
    <w:rsid w:val="00F37ED0"/>
    <w:rsid w:val="00F406C5"/>
    <w:rsid w:val="00F4079F"/>
    <w:rsid w:val="00F40947"/>
    <w:rsid w:val="00F40AE4"/>
    <w:rsid w:val="00F40B62"/>
    <w:rsid w:val="00F40CED"/>
    <w:rsid w:val="00F40E10"/>
    <w:rsid w:val="00F40F2F"/>
    <w:rsid w:val="00F412B0"/>
    <w:rsid w:val="00F412D4"/>
    <w:rsid w:val="00F42039"/>
    <w:rsid w:val="00F420E3"/>
    <w:rsid w:val="00F4271F"/>
    <w:rsid w:val="00F4296C"/>
    <w:rsid w:val="00F4299A"/>
    <w:rsid w:val="00F431BD"/>
    <w:rsid w:val="00F431C2"/>
    <w:rsid w:val="00F43359"/>
    <w:rsid w:val="00F4399B"/>
    <w:rsid w:val="00F43ADB"/>
    <w:rsid w:val="00F43BA0"/>
    <w:rsid w:val="00F43C66"/>
    <w:rsid w:val="00F43C8C"/>
    <w:rsid w:val="00F43EB7"/>
    <w:rsid w:val="00F4428B"/>
    <w:rsid w:val="00F4434C"/>
    <w:rsid w:val="00F449DB"/>
    <w:rsid w:val="00F45109"/>
    <w:rsid w:val="00F45261"/>
    <w:rsid w:val="00F45622"/>
    <w:rsid w:val="00F45CC3"/>
    <w:rsid w:val="00F466CA"/>
    <w:rsid w:val="00F4676D"/>
    <w:rsid w:val="00F46887"/>
    <w:rsid w:val="00F46AF4"/>
    <w:rsid w:val="00F46BED"/>
    <w:rsid w:val="00F46CB4"/>
    <w:rsid w:val="00F46F4F"/>
    <w:rsid w:val="00F46F7A"/>
    <w:rsid w:val="00F4725F"/>
    <w:rsid w:val="00F4742D"/>
    <w:rsid w:val="00F474BA"/>
    <w:rsid w:val="00F479A6"/>
    <w:rsid w:val="00F47CB2"/>
    <w:rsid w:val="00F47E3F"/>
    <w:rsid w:val="00F47EBC"/>
    <w:rsid w:val="00F47F61"/>
    <w:rsid w:val="00F503DB"/>
    <w:rsid w:val="00F5053A"/>
    <w:rsid w:val="00F506DC"/>
    <w:rsid w:val="00F50750"/>
    <w:rsid w:val="00F507B0"/>
    <w:rsid w:val="00F5089C"/>
    <w:rsid w:val="00F50DD7"/>
    <w:rsid w:val="00F50F47"/>
    <w:rsid w:val="00F50F8B"/>
    <w:rsid w:val="00F50FCF"/>
    <w:rsid w:val="00F51178"/>
    <w:rsid w:val="00F51206"/>
    <w:rsid w:val="00F5125C"/>
    <w:rsid w:val="00F51272"/>
    <w:rsid w:val="00F51280"/>
    <w:rsid w:val="00F5135A"/>
    <w:rsid w:val="00F51415"/>
    <w:rsid w:val="00F51BE7"/>
    <w:rsid w:val="00F523B1"/>
    <w:rsid w:val="00F525BA"/>
    <w:rsid w:val="00F52715"/>
    <w:rsid w:val="00F5272A"/>
    <w:rsid w:val="00F529A7"/>
    <w:rsid w:val="00F52C78"/>
    <w:rsid w:val="00F52C8F"/>
    <w:rsid w:val="00F52F8F"/>
    <w:rsid w:val="00F538BB"/>
    <w:rsid w:val="00F53CC2"/>
    <w:rsid w:val="00F53F1C"/>
    <w:rsid w:val="00F54884"/>
    <w:rsid w:val="00F54EDB"/>
    <w:rsid w:val="00F55532"/>
    <w:rsid w:val="00F55A83"/>
    <w:rsid w:val="00F55A8F"/>
    <w:rsid w:val="00F55F1D"/>
    <w:rsid w:val="00F55F45"/>
    <w:rsid w:val="00F560C7"/>
    <w:rsid w:val="00F56162"/>
    <w:rsid w:val="00F56546"/>
    <w:rsid w:val="00F567A1"/>
    <w:rsid w:val="00F56DA3"/>
    <w:rsid w:val="00F56ECA"/>
    <w:rsid w:val="00F57110"/>
    <w:rsid w:val="00F571D3"/>
    <w:rsid w:val="00F578B5"/>
    <w:rsid w:val="00F578D9"/>
    <w:rsid w:val="00F57AF2"/>
    <w:rsid w:val="00F57B53"/>
    <w:rsid w:val="00F57DC7"/>
    <w:rsid w:val="00F6031A"/>
    <w:rsid w:val="00F603A8"/>
    <w:rsid w:val="00F6074D"/>
    <w:rsid w:val="00F60813"/>
    <w:rsid w:val="00F60829"/>
    <w:rsid w:val="00F6099B"/>
    <w:rsid w:val="00F60E11"/>
    <w:rsid w:val="00F60E71"/>
    <w:rsid w:val="00F60F16"/>
    <w:rsid w:val="00F61063"/>
    <w:rsid w:val="00F610BB"/>
    <w:rsid w:val="00F61216"/>
    <w:rsid w:val="00F6121F"/>
    <w:rsid w:val="00F617AC"/>
    <w:rsid w:val="00F6193C"/>
    <w:rsid w:val="00F61A8D"/>
    <w:rsid w:val="00F61E66"/>
    <w:rsid w:val="00F62035"/>
    <w:rsid w:val="00F6236F"/>
    <w:rsid w:val="00F62598"/>
    <w:rsid w:val="00F625CD"/>
    <w:rsid w:val="00F62882"/>
    <w:rsid w:val="00F62954"/>
    <w:rsid w:val="00F62AB8"/>
    <w:rsid w:val="00F62AE2"/>
    <w:rsid w:val="00F62FB7"/>
    <w:rsid w:val="00F62FE7"/>
    <w:rsid w:val="00F631D7"/>
    <w:rsid w:val="00F634A7"/>
    <w:rsid w:val="00F6381B"/>
    <w:rsid w:val="00F63C73"/>
    <w:rsid w:val="00F63CA1"/>
    <w:rsid w:val="00F63F5A"/>
    <w:rsid w:val="00F640EC"/>
    <w:rsid w:val="00F64678"/>
    <w:rsid w:val="00F647E7"/>
    <w:rsid w:val="00F64B37"/>
    <w:rsid w:val="00F64E5B"/>
    <w:rsid w:val="00F650CE"/>
    <w:rsid w:val="00F653C0"/>
    <w:rsid w:val="00F65484"/>
    <w:rsid w:val="00F654BB"/>
    <w:rsid w:val="00F656AF"/>
    <w:rsid w:val="00F65722"/>
    <w:rsid w:val="00F658B2"/>
    <w:rsid w:val="00F66136"/>
    <w:rsid w:val="00F66744"/>
    <w:rsid w:val="00F66AB1"/>
    <w:rsid w:val="00F6729C"/>
    <w:rsid w:val="00F6760D"/>
    <w:rsid w:val="00F67A08"/>
    <w:rsid w:val="00F67ADA"/>
    <w:rsid w:val="00F67AF3"/>
    <w:rsid w:val="00F67CF6"/>
    <w:rsid w:val="00F67F39"/>
    <w:rsid w:val="00F700A1"/>
    <w:rsid w:val="00F70217"/>
    <w:rsid w:val="00F709E7"/>
    <w:rsid w:val="00F70A3F"/>
    <w:rsid w:val="00F70ACD"/>
    <w:rsid w:val="00F70AE0"/>
    <w:rsid w:val="00F70B46"/>
    <w:rsid w:val="00F70B64"/>
    <w:rsid w:val="00F70B7D"/>
    <w:rsid w:val="00F70BB3"/>
    <w:rsid w:val="00F70CC9"/>
    <w:rsid w:val="00F70EC9"/>
    <w:rsid w:val="00F71B5D"/>
    <w:rsid w:val="00F71B61"/>
    <w:rsid w:val="00F71FBF"/>
    <w:rsid w:val="00F729D2"/>
    <w:rsid w:val="00F729F6"/>
    <w:rsid w:val="00F72ABC"/>
    <w:rsid w:val="00F72B9C"/>
    <w:rsid w:val="00F72C22"/>
    <w:rsid w:val="00F72E13"/>
    <w:rsid w:val="00F73137"/>
    <w:rsid w:val="00F7324D"/>
    <w:rsid w:val="00F732E4"/>
    <w:rsid w:val="00F73392"/>
    <w:rsid w:val="00F737A5"/>
    <w:rsid w:val="00F73B2E"/>
    <w:rsid w:val="00F73B6D"/>
    <w:rsid w:val="00F73FC8"/>
    <w:rsid w:val="00F74386"/>
    <w:rsid w:val="00F743F0"/>
    <w:rsid w:val="00F745D3"/>
    <w:rsid w:val="00F747DF"/>
    <w:rsid w:val="00F749FD"/>
    <w:rsid w:val="00F74A43"/>
    <w:rsid w:val="00F74B72"/>
    <w:rsid w:val="00F750EF"/>
    <w:rsid w:val="00F751E2"/>
    <w:rsid w:val="00F753E4"/>
    <w:rsid w:val="00F754C0"/>
    <w:rsid w:val="00F75B96"/>
    <w:rsid w:val="00F75C2F"/>
    <w:rsid w:val="00F75F4C"/>
    <w:rsid w:val="00F761F3"/>
    <w:rsid w:val="00F76529"/>
    <w:rsid w:val="00F765F6"/>
    <w:rsid w:val="00F769EE"/>
    <w:rsid w:val="00F76A71"/>
    <w:rsid w:val="00F76AAF"/>
    <w:rsid w:val="00F76F9F"/>
    <w:rsid w:val="00F76FED"/>
    <w:rsid w:val="00F7712E"/>
    <w:rsid w:val="00F774F5"/>
    <w:rsid w:val="00F777BB"/>
    <w:rsid w:val="00F7796D"/>
    <w:rsid w:val="00F77B44"/>
    <w:rsid w:val="00F77E2F"/>
    <w:rsid w:val="00F77F56"/>
    <w:rsid w:val="00F801A0"/>
    <w:rsid w:val="00F80213"/>
    <w:rsid w:val="00F80333"/>
    <w:rsid w:val="00F80350"/>
    <w:rsid w:val="00F8040B"/>
    <w:rsid w:val="00F805FC"/>
    <w:rsid w:val="00F8064F"/>
    <w:rsid w:val="00F80664"/>
    <w:rsid w:val="00F80906"/>
    <w:rsid w:val="00F80D55"/>
    <w:rsid w:val="00F80F9E"/>
    <w:rsid w:val="00F810A3"/>
    <w:rsid w:val="00F812AA"/>
    <w:rsid w:val="00F81698"/>
    <w:rsid w:val="00F81CBA"/>
    <w:rsid w:val="00F8203F"/>
    <w:rsid w:val="00F82081"/>
    <w:rsid w:val="00F825B6"/>
    <w:rsid w:val="00F82755"/>
    <w:rsid w:val="00F835BB"/>
    <w:rsid w:val="00F83FCE"/>
    <w:rsid w:val="00F84457"/>
    <w:rsid w:val="00F8491A"/>
    <w:rsid w:val="00F84B10"/>
    <w:rsid w:val="00F84B12"/>
    <w:rsid w:val="00F84B2E"/>
    <w:rsid w:val="00F84B80"/>
    <w:rsid w:val="00F84E1B"/>
    <w:rsid w:val="00F84EC8"/>
    <w:rsid w:val="00F84EED"/>
    <w:rsid w:val="00F8546E"/>
    <w:rsid w:val="00F85585"/>
    <w:rsid w:val="00F8566F"/>
    <w:rsid w:val="00F857F2"/>
    <w:rsid w:val="00F8598B"/>
    <w:rsid w:val="00F85BB1"/>
    <w:rsid w:val="00F85C76"/>
    <w:rsid w:val="00F85EBF"/>
    <w:rsid w:val="00F8628B"/>
    <w:rsid w:val="00F862BE"/>
    <w:rsid w:val="00F863B0"/>
    <w:rsid w:val="00F8648B"/>
    <w:rsid w:val="00F867CC"/>
    <w:rsid w:val="00F86987"/>
    <w:rsid w:val="00F86C1B"/>
    <w:rsid w:val="00F86D0F"/>
    <w:rsid w:val="00F87133"/>
    <w:rsid w:val="00F8748A"/>
    <w:rsid w:val="00F87862"/>
    <w:rsid w:val="00F87972"/>
    <w:rsid w:val="00F879CE"/>
    <w:rsid w:val="00F87A17"/>
    <w:rsid w:val="00F87D6B"/>
    <w:rsid w:val="00F87DA4"/>
    <w:rsid w:val="00F87E59"/>
    <w:rsid w:val="00F87FC0"/>
    <w:rsid w:val="00F903B4"/>
    <w:rsid w:val="00F904B2"/>
    <w:rsid w:val="00F9066A"/>
    <w:rsid w:val="00F9085B"/>
    <w:rsid w:val="00F908F0"/>
    <w:rsid w:val="00F90C45"/>
    <w:rsid w:val="00F90ECF"/>
    <w:rsid w:val="00F90EDF"/>
    <w:rsid w:val="00F910D7"/>
    <w:rsid w:val="00F910E5"/>
    <w:rsid w:val="00F912CE"/>
    <w:rsid w:val="00F91389"/>
    <w:rsid w:val="00F913DF"/>
    <w:rsid w:val="00F91649"/>
    <w:rsid w:val="00F9168B"/>
    <w:rsid w:val="00F917AD"/>
    <w:rsid w:val="00F9197F"/>
    <w:rsid w:val="00F919D3"/>
    <w:rsid w:val="00F91E73"/>
    <w:rsid w:val="00F91FFD"/>
    <w:rsid w:val="00F9212A"/>
    <w:rsid w:val="00F92235"/>
    <w:rsid w:val="00F926E2"/>
    <w:rsid w:val="00F92764"/>
    <w:rsid w:val="00F92D7F"/>
    <w:rsid w:val="00F9306A"/>
    <w:rsid w:val="00F9347E"/>
    <w:rsid w:val="00F936EB"/>
    <w:rsid w:val="00F9378C"/>
    <w:rsid w:val="00F938E5"/>
    <w:rsid w:val="00F93B66"/>
    <w:rsid w:val="00F93C68"/>
    <w:rsid w:val="00F94246"/>
    <w:rsid w:val="00F94339"/>
    <w:rsid w:val="00F94786"/>
    <w:rsid w:val="00F95108"/>
    <w:rsid w:val="00F9515B"/>
    <w:rsid w:val="00F95267"/>
    <w:rsid w:val="00F9551D"/>
    <w:rsid w:val="00F9640E"/>
    <w:rsid w:val="00F96577"/>
    <w:rsid w:val="00F965D4"/>
    <w:rsid w:val="00F96C5A"/>
    <w:rsid w:val="00F96D2E"/>
    <w:rsid w:val="00F97224"/>
    <w:rsid w:val="00F974CA"/>
    <w:rsid w:val="00F9790E"/>
    <w:rsid w:val="00F9799E"/>
    <w:rsid w:val="00F979D1"/>
    <w:rsid w:val="00F97BCD"/>
    <w:rsid w:val="00F9A341"/>
    <w:rsid w:val="00FA0872"/>
    <w:rsid w:val="00FA0C52"/>
    <w:rsid w:val="00FA0F94"/>
    <w:rsid w:val="00FA17D7"/>
    <w:rsid w:val="00FA1936"/>
    <w:rsid w:val="00FA1979"/>
    <w:rsid w:val="00FA1A08"/>
    <w:rsid w:val="00FA1DE3"/>
    <w:rsid w:val="00FA2216"/>
    <w:rsid w:val="00FA222C"/>
    <w:rsid w:val="00FA24C6"/>
    <w:rsid w:val="00FA2972"/>
    <w:rsid w:val="00FA2E9C"/>
    <w:rsid w:val="00FA3126"/>
    <w:rsid w:val="00FA335A"/>
    <w:rsid w:val="00FA33BC"/>
    <w:rsid w:val="00FA34A8"/>
    <w:rsid w:val="00FA3F09"/>
    <w:rsid w:val="00FA4481"/>
    <w:rsid w:val="00FA4488"/>
    <w:rsid w:val="00FA46DD"/>
    <w:rsid w:val="00FA4737"/>
    <w:rsid w:val="00FA4A49"/>
    <w:rsid w:val="00FA4B23"/>
    <w:rsid w:val="00FA4C36"/>
    <w:rsid w:val="00FA4C8C"/>
    <w:rsid w:val="00FA4EE6"/>
    <w:rsid w:val="00FA5139"/>
    <w:rsid w:val="00FA53F1"/>
    <w:rsid w:val="00FA58D2"/>
    <w:rsid w:val="00FA5DF9"/>
    <w:rsid w:val="00FA5F3E"/>
    <w:rsid w:val="00FA5FE9"/>
    <w:rsid w:val="00FA60CD"/>
    <w:rsid w:val="00FA60E0"/>
    <w:rsid w:val="00FA660A"/>
    <w:rsid w:val="00FA66C2"/>
    <w:rsid w:val="00FA6702"/>
    <w:rsid w:val="00FA6712"/>
    <w:rsid w:val="00FA6738"/>
    <w:rsid w:val="00FA692D"/>
    <w:rsid w:val="00FA6BFC"/>
    <w:rsid w:val="00FA724D"/>
    <w:rsid w:val="00FA7409"/>
    <w:rsid w:val="00FA74A7"/>
    <w:rsid w:val="00FA75C5"/>
    <w:rsid w:val="00FA7972"/>
    <w:rsid w:val="00FA7A61"/>
    <w:rsid w:val="00FA7E83"/>
    <w:rsid w:val="00FA7F26"/>
    <w:rsid w:val="00FB00CB"/>
    <w:rsid w:val="00FB01F7"/>
    <w:rsid w:val="00FB02BD"/>
    <w:rsid w:val="00FB02D0"/>
    <w:rsid w:val="00FB0336"/>
    <w:rsid w:val="00FB03F0"/>
    <w:rsid w:val="00FB0411"/>
    <w:rsid w:val="00FB05F4"/>
    <w:rsid w:val="00FB0936"/>
    <w:rsid w:val="00FB0A03"/>
    <w:rsid w:val="00FB0CE3"/>
    <w:rsid w:val="00FB0F24"/>
    <w:rsid w:val="00FB10C7"/>
    <w:rsid w:val="00FB11FA"/>
    <w:rsid w:val="00FB12E5"/>
    <w:rsid w:val="00FB1316"/>
    <w:rsid w:val="00FB170E"/>
    <w:rsid w:val="00FB2340"/>
    <w:rsid w:val="00FB24DA"/>
    <w:rsid w:val="00FB2E89"/>
    <w:rsid w:val="00FB2FA1"/>
    <w:rsid w:val="00FB31A7"/>
    <w:rsid w:val="00FB34B9"/>
    <w:rsid w:val="00FB398A"/>
    <w:rsid w:val="00FB3ABF"/>
    <w:rsid w:val="00FB3E80"/>
    <w:rsid w:val="00FB4038"/>
    <w:rsid w:val="00FB41A0"/>
    <w:rsid w:val="00FB4205"/>
    <w:rsid w:val="00FB4318"/>
    <w:rsid w:val="00FB44BF"/>
    <w:rsid w:val="00FB4AF3"/>
    <w:rsid w:val="00FB4B70"/>
    <w:rsid w:val="00FB4D3F"/>
    <w:rsid w:val="00FB4F4F"/>
    <w:rsid w:val="00FB5730"/>
    <w:rsid w:val="00FB5BDB"/>
    <w:rsid w:val="00FB606E"/>
    <w:rsid w:val="00FB6513"/>
    <w:rsid w:val="00FB654D"/>
    <w:rsid w:val="00FB6C06"/>
    <w:rsid w:val="00FB6C9E"/>
    <w:rsid w:val="00FB707B"/>
    <w:rsid w:val="00FB71ED"/>
    <w:rsid w:val="00FB7930"/>
    <w:rsid w:val="00FB7AE2"/>
    <w:rsid w:val="00FB7E3E"/>
    <w:rsid w:val="00FB7EF1"/>
    <w:rsid w:val="00FC005C"/>
    <w:rsid w:val="00FC013D"/>
    <w:rsid w:val="00FC08FB"/>
    <w:rsid w:val="00FC0B04"/>
    <w:rsid w:val="00FC0D4C"/>
    <w:rsid w:val="00FC0DE1"/>
    <w:rsid w:val="00FC1044"/>
    <w:rsid w:val="00FC11D8"/>
    <w:rsid w:val="00FC1AD2"/>
    <w:rsid w:val="00FC1FEC"/>
    <w:rsid w:val="00FC23A9"/>
    <w:rsid w:val="00FC2470"/>
    <w:rsid w:val="00FC26C5"/>
    <w:rsid w:val="00FC26CA"/>
    <w:rsid w:val="00FC2797"/>
    <w:rsid w:val="00FC2E8F"/>
    <w:rsid w:val="00FC2F2E"/>
    <w:rsid w:val="00FC2F69"/>
    <w:rsid w:val="00FC301B"/>
    <w:rsid w:val="00FC3106"/>
    <w:rsid w:val="00FC32C1"/>
    <w:rsid w:val="00FC381D"/>
    <w:rsid w:val="00FC39AB"/>
    <w:rsid w:val="00FC3CF6"/>
    <w:rsid w:val="00FC3D4B"/>
    <w:rsid w:val="00FC3DAC"/>
    <w:rsid w:val="00FC3DF1"/>
    <w:rsid w:val="00FC4752"/>
    <w:rsid w:val="00FC4975"/>
    <w:rsid w:val="00FC4D88"/>
    <w:rsid w:val="00FC4DE4"/>
    <w:rsid w:val="00FC4E2E"/>
    <w:rsid w:val="00FC4E6A"/>
    <w:rsid w:val="00FC4E8A"/>
    <w:rsid w:val="00FC54BC"/>
    <w:rsid w:val="00FC55EB"/>
    <w:rsid w:val="00FC56B6"/>
    <w:rsid w:val="00FC59C9"/>
    <w:rsid w:val="00FC59FE"/>
    <w:rsid w:val="00FC5C32"/>
    <w:rsid w:val="00FC639D"/>
    <w:rsid w:val="00FC67C0"/>
    <w:rsid w:val="00FC67C5"/>
    <w:rsid w:val="00FC683A"/>
    <w:rsid w:val="00FC69DB"/>
    <w:rsid w:val="00FC6CFC"/>
    <w:rsid w:val="00FC6DA0"/>
    <w:rsid w:val="00FC6FF8"/>
    <w:rsid w:val="00FC70F4"/>
    <w:rsid w:val="00FC750E"/>
    <w:rsid w:val="00FC75D1"/>
    <w:rsid w:val="00FC76A3"/>
    <w:rsid w:val="00FD04C4"/>
    <w:rsid w:val="00FD05E1"/>
    <w:rsid w:val="00FD064C"/>
    <w:rsid w:val="00FD09A9"/>
    <w:rsid w:val="00FD0ADB"/>
    <w:rsid w:val="00FD0EA8"/>
    <w:rsid w:val="00FD0FCB"/>
    <w:rsid w:val="00FD110B"/>
    <w:rsid w:val="00FD1C79"/>
    <w:rsid w:val="00FD1F51"/>
    <w:rsid w:val="00FD204D"/>
    <w:rsid w:val="00FD2281"/>
    <w:rsid w:val="00FD28F4"/>
    <w:rsid w:val="00FD291A"/>
    <w:rsid w:val="00FD2EF1"/>
    <w:rsid w:val="00FD31C4"/>
    <w:rsid w:val="00FD31E8"/>
    <w:rsid w:val="00FD34E1"/>
    <w:rsid w:val="00FD3982"/>
    <w:rsid w:val="00FD3BBC"/>
    <w:rsid w:val="00FD3BFE"/>
    <w:rsid w:val="00FD3F24"/>
    <w:rsid w:val="00FD4499"/>
    <w:rsid w:val="00FD4932"/>
    <w:rsid w:val="00FD4F14"/>
    <w:rsid w:val="00FD4F93"/>
    <w:rsid w:val="00FD52C2"/>
    <w:rsid w:val="00FD5320"/>
    <w:rsid w:val="00FD5458"/>
    <w:rsid w:val="00FD56F1"/>
    <w:rsid w:val="00FD5E68"/>
    <w:rsid w:val="00FD640E"/>
    <w:rsid w:val="00FD6641"/>
    <w:rsid w:val="00FD66D1"/>
    <w:rsid w:val="00FD684F"/>
    <w:rsid w:val="00FD6B5A"/>
    <w:rsid w:val="00FD6EE4"/>
    <w:rsid w:val="00FD6F47"/>
    <w:rsid w:val="00FD70B1"/>
    <w:rsid w:val="00FD7192"/>
    <w:rsid w:val="00FD782C"/>
    <w:rsid w:val="00FE0264"/>
    <w:rsid w:val="00FE0270"/>
    <w:rsid w:val="00FE0920"/>
    <w:rsid w:val="00FE0949"/>
    <w:rsid w:val="00FE09A2"/>
    <w:rsid w:val="00FE09C5"/>
    <w:rsid w:val="00FE0B4E"/>
    <w:rsid w:val="00FE0D1C"/>
    <w:rsid w:val="00FE0E69"/>
    <w:rsid w:val="00FE10E6"/>
    <w:rsid w:val="00FE12E2"/>
    <w:rsid w:val="00FE142D"/>
    <w:rsid w:val="00FE160F"/>
    <w:rsid w:val="00FE1782"/>
    <w:rsid w:val="00FE18F5"/>
    <w:rsid w:val="00FE19F2"/>
    <w:rsid w:val="00FE20E0"/>
    <w:rsid w:val="00FE24DC"/>
    <w:rsid w:val="00FE2C1D"/>
    <w:rsid w:val="00FE3508"/>
    <w:rsid w:val="00FE3894"/>
    <w:rsid w:val="00FE3944"/>
    <w:rsid w:val="00FE39A7"/>
    <w:rsid w:val="00FE3A23"/>
    <w:rsid w:val="00FE3A89"/>
    <w:rsid w:val="00FE4218"/>
    <w:rsid w:val="00FE4221"/>
    <w:rsid w:val="00FE4336"/>
    <w:rsid w:val="00FE4854"/>
    <w:rsid w:val="00FE4BC2"/>
    <w:rsid w:val="00FE4E05"/>
    <w:rsid w:val="00FE5311"/>
    <w:rsid w:val="00FE576F"/>
    <w:rsid w:val="00FE591E"/>
    <w:rsid w:val="00FE5A09"/>
    <w:rsid w:val="00FE6664"/>
    <w:rsid w:val="00FE66FD"/>
    <w:rsid w:val="00FE67CE"/>
    <w:rsid w:val="00FE7001"/>
    <w:rsid w:val="00FE71F9"/>
    <w:rsid w:val="00FE780B"/>
    <w:rsid w:val="00FE7B77"/>
    <w:rsid w:val="00FE7C64"/>
    <w:rsid w:val="00FE7FDD"/>
    <w:rsid w:val="00FF054C"/>
    <w:rsid w:val="00FF0696"/>
    <w:rsid w:val="00FF0CC9"/>
    <w:rsid w:val="00FF0E8C"/>
    <w:rsid w:val="00FF0EEF"/>
    <w:rsid w:val="00FF10C9"/>
    <w:rsid w:val="00FF1151"/>
    <w:rsid w:val="00FF124C"/>
    <w:rsid w:val="00FF12CD"/>
    <w:rsid w:val="00FF14BF"/>
    <w:rsid w:val="00FF1970"/>
    <w:rsid w:val="00FF1E67"/>
    <w:rsid w:val="00FF1E8D"/>
    <w:rsid w:val="00FF2626"/>
    <w:rsid w:val="00FF2AFB"/>
    <w:rsid w:val="00FF2B06"/>
    <w:rsid w:val="00FF2B7B"/>
    <w:rsid w:val="00FF2FC9"/>
    <w:rsid w:val="00FF306F"/>
    <w:rsid w:val="00FF3145"/>
    <w:rsid w:val="00FF3766"/>
    <w:rsid w:val="00FF38AE"/>
    <w:rsid w:val="00FF3C2C"/>
    <w:rsid w:val="00FF3C76"/>
    <w:rsid w:val="00FF3FA0"/>
    <w:rsid w:val="00FF410D"/>
    <w:rsid w:val="00FF4278"/>
    <w:rsid w:val="00FF46BB"/>
    <w:rsid w:val="00FF4807"/>
    <w:rsid w:val="00FF4B5F"/>
    <w:rsid w:val="00FF4F63"/>
    <w:rsid w:val="00FF53DC"/>
    <w:rsid w:val="00FF5627"/>
    <w:rsid w:val="00FF56AD"/>
    <w:rsid w:val="00FF57E7"/>
    <w:rsid w:val="00FF5A90"/>
    <w:rsid w:val="00FF5D54"/>
    <w:rsid w:val="00FF5F40"/>
    <w:rsid w:val="00FF5FEC"/>
    <w:rsid w:val="00FF60B9"/>
    <w:rsid w:val="00FF6120"/>
    <w:rsid w:val="00FF62C0"/>
    <w:rsid w:val="00FF6555"/>
    <w:rsid w:val="00FF6756"/>
    <w:rsid w:val="00FF6976"/>
    <w:rsid w:val="00FF6BA9"/>
    <w:rsid w:val="00FF7618"/>
    <w:rsid w:val="00FF7777"/>
    <w:rsid w:val="00FF7B39"/>
    <w:rsid w:val="0119C703"/>
    <w:rsid w:val="014BF1EC"/>
    <w:rsid w:val="01558C48"/>
    <w:rsid w:val="0228B8E8"/>
    <w:rsid w:val="03020E63"/>
    <w:rsid w:val="03A79F07"/>
    <w:rsid w:val="03CA378F"/>
    <w:rsid w:val="03F93A68"/>
    <w:rsid w:val="04B63B13"/>
    <w:rsid w:val="0561A0DF"/>
    <w:rsid w:val="05E19A59"/>
    <w:rsid w:val="06588E69"/>
    <w:rsid w:val="072FF1A9"/>
    <w:rsid w:val="07C3CA62"/>
    <w:rsid w:val="07D0CD8C"/>
    <w:rsid w:val="08798C94"/>
    <w:rsid w:val="087C624E"/>
    <w:rsid w:val="0AA3D764"/>
    <w:rsid w:val="0AF77C72"/>
    <w:rsid w:val="0BC6E82E"/>
    <w:rsid w:val="0C04E6FF"/>
    <w:rsid w:val="0C80E848"/>
    <w:rsid w:val="0CC1AC2A"/>
    <w:rsid w:val="0D5129BE"/>
    <w:rsid w:val="0D7C6E29"/>
    <w:rsid w:val="0D984A9E"/>
    <w:rsid w:val="0DAE3466"/>
    <w:rsid w:val="0E4F4BF7"/>
    <w:rsid w:val="0E560FE4"/>
    <w:rsid w:val="0F395E02"/>
    <w:rsid w:val="0FC327EB"/>
    <w:rsid w:val="0FF6F456"/>
    <w:rsid w:val="10FAE835"/>
    <w:rsid w:val="11357084"/>
    <w:rsid w:val="11EE90E1"/>
    <w:rsid w:val="12CB07ED"/>
    <w:rsid w:val="12D248A3"/>
    <w:rsid w:val="12D9C165"/>
    <w:rsid w:val="142A14AA"/>
    <w:rsid w:val="14619186"/>
    <w:rsid w:val="1490F007"/>
    <w:rsid w:val="14C72AB8"/>
    <w:rsid w:val="14DF88FB"/>
    <w:rsid w:val="15967581"/>
    <w:rsid w:val="161CB739"/>
    <w:rsid w:val="162292A3"/>
    <w:rsid w:val="17233A7F"/>
    <w:rsid w:val="172C83FF"/>
    <w:rsid w:val="17FFBB67"/>
    <w:rsid w:val="18215AD4"/>
    <w:rsid w:val="199C4594"/>
    <w:rsid w:val="19C48D2B"/>
    <w:rsid w:val="1A8F5119"/>
    <w:rsid w:val="1A9023A4"/>
    <w:rsid w:val="1AA02BFC"/>
    <w:rsid w:val="1ABC3A38"/>
    <w:rsid w:val="1ABDC373"/>
    <w:rsid w:val="1AE86EB7"/>
    <w:rsid w:val="1B83FAFA"/>
    <w:rsid w:val="1BBDCBD7"/>
    <w:rsid w:val="1BC0A883"/>
    <w:rsid w:val="1BFEF648"/>
    <w:rsid w:val="1C003EF5"/>
    <w:rsid w:val="1C674781"/>
    <w:rsid w:val="1D6C09E6"/>
    <w:rsid w:val="1E24620E"/>
    <w:rsid w:val="1E717D92"/>
    <w:rsid w:val="1ECDD2D2"/>
    <w:rsid w:val="1F2C94C8"/>
    <w:rsid w:val="1FF59B38"/>
    <w:rsid w:val="20CF1740"/>
    <w:rsid w:val="20E27DED"/>
    <w:rsid w:val="2158E571"/>
    <w:rsid w:val="216B79AB"/>
    <w:rsid w:val="216E02A3"/>
    <w:rsid w:val="21BC04EF"/>
    <w:rsid w:val="2280BC83"/>
    <w:rsid w:val="22D6DCB4"/>
    <w:rsid w:val="230B2570"/>
    <w:rsid w:val="231AD6EF"/>
    <w:rsid w:val="2335337F"/>
    <w:rsid w:val="27481C79"/>
    <w:rsid w:val="27608118"/>
    <w:rsid w:val="2775FFA9"/>
    <w:rsid w:val="27B04F4A"/>
    <w:rsid w:val="281BEC88"/>
    <w:rsid w:val="285A2F06"/>
    <w:rsid w:val="288C5305"/>
    <w:rsid w:val="292BF190"/>
    <w:rsid w:val="2A038702"/>
    <w:rsid w:val="2A362443"/>
    <w:rsid w:val="2B4F19C4"/>
    <w:rsid w:val="2C5F51A3"/>
    <w:rsid w:val="2EAF13A5"/>
    <w:rsid w:val="2EE9CC5A"/>
    <w:rsid w:val="2FB0CF53"/>
    <w:rsid w:val="301FC3A4"/>
    <w:rsid w:val="30C44075"/>
    <w:rsid w:val="30DCE178"/>
    <w:rsid w:val="3109846C"/>
    <w:rsid w:val="31464B00"/>
    <w:rsid w:val="31CBF8A9"/>
    <w:rsid w:val="31ED812D"/>
    <w:rsid w:val="31F4F61B"/>
    <w:rsid w:val="32176377"/>
    <w:rsid w:val="327302BA"/>
    <w:rsid w:val="32D732DD"/>
    <w:rsid w:val="33481008"/>
    <w:rsid w:val="33ECA146"/>
    <w:rsid w:val="347CB531"/>
    <w:rsid w:val="35622263"/>
    <w:rsid w:val="35BF22EF"/>
    <w:rsid w:val="36550DDF"/>
    <w:rsid w:val="36A8D54F"/>
    <w:rsid w:val="375080E7"/>
    <w:rsid w:val="37EBD231"/>
    <w:rsid w:val="38208AD6"/>
    <w:rsid w:val="3939B704"/>
    <w:rsid w:val="39402B6C"/>
    <w:rsid w:val="394E784C"/>
    <w:rsid w:val="3963C7C6"/>
    <w:rsid w:val="39C3AB03"/>
    <w:rsid w:val="3B186DBB"/>
    <w:rsid w:val="3B74FB05"/>
    <w:rsid w:val="3C4EA99E"/>
    <w:rsid w:val="3C56A6A6"/>
    <w:rsid w:val="3CA6D418"/>
    <w:rsid w:val="3CCFABF2"/>
    <w:rsid w:val="3CF30204"/>
    <w:rsid w:val="3D7ABFE3"/>
    <w:rsid w:val="3DD39182"/>
    <w:rsid w:val="3E0A4B3F"/>
    <w:rsid w:val="3EB2163A"/>
    <w:rsid w:val="3F0F1D99"/>
    <w:rsid w:val="3F5B91ED"/>
    <w:rsid w:val="3F93DCD0"/>
    <w:rsid w:val="3FF1C147"/>
    <w:rsid w:val="401BC22F"/>
    <w:rsid w:val="40CB1E09"/>
    <w:rsid w:val="413CF00A"/>
    <w:rsid w:val="41FB00F0"/>
    <w:rsid w:val="424EEAD3"/>
    <w:rsid w:val="42AABED2"/>
    <w:rsid w:val="42BE5C92"/>
    <w:rsid w:val="43491C45"/>
    <w:rsid w:val="43667012"/>
    <w:rsid w:val="43DC9193"/>
    <w:rsid w:val="44752736"/>
    <w:rsid w:val="44847F7F"/>
    <w:rsid w:val="4554F62B"/>
    <w:rsid w:val="45CB39DB"/>
    <w:rsid w:val="465F426E"/>
    <w:rsid w:val="4694EE1A"/>
    <w:rsid w:val="47C220C1"/>
    <w:rsid w:val="47EB56FA"/>
    <w:rsid w:val="492F5547"/>
    <w:rsid w:val="49E8952D"/>
    <w:rsid w:val="4A299D1E"/>
    <w:rsid w:val="4AA16A35"/>
    <w:rsid w:val="4AC1A558"/>
    <w:rsid w:val="4AC5C57F"/>
    <w:rsid w:val="4B9B9ACD"/>
    <w:rsid w:val="4BBD0C8B"/>
    <w:rsid w:val="4C72C3CE"/>
    <w:rsid w:val="4C72CFFC"/>
    <w:rsid w:val="4C7E572F"/>
    <w:rsid w:val="4CEBAEE1"/>
    <w:rsid w:val="4E716FBD"/>
    <w:rsid w:val="4F444A4E"/>
    <w:rsid w:val="5114D769"/>
    <w:rsid w:val="511653C1"/>
    <w:rsid w:val="513BA777"/>
    <w:rsid w:val="516C84AE"/>
    <w:rsid w:val="516D27B6"/>
    <w:rsid w:val="51BCF690"/>
    <w:rsid w:val="51CF6CC6"/>
    <w:rsid w:val="521CBFB7"/>
    <w:rsid w:val="526F381B"/>
    <w:rsid w:val="52FEAE66"/>
    <w:rsid w:val="5319ADE8"/>
    <w:rsid w:val="533E2E36"/>
    <w:rsid w:val="54A2BB49"/>
    <w:rsid w:val="54B589C8"/>
    <w:rsid w:val="55CCF316"/>
    <w:rsid w:val="561072D1"/>
    <w:rsid w:val="56A3DC85"/>
    <w:rsid w:val="56CEEFAF"/>
    <w:rsid w:val="57220071"/>
    <w:rsid w:val="5752A3B3"/>
    <w:rsid w:val="577BDE05"/>
    <w:rsid w:val="57A3EC71"/>
    <w:rsid w:val="58499122"/>
    <w:rsid w:val="585071E8"/>
    <w:rsid w:val="58792AFC"/>
    <w:rsid w:val="58CDC4B9"/>
    <w:rsid w:val="596155D8"/>
    <w:rsid w:val="59C5B6CA"/>
    <w:rsid w:val="5A2D15B3"/>
    <w:rsid w:val="5AD2AEF0"/>
    <w:rsid w:val="5B0C953E"/>
    <w:rsid w:val="5B82DCAA"/>
    <w:rsid w:val="5B9595E3"/>
    <w:rsid w:val="5B9F0CDD"/>
    <w:rsid w:val="5BA47551"/>
    <w:rsid w:val="5BFEC0F0"/>
    <w:rsid w:val="5D21DFFE"/>
    <w:rsid w:val="5D309F87"/>
    <w:rsid w:val="5E2EFBB6"/>
    <w:rsid w:val="5EF42F92"/>
    <w:rsid w:val="5FB47B81"/>
    <w:rsid w:val="600A435F"/>
    <w:rsid w:val="600C09F7"/>
    <w:rsid w:val="60961FFC"/>
    <w:rsid w:val="60DA6623"/>
    <w:rsid w:val="62929E22"/>
    <w:rsid w:val="6326040A"/>
    <w:rsid w:val="63702756"/>
    <w:rsid w:val="63773205"/>
    <w:rsid w:val="642305B0"/>
    <w:rsid w:val="6437E2F5"/>
    <w:rsid w:val="643D5738"/>
    <w:rsid w:val="646A1595"/>
    <w:rsid w:val="649DB02C"/>
    <w:rsid w:val="653FA5EB"/>
    <w:rsid w:val="654C39E3"/>
    <w:rsid w:val="66065490"/>
    <w:rsid w:val="667A603D"/>
    <w:rsid w:val="68290F33"/>
    <w:rsid w:val="683B3811"/>
    <w:rsid w:val="6938CA06"/>
    <w:rsid w:val="6BAAC832"/>
    <w:rsid w:val="6BDDDC99"/>
    <w:rsid w:val="6C36E17A"/>
    <w:rsid w:val="6C544120"/>
    <w:rsid w:val="6D3CCABA"/>
    <w:rsid w:val="6D59710D"/>
    <w:rsid w:val="6D5CC3D0"/>
    <w:rsid w:val="6DF636A3"/>
    <w:rsid w:val="6E04B6DD"/>
    <w:rsid w:val="6E4C313B"/>
    <w:rsid w:val="6E751442"/>
    <w:rsid w:val="6EE68C81"/>
    <w:rsid w:val="6F314704"/>
    <w:rsid w:val="6F686E70"/>
    <w:rsid w:val="6F6A689B"/>
    <w:rsid w:val="7150ECD3"/>
    <w:rsid w:val="7153D510"/>
    <w:rsid w:val="71592105"/>
    <w:rsid w:val="715F4990"/>
    <w:rsid w:val="72538933"/>
    <w:rsid w:val="72AD048A"/>
    <w:rsid w:val="734FB536"/>
    <w:rsid w:val="73D86868"/>
    <w:rsid w:val="740E2B69"/>
    <w:rsid w:val="748FEBFE"/>
    <w:rsid w:val="7560E0B2"/>
    <w:rsid w:val="75ADEEB1"/>
    <w:rsid w:val="75CBDAA4"/>
    <w:rsid w:val="75DAA9C4"/>
    <w:rsid w:val="760B1387"/>
    <w:rsid w:val="76DC235E"/>
    <w:rsid w:val="77489C28"/>
    <w:rsid w:val="7839DF16"/>
    <w:rsid w:val="7861C760"/>
    <w:rsid w:val="7958E9C4"/>
    <w:rsid w:val="796F3BBD"/>
    <w:rsid w:val="799EEEBF"/>
    <w:rsid w:val="7A16CDDB"/>
    <w:rsid w:val="7A16E5BA"/>
    <w:rsid w:val="7A41DB0E"/>
    <w:rsid w:val="7A6ECA41"/>
    <w:rsid w:val="7A77E11E"/>
    <w:rsid w:val="7ADA81B0"/>
    <w:rsid w:val="7ADB15C8"/>
    <w:rsid w:val="7AE5510F"/>
    <w:rsid w:val="7B0653FC"/>
    <w:rsid w:val="7B7AE68C"/>
    <w:rsid w:val="7CE2D511"/>
    <w:rsid w:val="7D52EB9F"/>
    <w:rsid w:val="7D6C9CF2"/>
    <w:rsid w:val="7E2712F1"/>
    <w:rsid w:val="7F0D4BB9"/>
    <w:rsid w:val="7FBCD15C"/>
    <w:rsid w:val="7FD5D2EE"/>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447B7"/>
  <w15:chartTrackingRefBased/>
  <w15:docId w15:val="{9DD360B8-FE21-4236-B708-EFE91210A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209"/>
    <w:pPr>
      <w:jc w:val="both"/>
    </w:pPr>
    <w:rPr>
      <w:rFonts w:ascii="Segoe UI" w:hAnsi="Segoe UI"/>
    </w:rPr>
  </w:style>
  <w:style w:type="paragraph" w:styleId="Heading1">
    <w:name w:val="heading 1"/>
    <w:basedOn w:val="Normal"/>
    <w:next w:val="Normal"/>
    <w:link w:val="Heading1Char"/>
    <w:uiPriority w:val="9"/>
    <w:qFormat/>
    <w:rsid w:val="00E95991"/>
    <w:pPr>
      <w:keepNext/>
      <w:keepLines/>
      <w:numPr>
        <w:numId w:val="19"/>
      </w:numPr>
      <w:spacing w:before="360" w:after="80"/>
      <w:outlineLvl w:val="0"/>
    </w:pPr>
    <w:rPr>
      <w:rFonts w:eastAsiaTheme="majorEastAsia" w:cstheme="majorBidi"/>
      <w:b/>
      <w:color w:val="2F5496" w:themeColor="accent1" w:themeShade="BF"/>
      <w:sz w:val="28"/>
      <w:szCs w:val="40"/>
    </w:rPr>
  </w:style>
  <w:style w:type="paragraph" w:styleId="Heading2">
    <w:name w:val="heading 2"/>
    <w:basedOn w:val="Normal"/>
    <w:next w:val="Normal"/>
    <w:link w:val="Heading2Char"/>
    <w:uiPriority w:val="9"/>
    <w:unhideWhenUsed/>
    <w:qFormat/>
    <w:rsid w:val="00E95991"/>
    <w:pPr>
      <w:keepNext/>
      <w:keepLines/>
      <w:numPr>
        <w:ilvl w:val="1"/>
        <w:numId w:val="19"/>
      </w:numPr>
      <w:spacing w:before="160" w:after="80"/>
      <w:outlineLvl w:val="1"/>
    </w:pPr>
    <w:rPr>
      <w:rFonts w:eastAsiaTheme="majorEastAsia" w:cstheme="majorBidi"/>
      <w:color w:val="2F5496" w:themeColor="accent1" w:themeShade="BF"/>
      <w:sz w:val="28"/>
      <w:szCs w:val="32"/>
    </w:rPr>
  </w:style>
  <w:style w:type="paragraph" w:styleId="Heading3">
    <w:name w:val="heading 3"/>
    <w:basedOn w:val="Normal"/>
    <w:next w:val="Normal"/>
    <w:link w:val="Heading3Char"/>
    <w:uiPriority w:val="9"/>
    <w:unhideWhenUsed/>
    <w:qFormat/>
    <w:rsid w:val="00E95991"/>
    <w:pPr>
      <w:keepNext/>
      <w:keepLines/>
      <w:numPr>
        <w:ilvl w:val="2"/>
        <w:numId w:val="19"/>
      </w:numPr>
      <w:spacing w:before="160" w:after="80"/>
      <w:outlineLvl w:val="2"/>
    </w:pPr>
    <w:rPr>
      <w:rFonts w:eastAsiaTheme="majorEastAsia" w:cstheme="majorBidi"/>
      <w:color w:val="2F5496" w:themeColor="accent1" w:themeShade="BF"/>
      <w:sz w:val="24"/>
      <w:szCs w:val="28"/>
    </w:rPr>
  </w:style>
  <w:style w:type="paragraph" w:styleId="Heading4">
    <w:name w:val="heading 4"/>
    <w:basedOn w:val="Normal"/>
    <w:next w:val="Normal"/>
    <w:link w:val="Heading4Char"/>
    <w:uiPriority w:val="9"/>
    <w:unhideWhenUsed/>
    <w:qFormat/>
    <w:rsid w:val="00082DFE"/>
    <w:pPr>
      <w:keepNext/>
      <w:keepLines/>
      <w:numPr>
        <w:ilvl w:val="3"/>
        <w:numId w:val="19"/>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DFE"/>
    <w:pPr>
      <w:keepNext/>
      <w:keepLines/>
      <w:numPr>
        <w:ilvl w:val="4"/>
        <w:numId w:val="19"/>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DFE"/>
    <w:pPr>
      <w:keepNext/>
      <w:keepLines/>
      <w:numPr>
        <w:ilvl w:val="5"/>
        <w:numId w:val="1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DFE"/>
    <w:pPr>
      <w:keepNext/>
      <w:keepLines/>
      <w:numPr>
        <w:ilvl w:val="6"/>
        <w:numId w:val="1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DFE"/>
    <w:pPr>
      <w:keepNext/>
      <w:keepLines/>
      <w:numPr>
        <w:ilvl w:val="7"/>
        <w:numId w:val="1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DFE"/>
    <w:pPr>
      <w:keepNext/>
      <w:keepLines/>
      <w:numPr>
        <w:ilvl w:val="8"/>
        <w:numId w:val="1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991"/>
    <w:rPr>
      <w:rFonts w:ascii="Segoe UI" w:eastAsiaTheme="majorEastAsia" w:hAnsi="Segoe UI" w:cstheme="majorBidi"/>
      <w:b/>
      <w:color w:val="2F5496" w:themeColor="accent1" w:themeShade="BF"/>
      <w:sz w:val="28"/>
      <w:szCs w:val="40"/>
    </w:rPr>
  </w:style>
  <w:style w:type="character" w:customStyle="1" w:styleId="Heading2Char">
    <w:name w:val="Heading 2 Char"/>
    <w:basedOn w:val="DefaultParagraphFont"/>
    <w:link w:val="Heading2"/>
    <w:uiPriority w:val="9"/>
    <w:rsid w:val="00E95991"/>
    <w:rPr>
      <w:rFonts w:ascii="Segoe UI" w:eastAsiaTheme="majorEastAsia" w:hAnsi="Segoe UI" w:cstheme="majorBidi"/>
      <w:color w:val="2F5496" w:themeColor="accent1" w:themeShade="BF"/>
      <w:sz w:val="28"/>
      <w:szCs w:val="32"/>
    </w:rPr>
  </w:style>
  <w:style w:type="character" w:customStyle="1" w:styleId="Heading3Char">
    <w:name w:val="Heading 3 Char"/>
    <w:basedOn w:val="DefaultParagraphFont"/>
    <w:link w:val="Heading3"/>
    <w:uiPriority w:val="9"/>
    <w:rsid w:val="00E95991"/>
    <w:rPr>
      <w:rFonts w:ascii="Segoe UI" w:eastAsiaTheme="majorEastAsia" w:hAnsi="Segoe UI" w:cstheme="majorBidi"/>
      <w:color w:val="2F5496" w:themeColor="accent1" w:themeShade="BF"/>
      <w:sz w:val="24"/>
      <w:szCs w:val="28"/>
    </w:rPr>
  </w:style>
  <w:style w:type="character" w:customStyle="1" w:styleId="Heading4Char">
    <w:name w:val="Heading 4 Char"/>
    <w:basedOn w:val="DefaultParagraphFont"/>
    <w:link w:val="Heading4"/>
    <w:uiPriority w:val="9"/>
    <w:rsid w:val="00082D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D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DFE"/>
    <w:rPr>
      <w:rFonts w:eastAsiaTheme="majorEastAsia" w:cstheme="majorBidi"/>
      <w:color w:val="272727" w:themeColor="text1" w:themeTint="D8"/>
    </w:rPr>
  </w:style>
  <w:style w:type="paragraph" w:styleId="Title">
    <w:name w:val="Title"/>
    <w:basedOn w:val="Normal"/>
    <w:next w:val="Normal"/>
    <w:link w:val="TitleChar"/>
    <w:uiPriority w:val="10"/>
    <w:qFormat/>
    <w:rsid w:val="00A91DBA"/>
    <w:pPr>
      <w:spacing w:after="80" w:line="24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A91DBA"/>
    <w:rPr>
      <w:rFonts w:ascii="Segoe UI" w:eastAsiaTheme="majorEastAsia" w:hAnsi="Segoe UI" w:cstheme="majorBidi"/>
      <w:b/>
      <w:spacing w:val="-10"/>
      <w:kern w:val="28"/>
      <w:sz w:val="28"/>
      <w:szCs w:val="56"/>
    </w:rPr>
  </w:style>
  <w:style w:type="paragraph" w:styleId="Subtitle">
    <w:name w:val="Subtitle"/>
    <w:basedOn w:val="Normal"/>
    <w:next w:val="Normal"/>
    <w:link w:val="SubtitleChar"/>
    <w:uiPriority w:val="11"/>
    <w:qFormat/>
    <w:rsid w:val="00082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DFE"/>
    <w:pPr>
      <w:spacing w:before="160"/>
      <w:jc w:val="center"/>
    </w:pPr>
    <w:rPr>
      <w:rFonts w:eastAsiaTheme="minorHAnsi"/>
      <w:i/>
      <w:iCs/>
      <w:color w:val="404040" w:themeColor="text1" w:themeTint="BF"/>
    </w:rPr>
  </w:style>
  <w:style w:type="character" w:customStyle="1" w:styleId="QuoteChar">
    <w:name w:val="Quote Char"/>
    <w:basedOn w:val="DefaultParagraphFont"/>
    <w:link w:val="Quote"/>
    <w:uiPriority w:val="29"/>
    <w:rsid w:val="00082DFE"/>
    <w:rPr>
      <w:i/>
      <w:iCs/>
      <w:color w:val="404040" w:themeColor="text1" w:themeTint="BF"/>
    </w:rPr>
  </w:style>
  <w:style w:type="paragraph" w:styleId="ListParagraph">
    <w:name w:val="List Paragraph"/>
    <w:aliases w:val="Akapit z listą BS,Bullet1,Bullets,Citation List,Ha,List Paragraph (numbered (a)),List Paragraph1,List_Paragraph,Liste 1,Main numbered paragraph,Multilevel para_II,NUMBERED PARAGRAPH,Numbered List Paragraph,NumberedParas,References,본문(내용)"/>
    <w:basedOn w:val="Normal"/>
    <w:link w:val="ListParagraphChar"/>
    <w:uiPriority w:val="34"/>
    <w:qFormat/>
    <w:rsid w:val="00082DFE"/>
    <w:pPr>
      <w:ind w:left="720"/>
      <w:contextualSpacing/>
    </w:pPr>
    <w:rPr>
      <w:rFonts w:eastAsiaTheme="minorHAnsi"/>
    </w:rPr>
  </w:style>
  <w:style w:type="character" w:styleId="IntenseEmphasis">
    <w:name w:val="Intense Emphasis"/>
    <w:basedOn w:val="DefaultParagraphFont"/>
    <w:uiPriority w:val="21"/>
    <w:qFormat/>
    <w:rsid w:val="00082DFE"/>
    <w:rPr>
      <w:i/>
      <w:iCs/>
      <w:color w:val="2F5496" w:themeColor="accent1" w:themeShade="BF"/>
    </w:rPr>
  </w:style>
  <w:style w:type="paragraph" w:styleId="IntenseQuote">
    <w:name w:val="Intense Quote"/>
    <w:basedOn w:val="Normal"/>
    <w:next w:val="Normal"/>
    <w:link w:val="IntenseQuoteChar"/>
    <w:uiPriority w:val="30"/>
    <w:qFormat/>
    <w:rsid w:val="00082DFE"/>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i/>
      <w:iCs/>
      <w:color w:val="2F5496" w:themeColor="accent1" w:themeShade="BF"/>
    </w:rPr>
  </w:style>
  <w:style w:type="character" w:customStyle="1" w:styleId="IntenseQuoteChar">
    <w:name w:val="Intense Quote Char"/>
    <w:basedOn w:val="DefaultParagraphFont"/>
    <w:link w:val="IntenseQuote"/>
    <w:uiPriority w:val="30"/>
    <w:rsid w:val="00082DFE"/>
    <w:rPr>
      <w:i/>
      <w:iCs/>
      <w:color w:val="2F5496" w:themeColor="accent1" w:themeShade="BF"/>
    </w:rPr>
  </w:style>
  <w:style w:type="character" w:styleId="IntenseReference">
    <w:name w:val="Intense Reference"/>
    <w:basedOn w:val="DefaultParagraphFont"/>
    <w:uiPriority w:val="32"/>
    <w:qFormat/>
    <w:rsid w:val="00082DFE"/>
    <w:rPr>
      <w:b/>
      <w:bCs/>
      <w:smallCaps/>
      <w:color w:val="2F5496" w:themeColor="accent1" w:themeShade="BF"/>
      <w:spacing w:val="5"/>
    </w:rPr>
  </w:style>
  <w:style w:type="paragraph" w:styleId="NoSpacing">
    <w:name w:val="No Spacing"/>
    <w:uiPriority w:val="1"/>
    <w:qFormat/>
    <w:rsid w:val="00082DFE"/>
    <w:pPr>
      <w:spacing w:after="0" w:line="240" w:lineRule="auto"/>
    </w:pPr>
  </w:style>
  <w:style w:type="character" w:styleId="Hyperlink">
    <w:name w:val="Hyperlink"/>
    <w:basedOn w:val="DefaultParagraphFont"/>
    <w:uiPriority w:val="99"/>
    <w:unhideWhenUsed/>
    <w:rsid w:val="00082DFE"/>
    <w:rPr>
      <w:color w:val="0563C1" w:themeColor="hyperlink"/>
      <w:u w:val="single"/>
    </w:rPr>
  </w:style>
  <w:style w:type="paragraph" w:styleId="CommentText">
    <w:name w:val="annotation text"/>
    <w:basedOn w:val="Normal"/>
    <w:link w:val="CommentTextChar"/>
    <w:uiPriority w:val="99"/>
    <w:unhideWhenUsed/>
    <w:rsid w:val="00082DFE"/>
    <w:pPr>
      <w:spacing w:line="240" w:lineRule="auto"/>
    </w:pPr>
    <w:rPr>
      <w:rFonts w:eastAsiaTheme="minorHAnsi"/>
      <w:kern w:val="2"/>
      <w:szCs w:val="20"/>
      <w14:ligatures w14:val="standardContextual"/>
    </w:rPr>
  </w:style>
  <w:style w:type="character" w:customStyle="1" w:styleId="CommentTextChar">
    <w:name w:val="Comment Text Char"/>
    <w:basedOn w:val="DefaultParagraphFont"/>
    <w:link w:val="CommentText"/>
    <w:uiPriority w:val="99"/>
    <w:rsid w:val="00082DFE"/>
    <w:rPr>
      <w:rFonts w:ascii="Segoe UI" w:hAnsi="Segoe UI"/>
      <w:kern w:val="2"/>
      <w:sz w:val="20"/>
      <w:szCs w:val="20"/>
      <w14:ligatures w14:val="standardContextual"/>
    </w:rPr>
  </w:style>
  <w:style w:type="character" w:styleId="CommentReference">
    <w:name w:val="annotation reference"/>
    <w:basedOn w:val="DefaultParagraphFont"/>
    <w:uiPriority w:val="99"/>
    <w:semiHidden/>
    <w:unhideWhenUsed/>
    <w:rsid w:val="00082DFE"/>
    <w:rPr>
      <w:sz w:val="16"/>
      <w:szCs w:val="16"/>
    </w:rPr>
  </w:style>
  <w:style w:type="character" w:customStyle="1" w:styleId="FootnoteTextChar">
    <w:name w:val="Footnote Text Char"/>
    <w:aliases w:val="Char Char,12pt Char,9 Char,A Char,AD Char,ADB Char,ADB1 Char,ADB2 Char,ADB3 Char,FOOTNOTES Char,Footnote Text Char1 Char Char Char,Footnote Text Char1 Char Char Char Char Char,Footnote Text Char2 Char Char,Fußnotentext Char Char"/>
    <w:basedOn w:val="DefaultParagraphFont"/>
    <w:link w:val="FootnoteText"/>
    <w:uiPriority w:val="99"/>
    <w:qFormat/>
    <w:locked/>
    <w:rsid w:val="001B09F0"/>
    <w:rPr>
      <w:rFonts w:ascii="Segoe UI" w:eastAsiaTheme="minorHAnsi" w:hAnsi="Segoe UI" w:cs="Segoe UI"/>
      <w:color w:val="000000"/>
      <w:sz w:val="18"/>
      <w:szCs w:val="18"/>
    </w:rPr>
  </w:style>
  <w:style w:type="paragraph" w:styleId="FootnoteText">
    <w:name w:val="footnote text"/>
    <w:aliases w:val="Char,12pt,9,A,AD,ADB,ADB1,ADB2,ADB3,FOOTNOTES,Footnote Text Char1 Char Char,Footnote Text Char1 Char Char Char Char,Footnote Text Char2 Char,Footnote Text Char2 Char Char Char,Fußnotentext Char,f,fn,fn Char,fn1,footn,footnote text,ft,ft Ca"/>
    <w:basedOn w:val="Normal"/>
    <w:link w:val="FootnoteTextChar"/>
    <w:uiPriority w:val="99"/>
    <w:unhideWhenUsed/>
    <w:qFormat/>
    <w:rsid w:val="001B09F0"/>
    <w:pPr>
      <w:widowControl w:val="0"/>
      <w:autoSpaceDE w:val="0"/>
      <w:autoSpaceDN w:val="0"/>
      <w:adjustRightInd w:val="0"/>
      <w:spacing w:after="0" w:line="240" w:lineRule="auto"/>
    </w:pPr>
    <w:rPr>
      <w:rFonts w:eastAsiaTheme="minorHAnsi" w:cs="Segoe UI"/>
      <w:color w:val="000000"/>
      <w:sz w:val="18"/>
      <w:szCs w:val="18"/>
    </w:rPr>
  </w:style>
  <w:style w:type="character" w:customStyle="1" w:styleId="FootnoteTextChar1">
    <w:name w:val="Footnote Text Char1"/>
    <w:basedOn w:val="DefaultParagraphFont"/>
    <w:uiPriority w:val="99"/>
    <w:semiHidden/>
    <w:rsid w:val="00082DFE"/>
    <w:rPr>
      <w:rFonts w:eastAsiaTheme="minorEastAsia"/>
      <w:sz w:val="20"/>
      <w:szCs w:val="20"/>
    </w:rPr>
  </w:style>
  <w:style w:type="character" w:styleId="FootnoteReference">
    <w:name w:val="footnote reference"/>
    <w:aliases w:val="BVI fnr,16 Point,Error-Fu?notenzeichen3,Error-Fu?notenzeichen5,Error-Fu?notenzeichen6,Error-Fußnotenzeichen3,Error-Fußnotenzeichen5,Error-Fußnotenzeichen6,FO,Footnote,Footnote Reference1,R,Re,Ref,de nota al pie,fr,ftre,ftref, BVI fnr"/>
    <w:link w:val="BVIfnrCarCar"/>
    <w:uiPriority w:val="99"/>
    <w:unhideWhenUsed/>
    <w:qFormat/>
    <w:rsid w:val="00082DFE"/>
    <w:rPr>
      <w:rFonts w:asciiTheme="majorHAnsi" w:hAnsiTheme="majorHAnsi" w:cstheme="majorHAnsi"/>
      <w:vertAlign w:val="superscript"/>
    </w:rPr>
  </w:style>
  <w:style w:type="paragraph" w:customStyle="1" w:styleId="BVIfnrCarCar">
    <w:name w:val="BVI fnr Car Car"/>
    <w:aliases w:val="BVI fnr Car Car Car Car Char,BVI fnr Car, BVI fnr Car Car Car Car Char,BVI fnr Car Car Car Car,Liste à puces Car,Car Car,Car"/>
    <w:basedOn w:val="Normal"/>
    <w:link w:val="FootnoteReference"/>
    <w:qFormat/>
    <w:rsid w:val="00082DFE"/>
    <w:pPr>
      <w:spacing w:line="240" w:lineRule="exact"/>
    </w:pPr>
    <w:rPr>
      <w:rFonts w:asciiTheme="majorHAnsi" w:eastAsiaTheme="minorHAnsi" w:hAnsiTheme="majorHAnsi" w:cstheme="majorHAnsi"/>
      <w:vertAlign w:val="superscript"/>
    </w:rPr>
  </w:style>
  <w:style w:type="character" w:customStyle="1" w:styleId="cf01">
    <w:name w:val="cf01"/>
    <w:basedOn w:val="DefaultParagraphFont"/>
    <w:rsid w:val="00082DFE"/>
    <w:rPr>
      <w:rFonts w:ascii="Segoe UI" w:hAnsi="Segoe UI" w:cs="Segoe UI" w:hint="default"/>
      <w:sz w:val="18"/>
      <w:szCs w:val="18"/>
    </w:rPr>
  </w:style>
  <w:style w:type="character" w:styleId="Mention">
    <w:name w:val="Mention"/>
    <w:basedOn w:val="DefaultParagraphFont"/>
    <w:uiPriority w:val="99"/>
    <w:unhideWhenUsed/>
    <w:rsid w:val="00082DFE"/>
    <w:rPr>
      <w:color w:val="2B579A"/>
      <w:shd w:val="clear" w:color="auto" w:fill="E1DFDD"/>
    </w:rPr>
  </w:style>
  <w:style w:type="paragraph" w:styleId="Revision">
    <w:name w:val="Revision"/>
    <w:hidden/>
    <w:uiPriority w:val="99"/>
    <w:semiHidden/>
    <w:rsid w:val="00D11076"/>
    <w:pPr>
      <w:spacing w:after="0" w:line="240" w:lineRule="auto"/>
    </w:pPr>
  </w:style>
  <w:style w:type="character" w:styleId="UnresolvedMention">
    <w:name w:val="Unresolved Mention"/>
    <w:basedOn w:val="DefaultParagraphFont"/>
    <w:uiPriority w:val="99"/>
    <w:semiHidden/>
    <w:unhideWhenUsed/>
    <w:rsid w:val="0004459E"/>
    <w:rPr>
      <w:color w:val="605E5C"/>
      <w:shd w:val="clear" w:color="auto" w:fill="E1DFDD"/>
    </w:rPr>
  </w:style>
  <w:style w:type="table" w:styleId="TableGrid">
    <w:name w:val="Table Grid"/>
    <w:aliases w:val="CV table,CV1,EY Table,Table Grid_mod,none,Table Grid CFAA,表格样式"/>
    <w:basedOn w:val="TableNormal"/>
    <w:uiPriority w:val="39"/>
    <w:rsid w:val="00CE6D6B"/>
    <w:pPr>
      <w:spacing w:after="0" w:line="240" w:lineRule="auto"/>
    </w:pPr>
    <w:tblPr/>
  </w:style>
  <w:style w:type="paragraph" w:styleId="Header">
    <w:name w:val="header"/>
    <w:basedOn w:val="Normal"/>
    <w:link w:val="HeaderChar"/>
    <w:uiPriority w:val="99"/>
    <w:unhideWhenUsed/>
    <w:rsid w:val="009A0F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F8F"/>
    <w:rPr>
      <w:rFonts w:eastAsiaTheme="minorEastAsia"/>
    </w:rPr>
  </w:style>
  <w:style w:type="paragraph" w:styleId="Footer">
    <w:name w:val="footer"/>
    <w:basedOn w:val="Normal"/>
    <w:link w:val="FooterChar"/>
    <w:uiPriority w:val="99"/>
    <w:unhideWhenUsed/>
    <w:rsid w:val="009A0F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F8F"/>
    <w:rPr>
      <w:rFonts w:eastAsiaTheme="minorEastAsia"/>
    </w:rPr>
  </w:style>
  <w:style w:type="paragraph" w:styleId="CommentSubject">
    <w:name w:val="annotation subject"/>
    <w:basedOn w:val="CommentText"/>
    <w:next w:val="CommentText"/>
    <w:link w:val="CommentSubjectChar"/>
    <w:uiPriority w:val="99"/>
    <w:semiHidden/>
    <w:unhideWhenUsed/>
    <w:rsid w:val="00CC3EB3"/>
    <w:rPr>
      <w:rFonts w:eastAsiaTheme="minorEastAsia"/>
      <w:b/>
      <w:bCs/>
      <w:kern w:val="0"/>
      <w14:ligatures w14:val="none"/>
    </w:rPr>
  </w:style>
  <w:style w:type="character" w:customStyle="1" w:styleId="CommentSubjectChar">
    <w:name w:val="Comment Subject Char"/>
    <w:basedOn w:val="CommentTextChar"/>
    <w:link w:val="CommentSubject"/>
    <w:uiPriority w:val="99"/>
    <w:semiHidden/>
    <w:rsid w:val="00CC3EB3"/>
    <w:rPr>
      <w:rFonts w:ascii="Segoe UI" w:eastAsiaTheme="minorEastAsia" w:hAnsi="Segoe UI"/>
      <w:b/>
      <w:bCs/>
      <w:kern w:val="2"/>
      <w:sz w:val="20"/>
      <w:szCs w:val="20"/>
      <w14:ligatures w14:val="standardContextual"/>
    </w:rPr>
  </w:style>
  <w:style w:type="paragraph" w:customStyle="1" w:styleId="muitypography-root">
    <w:name w:val="muitypography-root"/>
    <w:basedOn w:val="Normal"/>
    <w:rsid w:val="0006467D"/>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F350BE"/>
    <w:pPr>
      <w:spacing w:after="200" w:line="240" w:lineRule="auto"/>
    </w:pPr>
    <w:rPr>
      <w:rFonts w:eastAsiaTheme="minorHAnsi"/>
      <w:i/>
      <w:iCs/>
      <w:color w:val="44546A" w:themeColor="text2"/>
      <w:kern w:val="2"/>
      <w:sz w:val="18"/>
      <w:szCs w:val="18"/>
      <w14:ligatures w14:val="standardContextual"/>
    </w:rPr>
  </w:style>
  <w:style w:type="character" w:styleId="SubtleEmphasis">
    <w:name w:val="Subtle Emphasis"/>
    <w:basedOn w:val="DefaultParagraphFont"/>
    <w:uiPriority w:val="19"/>
    <w:qFormat/>
    <w:rsid w:val="00F350BE"/>
    <w:rPr>
      <w:i/>
      <w:iCs/>
      <w:color w:val="404040" w:themeColor="text1" w:themeTint="BF"/>
      <w:sz w:val="20"/>
    </w:rPr>
  </w:style>
  <w:style w:type="table" w:styleId="PlainTable4">
    <w:name w:val="Plain Table 4"/>
    <w:basedOn w:val="TableNormal"/>
    <w:uiPriority w:val="44"/>
    <w:rsid w:val="004F614A"/>
    <w:pPr>
      <w:spacing w:after="0" w:line="240" w:lineRule="auto"/>
    </w:pPr>
    <w:rPr>
      <w:kern w:val="2"/>
      <w14:ligatures w14:val="standardContextual"/>
    </w:rPr>
    <w:tblPr/>
    <w:tblStylePr w:type="firstRow">
      <w:rPr>
        <w:b/>
        <w:bCs/>
      </w:rPr>
    </w:tblStylePr>
    <w:tblStylePr w:type="lastRow">
      <w:rPr>
        <w:b/>
        <w:bCs/>
      </w:r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E458A1"/>
    <w:rPr>
      <w:color w:val="954F72" w:themeColor="followedHyperlink"/>
      <w:u w:val="single"/>
    </w:rPr>
  </w:style>
  <w:style w:type="character" w:customStyle="1" w:styleId="ListParagraphChar">
    <w:name w:val="List Paragraph Char"/>
    <w:aliases w:val="Akapit z listą BS Char,Bullet1 Char,Bullets Char,Citation List Char,Ha Char,List Paragraph (numbered (a)) Char,List Paragraph1 Char,List_Paragraph Char,Liste 1 Char,Main numbered paragraph Char,Multilevel para_II Char,References Char"/>
    <w:link w:val="ListParagraph"/>
    <w:uiPriority w:val="34"/>
    <w:qFormat/>
    <w:locked/>
    <w:rsid w:val="00E458A1"/>
    <w:rPr>
      <w:rFonts w:ascii="Segoe UI" w:hAnsi="Segoe UI"/>
      <w:sz w:val="20"/>
    </w:rPr>
  </w:style>
  <w:style w:type="paragraph" w:customStyle="1" w:styleId="FNRefeCharChar">
    <w:name w:val="FNRefe Char Char"/>
    <w:aliases w:val="BVI fnr Char Char,BVI fnr Char Char Char,BVI fnr Car Car Char Char Char,BVI fnr Car Char Char Char,BVI fnr Car Car Car Car Char Char Char Char Char, BVI fnr Char Char Char, BVI fnr Car Car Char Char Char"/>
    <w:basedOn w:val="Normal"/>
    <w:uiPriority w:val="99"/>
    <w:rsid w:val="00E458A1"/>
    <w:pPr>
      <w:tabs>
        <w:tab w:val="left" w:pos="720"/>
      </w:tabs>
      <w:spacing w:line="240" w:lineRule="exact"/>
      <w:ind w:firstLine="720"/>
    </w:pPr>
    <w:rPr>
      <w:rFonts w:ascii="Times New Roman" w:eastAsia="Batang" w:hAnsi="Times New Roman"/>
      <w:kern w:val="2"/>
      <w:vertAlign w:val="superscript"/>
      <w:lang w:val="en-GB" w:bidi="he-IL"/>
      <w14:ligatures w14:val="standardContextual"/>
    </w:rPr>
  </w:style>
  <w:style w:type="paragraph" w:styleId="EndnoteText">
    <w:name w:val="endnote text"/>
    <w:basedOn w:val="Normal"/>
    <w:link w:val="EndnoteTextChar"/>
    <w:uiPriority w:val="99"/>
    <w:semiHidden/>
    <w:unhideWhenUsed/>
    <w:rsid w:val="003C10D2"/>
    <w:pPr>
      <w:spacing w:after="0" w:line="240" w:lineRule="auto"/>
      <w:jc w:val="left"/>
    </w:pPr>
    <w:rPr>
      <w:rFonts w:asciiTheme="minorHAnsi" w:eastAsiaTheme="minorHAnsi" w:hAnsiTheme="minorHAnsi"/>
      <w:szCs w:val="20"/>
    </w:rPr>
  </w:style>
  <w:style w:type="character" w:customStyle="1" w:styleId="EndnoteTextChar">
    <w:name w:val="Endnote Text Char"/>
    <w:basedOn w:val="DefaultParagraphFont"/>
    <w:link w:val="EndnoteText"/>
    <w:uiPriority w:val="99"/>
    <w:semiHidden/>
    <w:rsid w:val="003C10D2"/>
    <w:rPr>
      <w:sz w:val="20"/>
      <w:szCs w:val="20"/>
    </w:rPr>
  </w:style>
  <w:style w:type="character" w:styleId="EndnoteReference">
    <w:name w:val="endnote reference"/>
    <w:basedOn w:val="DefaultParagraphFont"/>
    <w:uiPriority w:val="99"/>
    <w:unhideWhenUsed/>
    <w:rsid w:val="003C10D2"/>
    <w:rPr>
      <w:vertAlign w:val="superscript"/>
    </w:rPr>
  </w:style>
  <w:style w:type="table" w:styleId="PlainTable3">
    <w:name w:val="Plain Table 3"/>
    <w:basedOn w:val="TableNormal"/>
    <w:uiPriority w:val="43"/>
    <w:rsid w:val="00B94836"/>
    <w:pPr>
      <w:spacing w:after="0" w:line="240" w:lineRule="auto"/>
    </w:pPr>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character" w:customStyle="1" w:styleId="eop">
    <w:name w:val="eop"/>
    <w:basedOn w:val="DefaultParagraphFont"/>
    <w:rsid w:val="00B55693"/>
  </w:style>
  <w:style w:type="paragraph" w:styleId="NormalWeb">
    <w:name w:val="Normal (Web)"/>
    <w:basedOn w:val="Normal"/>
    <w:uiPriority w:val="99"/>
    <w:semiHidden/>
    <w:unhideWhenUsed/>
    <w:rsid w:val="00E352C3"/>
    <w:pPr>
      <w:spacing w:before="100" w:beforeAutospacing="1" w:after="100" w:afterAutospacing="1" w:line="240" w:lineRule="auto"/>
      <w:jc w:val="left"/>
    </w:pPr>
    <w:rPr>
      <w:rFonts w:ascii="Times New Roman" w:eastAsia="Times New Roman" w:hAnsi="Times New Roman" w:cs="Times New Roman"/>
      <w:sz w:val="24"/>
      <w:szCs w:val="24"/>
      <w:lang w:eastAsia="ko-KR"/>
    </w:rPr>
  </w:style>
  <w:style w:type="paragraph" w:customStyle="1" w:styleId="ftrefChar1">
    <w:name w:val="ftref Char1"/>
    <w:aliases w:val="ftref Знак Char,ftref Char Знак Char,ftref Char Car Char Car Char Car Car Char Car Car Char Знак Char,BVI fnr Char Car Char Car Char Car Car Char Car Car Car Car Car Car Car Car Car Char Знак Знак Char Cha"/>
    <w:basedOn w:val="Normal"/>
    <w:uiPriority w:val="99"/>
    <w:rsid w:val="00EC29F8"/>
    <w:pPr>
      <w:spacing w:line="240" w:lineRule="exact"/>
    </w:pPr>
    <w:rPr>
      <w:rFonts w:asciiTheme="minorHAnsi" w:eastAsiaTheme="minorHAnsi" w:hAnsiTheme="minorHAnsi"/>
      <w:bCs/>
      <w:kern w:val="2"/>
      <w:sz w:val="24"/>
      <w:szCs w:val="24"/>
      <w:vertAlign w:val="superscript"/>
      <w14:ligatures w14:val="standardContextual"/>
    </w:rPr>
  </w:style>
  <w:style w:type="paragraph" w:styleId="TOCHeading">
    <w:name w:val="TOC Heading"/>
    <w:basedOn w:val="Heading1"/>
    <w:next w:val="Normal"/>
    <w:uiPriority w:val="39"/>
    <w:unhideWhenUsed/>
    <w:qFormat/>
    <w:rsid w:val="00C53700"/>
    <w:pPr>
      <w:numPr>
        <w:numId w:val="0"/>
      </w:numPr>
      <w:spacing w:before="240" w:after="0"/>
      <w:jc w:val="left"/>
      <w:outlineLvl w:val="9"/>
    </w:pPr>
    <w:rPr>
      <w:rFonts w:asciiTheme="majorHAnsi" w:hAnsiTheme="majorHAnsi"/>
      <w:b w:val="0"/>
      <w:sz w:val="32"/>
      <w:szCs w:val="32"/>
    </w:rPr>
  </w:style>
  <w:style w:type="paragraph" w:styleId="TOC1">
    <w:name w:val="toc 1"/>
    <w:basedOn w:val="Normal"/>
    <w:next w:val="Normal"/>
    <w:autoRedefine/>
    <w:uiPriority w:val="39"/>
    <w:unhideWhenUsed/>
    <w:rsid w:val="00C53700"/>
    <w:pPr>
      <w:spacing w:after="100"/>
    </w:pPr>
  </w:style>
  <w:style w:type="paragraph" w:styleId="TOC2">
    <w:name w:val="toc 2"/>
    <w:basedOn w:val="Normal"/>
    <w:next w:val="Normal"/>
    <w:autoRedefine/>
    <w:uiPriority w:val="39"/>
    <w:unhideWhenUsed/>
    <w:rsid w:val="00C53700"/>
    <w:pPr>
      <w:spacing w:after="100"/>
      <w:ind w:left="220"/>
    </w:pPr>
  </w:style>
  <w:style w:type="paragraph" w:styleId="TOC3">
    <w:name w:val="toc 3"/>
    <w:basedOn w:val="Normal"/>
    <w:next w:val="Normal"/>
    <w:autoRedefine/>
    <w:uiPriority w:val="39"/>
    <w:unhideWhenUsed/>
    <w:rsid w:val="00C5370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36212">
      <w:bodyDiv w:val="1"/>
      <w:marLeft w:val="0"/>
      <w:marRight w:val="0"/>
      <w:marTop w:val="0"/>
      <w:marBottom w:val="0"/>
      <w:divBdr>
        <w:top w:val="none" w:sz="0" w:space="0" w:color="auto"/>
        <w:left w:val="none" w:sz="0" w:space="0" w:color="auto"/>
        <w:bottom w:val="none" w:sz="0" w:space="0" w:color="auto"/>
        <w:right w:val="none" w:sz="0" w:space="0" w:color="auto"/>
      </w:divBdr>
    </w:div>
    <w:div w:id="253246608">
      <w:bodyDiv w:val="1"/>
      <w:marLeft w:val="0"/>
      <w:marRight w:val="0"/>
      <w:marTop w:val="0"/>
      <w:marBottom w:val="0"/>
      <w:divBdr>
        <w:top w:val="none" w:sz="0" w:space="0" w:color="auto"/>
        <w:left w:val="none" w:sz="0" w:space="0" w:color="auto"/>
        <w:bottom w:val="none" w:sz="0" w:space="0" w:color="auto"/>
        <w:right w:val="none" w:sz="0" w:space="0" w:color="auto"/>
      </w:divBdr>
    </w:div>
    <w:div w:id="264387647">
      <w:bodyDiv w:val="1"/>
      <w:marLeft w:val="0"/>
      <w:marRight w:val="0"/>
      <w:marTop w:val="0"/>
      <w:marBottom w:val="0"/>
      <w:divBdr>
        <w:top w:val="none" w:sz="0" w:space="0" w:color="auto"/>
        <w:left w:val="none" w:sz="0" w:space="0" w:color="auto"/>
        <w:bottom w:val="none" w:sz="0" w:space="0" w:color="auto"/>
        <w:right w:val="none" w:sz="0" w:space="0" w:color="auto"/>
      </w:divBdr>
    </w:div>
    <w:div w:id="348290114">
      <w:bodyDiv w:val="1"/>
      <w:marLeft w:val="0"/>
      <w:marRight w:val="0"/>
      <w:marTop w:val="0"/>
      <w:marBottom w:val="0"/>
      <w:divBdr>
        <w:top w:val="none" w:sz="0" w:space="0" w:color="auto"/>
        <w:left w:val="none" w:sz="0" w:space="0" w:color="auto"/>
        <w:bottom w:val="none" w:sz="0" w:space="0" w:color="auto"/>
        <w:right w:val="none" w:sz="0" w:space="0" w:color="auto"/>
      </w:divBdr>
      <w:divsChild>
        <w:div w:id="1529879813">
          <w:marLeft w:val="0"/>
          <w:marRight w:val="0"/>
          <w:marTop w:val="0"/>
          <w:marBottom w:val="0"/>
          <w:divBdr>
            <w:top w:val="none" w:sz="0" w:space="0" w:color="auto"/>
            <w:left w:val="none" w:sz="0" w:space="0" w:color="auto"/>
            <w:bottom w:val="none" w:sz="0" w:space="0" w:color="auto"/>
            <w:right w:val="none" w:sz="0" w:space="0" w:color="auto"/>
          </w:divBdr>
          <w:divsChild>
            <w:div w:id="40984775">
              <w:marLeft w:val="0"/>
              <w:marRight w:val="0"/>
              <w:marTop w:val="0"/>
              <w:marBottom w:val="0"/>
              <w:divBdr>
                <w:top w:val="none" w:sz="0" w:space="0" w:color="auto"/>
                <w:left w:val="none" w:sz="0" w:space="0" w:color="auto"/>
                <w:bottom w:val="none" w:sz="0" w:space="0" w:color="auto"/>
                <w:right w:val="none" w:sz="0" w:space="0" w:color="auto"/>
              </w:divBdr>
              <w:divsChild>
                <w:div w:id="7654169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435177402">
      <w:bodyDiv w:val="1"/>
      <w:marLeft w:val="0"/>
      <w:marRight w:val="0"/>
      <w:marTop w:val="0"/>
      <w:marBottom w:val="0"/>
      <w:divBdr>
        <w:top w:val="none" w:sz="0" w:space="0" w:color="auto"/>
        <w:left w:val="none" w:sz="0" w:space="0" w:color="auto"/>
        <w:bottom w:val="none" w:sz="0" w:space="0" w:color="auto"/>
        <w:right w:val="none" w:sz="0" w:space="0" w:color="auto"/>
      </w:divBdr>
      <w:divsChild>
        <w:div w:id="518398162">
          <w:marLeft w:val="0"/>
          <w:marRight w:val="0"/>
          <w:marTop w:val="0"/>
          <w:marBottom w:val="160"/>
          <w:divBdr>
            <w:top w:val="none" w:sz="0" w:space="0" w:color="auto"/>
            <w:left w:val="none" w:sz="0" w:space="0" w:color="auto"/>
            <w:bottom w:val="none" w:sz="0" w:space="0" w:color="auto"/>
            <w:right w:val="none" w:sz="0" w:space="0" w:color="auto"/>
          </w:divBdr>
        </w:div>
        <w:div w:id="837962444">
          <w:marLeft w:val="0"/>
          <w:marRight w:val="0"/>
          <w:marTop w:val="0"/>
          <w:marBottom w:val="160"/>
          <w:divBdr>
            <w:top w:val="none" w:sz="0" w:space="0" w:color="auto"/>
            <w:left w:val="none" w:sz="0" w:space="0" w:color="auto"/>
            <w:bottom w:val="none" w:sz="0" w:space="0" w:color="auto"/>
            <w:right w:val="none" w:sz="0" w:space="0" w:color="auto"/>
          </w:divBdr>
        </w:div>
      </w:divsChild>
    </w:div>
    <w:div w:id="494496437">
      <w:bodyDiv w:val="1"/>
      <w:marLeft w:val="0"/>
      <w:marRight w:val="0"/>
      <w:marTop w:val="0"/>
      <w:marBottom w:val="0"/>
      <w:divBdr>
        <w:top w:val="none" w:sz="0" w:space="0" w:color="auto"/>
        <w:left w:val="none" w:sz="0" w:space="0" w:color="auto"/>
        <w:bottom w:val="none" w:sz="0" w:space="0" w:color="auto"/>
        <w:right w:val="none" w:sz="0" w:space="0" w:color="auto"/>
      </w:divBdr>
    </w:div>
    <w:div w:id="500124083">
      <w:bodyDiv w:val="1"/>
      <w:marLeft w:val="0"/>
      <w:marRight w:val="0"/>
      <w:marTop w:val="0"/>
      <w:marBottom w:val="0"/>
      <w:divBdr>
        <w:top w:val="none" w:sz="0" w:space="0" w:color="auto"/>
        <w:left w:val="none" w:sz="0" w:space="0" w:color="auto"/>
        <w:bottom w:val="none" w:sz="0" w:space="0" w:color="auto"/>
        <w:right w:val="none" w:sz="0" w:space="0" w:color="auto"/>
      </w:divBdr>
    </w:div>
    <w:div w:id="545528229">
      <w:bodyDiv w:val="1"/>
      <w:marLeft w:val="0"/>
      <w:marRight w:val="0"/>
      <w:marTop w:val="0"/>
      <w:marBottom w:val="0"/>
      <w:divBdr>
        <w:top w:val="none" w:sz="0" w:space="0" w:color="auto"/>
        <w:left w:val="none" w:sz="0" w:space="0" w:color="auto"/>
        <w:bottom w:val="none" w:sz="0" w:space="0" w:color="auto"/>
        <w:right w:val="none" w:sz="0" w:space="0" w:color="auto"/>
      </w:divBdr>
    </w:div>
    <w:div w:id="591166332">
      <w:bodyDiv w:val="1"/>
      <w:marLeft w:val="0"/>
      <w:marRight w:val="0"/>
      <w:marTop w:val="0"/>
      <w:marBottom w:val="0"/>
      <w:divBdr>
        <w:top w:val="none" w:sz="0" w:space="0" w:color="auto"/>
        <w:left w:val="none" w:sz="0" w:space="0" w:color="auto"/>
        <w:bottom w:val="none" w:sz="0" w:space="0" w:color="auto"/>
        <w:right w:val="none" w:sz="0" w:space="0" w:color="auto"/>
      </w:divBdr>
      <w:divsChild>
        <w:div w:id="1548103047">
          <w:marLeft w:val="0"/>
          <w:marRight w:val="0"/>
          <w:marTop w:val="0"/>
          <w:marBottom w:val="0"/>
          <w:divBdr>
            <w:top w:val="none" w:sz="0" w:space="0" w:color="242424"/>
            <w:left w:val="none" w:sz="0" w:space="0" w:color="242424"/>
            <w:bottom w:val="none" w:sz="0" w:space="0" w:color="242424"/>
            <w:right w:val="none" w:sz="0" w:space="0" w:color="242424"/>
          </w:divBdr>
        </w:div>
      </w:divsChild>
    </w:div>
    <w:div w:id="814879393">
      <w:bodyDiv w:val="1"/>
      <w:marLeft w:val="0"/>
      <w:marRight w:val="0"/>
      <w:marTop w:val="0"/>
      <w:marBottom w:val="0"/>
      <w:divBdr>
        <w:top w:val="none" w:sz="0" w:space="0" w:color="auto"/>
        <w:left w:val="none" w:sz="0" w:space="0" w:color="auto"/>
        <w:bottom w:val="none" w:sz="0" w:space="0" w:color="auto"/>
        <w:right w:val="none" w:sz="0" w:space="0" w:color="auto"/>
      </w:divBdr>
      <w:divsChild>
        <w:div w:id="221790415">
          <w:marLeft w:val="0"/>
          <w:marRight w:val="0"/>
          <w:marTop w:val="0"/>
          <w:marBottom w:val="0"/>
          <w:divBdr>
            <w:top w:val="none" w:sz="0" w:space="0" w:color="auto"/>
            <w:left w:val="none" w:sz="0" w:space="0" w:color="auto"/>
            <w:bottom w:val="none" w:sz="0" w:space="0" w:color="auto"/>
            <w:right w:val="none" w:sz="0" w:space="0" w:color="auto"/>
          </w:divBdr>
        </w:div>
        <w:div w:id="1665430154">
          <w:marLeft w:val="0"/>
          <w:marRight w:val="0"/>
          <w:marTop w:val="0"/>
          <w:marBottom w:val="0"/>
          <w:divBdr>
            <w:top w:val="none" w:sz="0" w:space="0" w:color="auto"/>
            <w:left w:val="none" w:sz="0" w:space="0" w:color="auto"/>
            <w:bottom w:val="none" w:sz="0" w:space="0" w:color="auto"/>
            <w:right w:val="none" w:sz="0" w:space="0" w:color="auto"/>
          </w:divBdr>
        </w:div>
      </w:divsChild>
    </w:div>
    <w:div w:id="885917016">
      <w:bodyDiv w:val="1"/>
      <w:marLeft w:val="0"/>
      <w:marRight w:val="0"/>
      <w:marTop w:val="0"/>
      <w:marBottom w:val="0"/>
      <w:divBdr>
        <w:top w:val="none" w:sz="0" w:space="0" w:color="auto"/>
        <w:left w:val="none" w:sz="0" w:space="0" w:color="auto"/>
        <w:bottom w:val="none" w:sz="0" w:space="0" w:color="auto"/>
        <w:right w:val="none" w:sz="0" w:space="0" w:color="auto"/>
      </w:divBdr>
      <w:divsChild>
        <w:div w:id="10034416">
          <w:marLeft w:val="0"/>
          <w:marRight w:val="0"/>
          <w:marTop w:val="0"/>
          <w:marBottom w:val="0"/>
          <w:divBdr>
            <w:top w:val="none" w:sz="0" w:space="0" w:color="auto"/>
            <w:left w:val="none" w:sz="0" w:space="0" w:color="auto"/>
            <w:bottom w:val="none" w:sz="0" w:space="0" w:color="auto"/>
            <w:right w:val="none" w:sz="0" w:space="0" w:color="auto"/>
          </w:divBdr>
          <w:divsChild>
            <w:div w:id="1788304877">
              <w:marLeft w:val="0"/>
              <w:marRight w:val="0"/>
              <w:marTop w:val="0"/>
              <w:marBottom w:val="0"/>
              <w:divBdr>
                <w:top w:val="none" w:sz="0" w:space="0" w:color="auto"/>
                <w:left w:val="none" w:sz="0" w:space="0" w:color="auto"/>
                <w:bottom w:val="none" w:sz="0" w:space="0" w:color="auto"/>
                <w:right w:val="none" w:sz="0" w:space="0" w:color="auto"/>
              </w:divBdr>
              <w:divsChild>
                <w:div w:id="15498064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999500203">
      <w:bodyDiv w:val="1"/>
      <w:marLeft w:val="0"/>
      <w:marRight w:val="0"/>
      <w:marTop w:val="0"/>
      <w:marBottom w:val="0"/>
      <w:divBdr>
        <w:top w:val="none" w:sz="0" w:space="0" w:color="auto"/>
        <w:left w:val="none" w:sz="0" w:space="0" w:color="auto"/>
        <w:bottom w:val="none" w:sz="0" w:space="0" w:color="auto"/>
        <w:right w:val="none" w:sz="0" w:space="0" w:color="auto"/>
      </w:divBdr>
      <w:divsChild>
        <w:div w:id="1094278282">
          <w:marLeft w:val="0"/>
          <w:marRight w:val="0"/>
          <w:marTop w:val="0"/>
          <w:marBottom w:val="0"/>
          <w:divBdr>
            <w:top w:val="none" w:sz="0" w:space="0" w:color="auto"/>
            <w:left w:val="none" w:sz="0" w:space="0" w:color="auto"/>
            <w:bottom w:val="none" w:sz="0" w:space="0" w:color="auto"/>
            <w:right w:val="none" w:sz="0" w:space="0" w:color="auto"/>
          </w:divBdr>
          <w:divsChild>
            <w:div w:id="1647781969">
              <w:marLeft w:val="0"/>
              <w:marRight w:val="0"/>
              <w:marTop w:val="0"/>
              <w:marBottom w:val="0"/>
              <w:divBdr>
                <w:top w:val="none" w:sz="0" w:space="0" w:color="auto"/>
                <w:left w:val="none" w:sz="0" w:space="0" w:color="auto"/>
                <w:bottom w:val="none" w:sz="0" w:space="0" w:color="auto"/>
                <w:right w:val="none" w:sz="0" w:space="0" w:color="auto"/>
              </w:divBdr>
              <w:divsChild>
                <w:div w:id="2045203708">
                  <w:marLeft w:val="0"/>
                  <w:marRight w:val="0"/>
                  <w:marTop w:val="0"/>
                  <w:marBottom w:val="0"/>
                  <w:divBdr>
                    <w:top w:val="none" w:sz="0" w:space="0" w:color="auto"/>
                    <w:left w:val="none" w:sz="0" w:space="0" w:color="auto"/>
                    <w:bottom w:val="none" w:sz="0" w:space="0" w:color="auto"/>
                    <w:right w:val="none" w:sz="0" w:space="0" w:color="auto"/>
                  </w:divBdr>
                  <w:divsChild>
                    <w:div w:id="74592729">
                      <w:marLeft w:val="0"/>
                      <w:marRight w:val="0"/>
                      <w:marTop w:val="0"/>
                      <w:marBottom w:val="0"/>
                      <w:divBdr>
                        <w:top w:val="none" w:sz="0" w:space="0" w:color="auto"/>
                        <w:left w:val="none" w:sz="0" w:space="0" w:color="auto"/>
                        <w:bottom w:val="none" w:sz="0" w:space="0" w:color="auto"/>
                        <w:right w:val="none" w:sz="0" w:space="0" w:color="auto"/>
                      </w:divBdr>
                      <w:divsChild>
                        <w:div w:id="480121454">
                          <w:marLeft w:val="0"/>
                          <w:marRight w:val="0"/>
                          <w:marTop w:val="0"/>
                          <w:marBottom w:val="0"/>
                          <w:divBdr>
                            <w:top w:val="none" w:sz="0" w:space="0" w:color="auto"/>
                            <w:left w:val="none" w:sz="0" w:space="0" w:color="auto"/>
                            <w:bottom w:val="none" w:sz="0" w:space="0" w:color="auto"/>
                            <w:right w:val="none" w:sz="0" w:space="0" w:color="auto"/>
                          </w:divBdr>
                          <w:divsChild>
                            <w:div w:id="1899365050">
                              <w:marLeft w:val="0"/>
                              <w:marRight w:val="0"/>
                              <w:marTop w:val="0"/>
                              <w:marBottom w:val="0"/>
                              <w:divBdr>
                                <w:top w:val="none" w:sz="0" w:space="0" w:color="auto"/>
                                <w:left w:val="none" w:sz="0" w:space="0" w:color="auto"/>
                                <w:bottom w:val="none" w:sz="0" w:space="0" w:color="auto"/>
                                <w:right w:val="none" w:sz="0" w:space="0" w:color="auto"/>
                              </w:divBdr>
                              <w:divsChild>
                                <w:div w:id="28168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90099">
                          <w:marLeft w:val="0"/>
                          <w:marRight w:val="0"/>
                          <w:marTop w:val="0"/>
                          <w:marBottom w:val="0"/>
                          <w:divBdr>
                            <w:top w:val="none" w:sz="0" w:space="0" w:color="auto"/>
                            <w:left w:val="none" w:sz="0" w:space="0" w:color="auto"/>
                            <w:bottom w:val="none" w:sz="0" w:space="0" w:color="auto"/>
                            <w:right w:val="none" w:sz="0" w:space="0" w:color="auto"/>
                          </w:divBdr>
                          <w:divsChild>
                            <w:div w:id="885682198">
                              <w:marLeft w:val="0"/>
                              <w:marRight w:val="0"/>
                              <w:marTop w:val="0"/>
                              <w:marBottom w:val="0"/>
                              <w:divBdr>
                                <w:top w:val="none" w:sz="0" w:space="0" w:color="auto"/>
                                <w:left w:val="none" w:sz="0" w:space="0" w:color="auto"/>
                                <w:bottom w:val="none" w:sz="0" w:space="0" w:color="auto"/>
                                <w:right w:val="none" w:sz="0" w:space="0" w:color="auto"/>
                              </w:divBdr>
                              <w:divsChild>
                                <w:div w:id="704451003">
                                  <w:marLeft w:val="0"/>
                                  <w:marRight w:val="0"/>
                                  <w:marTop w:val="0"/>
                                  <w:marBottom w:val="0"/>
                                  <w:divBdr>
                                    <w:top w:val="none" w:sz="0" w:space="0" w:color="auto"/>
                                    <w:left w:val="none" w:sz="0" w:space="0" w:color="auto"/>
                                    <w:bottom w:val="none" w:sz="0" w:space="0" w:color="auto"/>
                                    <w:right w:val="none" w:sz="0" w:space="0" w:color="auto"/>
                                  </w:divBdr>
                                  <w:divsChild>
                                    <w:div w:id="118548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7531982">
      <w:bodyDiv w:val="1"/>
      <w:marLeft w:val="0"/>
      <w:marRight w:val="0"/>
      <w:marTop w:val="0"/>
      <w:marBottom w:val="0"/>
      <w:divBdr>
        <w:top w:val="none" w:sz="0" w:space="0" w:color="auto"/>
        <w:left w:val="none" w:sz="0" w:space="0" w:color="auto"/>
        <w:bottom w:val="none" w:sz="0" w:space="0" w:color="auto"/>
        <w:right w:val="none" w:sz="0" w:space="0" w:color="auto"/>
      </w:divBdr>
    </w:div>
    <w:div w:id="1067653297">
      <w:bodyDiv w:val="1"/>
      <w:marLeft w:val="0"/>
      <w:marRight w:val="0"/>
      <w:marTop w:val="0"/>
      <w:marBottom w:val="0"/>
      <w:divBdr>
        <w:top w:val="none" w:sz="0" w:space="0" w:color="auto"/>
        <w:left w:val="none" w:sz="0" w:space="0" w:color="auto"/>
        <w:bottom w:val="none" w:sz="0" w:space="0" w:color="auto"/>
        <w:right w:val="none" w:sz="0" w:space="0" w:color="auto"/>
      </w:divBdr>
      <w:divsChild>
        <w:div w:id="943728981">
          <w:marLeft w:val="806"/>
          <w:marRight w:val="0"/>
          <w:marTop w:val="0"/>
          <w:marBottom w:val="240"/>
          <w:divBdr>
            <w:top w:val="none" w:sz="0" w:space="0" w:color="auto"/>
            <w:left w:val="none" w:sz="0" w:space="0" w:color="auto"/>
            <w:bottom w:val="none" w:sz="0" w:space="0" w:color="auto"/>
            <w:right w:val="none" w:sz="0" w:space="0" w:color="auto"/>
          </w:divBdr>
        </w:div>
      </w:divsChild>
    </w:div>
    <w:div w:id="1081490210">
      <w:bodyDiv w:val="1"/>
      <w:marLeft w:val="0"/>
      <w:marRight w:val="0"/>
      <w:marTop w:val="0"/>
      <w:marBottom w:val="0"/>
      <w:divBdr>
        <w:top w:val="none" w:sz="0" w:space="0" w:color="auto"/>
        <w:left w:val="none" w:sz="0" w:space="0" w:color="auto"/>
        <w:bottom w:val="none" w:sz="0" w:space="0" w:color="auto"/>
        <w:right w:val="none" w:sz="0" w:space="0" w:color="auto"/>
      </w:divBdr>
    </w:div>
    <w:div w:id="1083137203">
      <w:bodyDiv w:val="1"/>
      <w:marLeft w:val="0"/>
      <w:marRight w:val="0"/>
      <w:marTop w:val="0"/>
      <w:marBottom w:val="0"/>
      <w:divBdr>
        <w:top w:val="none" w:sz="0" w:space="0" w:color="auto"/>
        <w:left w:val="none" w:sz="0" w:space="0" w:color="auto"/>
        <w:bottom w:val="none" w:sz="0" w:space="0" w:color="auto"/>
        <w:right w:val="none" w:sz="0" w:space="0" w:color="auto"/>
      </w:divBdr>
    </w:div>
    <w:div w:id="1152798719">
      <w:bodyDiv w:val="1"/>
      <w:marLeft w:val="0"/>
      <w:marRight w:val="0"/>
      <w:marTop w:val="0"/>
      <w:marBottom w:val="0"/>
      <w:divBdr>
        <w:top w:val="none" w:sz="0" w:space="0" w:color="auto"/>
        <w:left w:val="none" w:sz="0" w:space="0" w:color="auto"/>
        <w:bottom w:val="none" w:sz="0" w:space="0" w:color="auto"/>
        <w:right w:val="none" w:sz="0" w:space="0" w:color="auto"/>
      </w:divBdr>
      <w:divsChild>
        <w:div w:id="1010914032">
          <w:marLeft w:val="0"/>
          <w:marRight w:val="0"/>
          <w:marTop w:val="0"/>
          <w:marBottom w:val="0"/>
          <w:divBdr>
            <w:top w:val="none" w:sz="0" w:space="0" w:color="auto"/>
            <w:left w:val="none" w:sz="0" w:space="0" w:color="auto"/>
            <w:bottom w:val="none" w:sz="0" w:space="0" w:color="auto"/>
            <w:right w:val="none" w:sz="0" w:space="0" w:color="auto"/>
          </w:divBdr>
        </w:div>
        <w:div w:id="1708679373">
          <w:marLeft w:val="0"/>
          <w:marRight w:val="0"/>
          <w:marTop w:val="0"/>
          <w:marBottom w:val="0"/>
          <w:divBdr>
            <w:top w:val="none" w:sz="0" w:space="0" w:color="auto"/>
            <w:left w:val="none" w:sz="0" w:space="0" w:color="auto"/>
            <w:bottom w:val="none" w:sz="0" w:space="0" w:color="auto"/>
            <w:right w:val="none" w:sz="0" w:space="0" w:color="auto"/>
          </w:divBdr>
        </w:div>
      </w:divsChild>
    </w:div>
    <w:div w:id="1182668063">
      <w:bodyDiv w:val="1"/>
      <w:marLeft w:val="0"/>
      <w:marRight w:val="0"/>
      <w:marTop w:val="0"/>
      <w:marBottom w:val="0"/>
      <w:divBdr>
        <w:top w:val="none" w:sz="0" w:space="0" w:color="auto"/>
        <w:left w:val="none" w:sz="0" w:space="0" w:color="auto"/>
        <w:bottom w:val="none" w:sz="0" w:space="0" w:color="auto"/>
        <w:right w:val="none" w:sz="0" w:space="0" w:color="auto"/>
      </w:divBdr>
    </w:div>
    <w:div w:id="1212426066">
      <w:bodyDiv w:val="1"/>
      <w:marLeft w:val="0"/>
      <w:marRight w:val="0"/>
      <w:marTop w:val="0"/>
      <w:marBottom w:val="0"/>
      <w:divBdr>
        <w:top w:val="none" w:sz="0" w:space="0" w:color="auto"/>
        <w:left w:val="none" w:sz="0" w:space="0" w:color="auto"/>
        <w:bottom w:val="none" w:sz="0" w:space="0" w:color="auto"/>
        <w:right w:val="none" w:sz="0" w:space="0" w:color="auto"/>
      </w:divBdr>
    </w:div>
    <w:div w:id="1251498991">
      <w:bodyDiv w:val="1"/>
      <w:marLeft w:val="0"/>
      <w:marRight w:val="0"/>
      <w:marTop w:val="0"/>
      <w:marBottom w:val="0"/>
      <w:divBdr>
        <w:top w:val="none" w:sz="0" w:space="0" w:color="auto"/>
        <w:left w:val="none" w:sz="0" w:space="0" w:color="auto"/>
        <w:bottom w:val="none" w:sz="0" w:space="0" w:color="auto"/>
        <w:right w:val="none" w:sz="0" w:space="0" w:color="auto"/>
      </w:divBdr>
    </w:div>
    <w:div w:id="1274706445">
      <w:bodyDiv w:val="1"/>
      <w:marLeft w:val="0"/>
      <w:marRight w:val="0"/>
      <w:marTop w:val="0"/>
      <w:marBottom w:val="0"/>
      <w:divBdr>
        <w:top w:val="none" w:sz="0" w:space="0" w:color="auto"/>
        <w:left w:val="none" w:sz="0" w:space="0" w:color="auto"/>
        <w:bottom w:val="none" w:sz="0" w:space="0" w:color="auto"/>
        <w:right w:val="none" w:sz="0" w:space="0" w:color="auto"/>
      </w:divBdr>
    </w:div>
    <w:div w:id="1292126084">
      <w:bodyDiv w:val="1"/>
      <w:marLeft w:val="0"/>
      <w:marRight w:val="0"/>
      <w:marTop w:val="0"/>
      <w:marBottom w:val="0"/>
      <w:divBdr>
        <w:top w:val="none" w:sz="0" w:space="0" w:color="auto"/>
        <w:left w:val="none" w:sz="0" w:space="0" w:color="auto"/>
        <w:bottom w:val="none" w:sz="0" w:space="0" w:color="auto"/>
        <w:right w:val="none" w:sz="0" w:space="0" w:color="auto"/>
      </w:divBdr>
      <w:divsChild>
        <w:div w:id="848838215">
          <w:marLeft w:val="0"/>
          <w:marRight w:val="0"/>
          <w:marTop w:val="0"/>
          <w:marBottom w:val="160"/>
          <w:divBdr>
            <w:top w:val="none" w:sz="0" w:space="0" w:color="auto"/>
            <w:left w:val="none" w:sz="0" w:space="0" w:color="auto"/>
            <w:bottom w:val="none" w:sz="0" w:space="0" w:color="auto"/>
            <w:right w:val="none" w:sz="0" w:space="0" w:color="auto"/>
          </w:divBdr>
        </w:div>
        <w:div w:id="1832331268">
          <w:marLeft w:val="0"/>
          <w:marRight w:val="0"/>
          <w:marTop w:val="0"/>
          <w:marBottom w:val="160"/>
          <w:divBdr>
            <w:top w:val="none" w:sz="0" w:space="0" w:color="auto"/>
            <w:left w:val="none" w:sz="0" w:space="0" w:color="auto"/>
            <w:bottom w:val="none" w:sz="0" w:space="0" w:color="auto"/>
            <w:right w:val="none" w:sz="0" w:space="0" w:color="auto"/>
          </w:divBdr>
        </w:div>
      </w:divsChild>
    </w:div>
    <w:div w:id="1519661873">
      <w:bodyDiv w:val="1"/>
      <w:marLeft w:val="0"/>
      <w:marRight w:val="0"/>
      <w:marTop w:val="0"/>
      <w:marBottom w:val="0"/>
      <w:divBdr>
        <w:top w:val="none" w:sz="0" w:space="0" w:color="auto"/>
        <w:left w:val="none" w:sz="0" w:space="0" w:color="auto"/>
        <w:bottom w:val="none" w:sz="0" w:space="0" w:color="auto"/>
        <w:right w:val="none" w:sz="0" w:space="0" w:color="auto"/>
      </w:divBdr>
    </w:div>
    <w:div w:id="1593930347">
      <w:bodyDiv w:val="1"/>
      <w:marLeft w:val="0"/>
      <w:marRight w:val="0"/>
      <w:marTop w:val="0"/>
      <w:marBottom w:val="0"/>
      <w:divBdr>
        <w:top w:val="none" w:sz="0" w:space="0" w:color="auto"/>
        <w:left w:val="none" w:sz="0" w:space="0" w:color="auto"/>
        <w:bottom w:val="none" w:sz="0" w:space="0" w:color="auto"/>
        <w:right w:val="none" w:sz="0" w:space="0" w:color="auto"/>
      </w:divBdr>
    </w:div>
    <w:div w:id="1698316405">
      <w:bodyDiv w:val="1"/>
      <w:marLeft w:val="0"/>
      <w:marRight w:val="0"/>
      <w:marTop w:val="0"/>
      <w:marBottom w:val="0"/>
      <w:divBdr>
        <w:top w:val="none" w:sz="0" w:space="0" w:color="auto"/>
        <w:left w:val="none" w:sz="0" w:space="0" w:color="auto"/>
        <w:bottom w:val="none" w:sz="0" w:space="0" w:color="auto"/>
        <w:right w:val="none" w:sz="0" w:space="0" w:color="auto"/>
      </w:divBdr>
    </w:div>
    <w:div w:id="1712144412">
      <w:bodyDiv w:val="1"/>
      <w:marLeft w:val="0"/>
      <w:marRight w:val="0"/>
      <w:marTop w:val="0"/>
      <w:marBottom w:val="0"/>
      <w:divBdr>
        <w:top w:val="none" w:sz="0" w:space="0" w:color="auto"/>
        <w:left w:val="none" w:sz="0" w:space="0" w:color="auto"/>
        <w:bottom w:val="none" w:sz="0" w:space="0" w:color="auto"/>
        <w:right w:val="none" w:sz="0" w:space="0" w:color="auto"/>
      </w:divBdr>
      <w:divsChild>
        <w:div w:id="611476663">
          <w:marLeft w:val="0"/>
          <w:marRight w:val="0"/>
          <w:marTop w:val="0"/>
          <w:marBottom w:val="0"/>
          <w:divBdr>
            <w:top w:val="none" w:sz="0" w:space="0" w:color="242424"/>
            <w:left w:val="none" w:sz="0" w:space="0" w:color="242424"/>
            <w:bottom w:val="none" w:sz="0" w:space="0" w:color="242424"/>
            <w:right w:val="none" w:sz="0" w:space="0" w:color="242424"/>
          </w:divBdr>
        </w:div>
      </w:divsChild>
    </w:div>
    <w:div w:id="1726834049">
      <w:bodyDiv w:val="1"/>
      <w:marLeft w:val="0"/>
      <w:marRight w:val="0"/>
      <w:marTop w:val="0"/>
      <w:marBottom w:val="0"/>
      <w:divBdr>
        <w:top w:val="none" w:sz="0" w:space="0" w:color="auto"/>
        <w:left w:val="none" w:sz="0" w:space="0" w:color="auto"/>
        <w:bottom w:val="none" w:sz="0" w:space="0" w:color="auto"/>
        <w:right w:val="none" w:sz="0" w:space="0" w:color="auto"/>
      </w:divBdr>
    </w:div>
    <w:div w:id="1897819216">
      <w:bodyDiv w:val="1"/>
      <w:marLeft w:val="0"/>
      <w:marRight w:val="0"/>
      <w:marTop w:val="0"/>
      <w:marBottom w:val="0"/>
      <w:divBdr>
        <w:top w:val="none" w:sz="0" w:space="0" w:color="auto"/>
        <w:left w:val="none" w:sz="0" w:space="0" w:color="auto"/>
        <w:bottom w:val="none" w:sz="0" w:space="0" w:color="auto"/>
        <w:right w:val="none" w:sz="0" w:space="0" w:color="auto"/>
      </w:divBdr>
    </w:div>
    <w:div w:id="1932734851">
      <w:bodyDiv w:val="1"/>
      <w:marLeft w:val="0"/>
      <w:marRight w:val="0"/>
      <w:marTop w:val="0"/>
      <w:marBottom w:val="0"/>
      <w:divBdr>
        <w:top w:val="none" w:sz="0" w:space="0" w:color="auto"/>
        <w:left w:val="none" w:sz="0" w:space="0" w:color="auto"/>
        <w:bottom w:val="none" w:sz="0" w:space="0" w:color="auto"/>
        <w:right w:val="none" w:sz="0" w:space="0" w:color="auto"/>
      </w:divBdr>
    </w:div>
    <w:div w:id="2087024087">
      <w:bodyDiv w:val="1"/>
      <w:marLeft w:val="0"/>
      <w:marRight w:val="0"/>
      <w:marTop w:val="0"/>
      <w:marBottom w:val="0"/>
      <w:divBdr>
        <w:top w:val="none" w:sz="0" w:space="0" w:color="auto"/>
        <w:left w:val="none" w:sz="0" w:space="0" w:color="auto"/>
        <w:bottom w:val="none" w:sz="0" w:space="0" w:color="auto"/>
        <w:right w:val="none" w:sz="0" w:space="0" w:color="auto"/>
      </w:divBdr>
    </w:div>
    <w:div w:id="2118595850">
      <w:bodyDiv w:val="1"/>
      <w:marLeft w:val="0"/>
      <w:marRight w:val="0"/>
      <w:marTop w:val="0"/>
      <w:marBottom w:val="0"/>
      <w:divBdr>
        <w:top w:val="none" w:sz="0" w:space="0" w:color="auto"/>
        <w:left w:val="none" w:sz="0" w:space="0" w:color="auto"/>
        <w:bottom w:val="none" w:sz="0" w:space="0" w:color="auto"/>
        <w:right w:val="none" w:sz="0" w:space="0" w:color="auto"/>
      </w:divBdr>
    </w:div>
    <w:div w:id="2131169735">
      <w:bodyDiv w:val="1"/>
      <w:marLeft w:val="0"/>
      <w:marRight w:val="0"/>
      <w:marTop w:val="0"/>
      <w:marBottom w:val="0"/>
      <w:divBdr>
        <w:top w:val="none" w:sz="0" w:space="0" w:color="auto"/>
        <w:left w:val="none" w:sz="0" w:space="0" w:color="auto"/>
        <w:bottom w:val="none" w:sz="0" w:space="0" w:color="auto"/>
        <w:right w:val="none" w:sz="0" w:space="0" w:color="auto"/>
      </w:divBdr>
      <w:divsChild>
        <w:div w:id="1320648546">
          <w:marLeft w:val="0"/>
          <w:marRight w:val="0"/>
          <w:marTop w:val="0"/>
          <w:marBottom w:val="0"/>
          <w:divBdr>
            <w:top w:val="none" w:sz="0" w:space="0" w:color="auto"/>
            <w:left w:val="none" w:sz="0" w:space="0" w:color="auto"/>
            <w:bottom w:val="none" w:sz="0" w:space="0" w:color="auto"/>
            <w:right w:val="none" w:sz="0" w:space="0" w:color="auto"/>
          </w:divBdr>
          <w:divsChild>
            <w:div w:id="1161920386">
              <w:marLeft w:val="0"/>
              <w:marRight w:val="0"/>
              <w:marTop w:val="0"/>
              <w:marBottom w:val="0"/>
              <w:divBdr>
                <w:top w:val="none" w:sz="0" w:space="0" w:color="auto"/>
                <w:left w:val="none" w:sz="0" w:space="0" w:color="auto"/>
                <w:bottom w:val="none" w:sz="0" w:space="0" w:color="auto"/>
                <w:right w:val="none" w:sz="0" w:space="0" w:color="auto"/>
              </w:divBdr>
              <w:divsChild>
                <w:div w:id="398868479">
                  <w:marLeft w:val="0"/>
                  <w:marRight w:val="0"/>
                  <w:marTop w:val="0"/>
                  <w:marBottom w:val="0"/>
                  <w:divBdr>
                    <w:top w:val="none" w:sz="0" w:space="0" w:color="auto"/>
                    <w:left w:val="none" w:sz="0" w:space="0" w:color="auto"/>
                    <w:bottom w:val="none" w:sz="0" w:space="0" w:color="auto"/>
                    <w:right w:val="none" w:sz="0" w:space="0" w:color="auto"/>
                  </w:divBdr>
                  <w:divsChild>
                    <w:div w:id="321469261">
                      <w:marLeft w:val="0"/>
                      <w:marRight w:val="0"/>
                      <w:marTop w:val="0"/>
                      <w:marBottom w:val="0"/>
                      <w:divBdr>
                        <w:top w:val="none" w:sz="0" w:space="0" w:color="auto"/>
                        <w:left w:val="none" w:sz="0" w:space="0" w:color="auto"/>
                        <w:bottom w:val="none" w:sz="0" w:space="0" w:color="auto"/>
                        <w:right w:val="none" w:sz="0" w:space="0" w:color="auto"/>
                      </w:divBdr>
                      <w:divsChild>
                        <w:div w:id="200868109">
                          <w:marLeft w:val="0"/>
                          <w:marRight w:val="0"/>
                          <w:marTop w:val="0"/>
                          <w:marBottom w:val="0"/>
                          <w:divBdr>
                            <w:top w:val="none" w:sz="0" w:space="0" w:color="auto"/>
                            <w:left w:val="none" w:sz="0" w:space="0" w:color="auto"/>
                            <w:bottom w:val="none" w:sz="0" w:space="0" w:color="auto"/>
                            <w:right w:val="none" w:sz="0" w:space="0" w:color="auto"/>
                          </w:divBdr>
                          <w:divsChild>
                            <w:div w:id="48110287">
                              <w:marLeft w:val="0"/>
                              <w:marRight w:val="0"/>
                              <w:marTop w:val="0"/>
                              <w:marBottom w:val="0"/>
                              <w:divBdr>
                                <w:top w:val="none" w:sz="0" w:space="0" w:color="auto"/>
                                <w:left w:val="none" w:sz="0" w:space="0" w:color="auto"/>
                                <w:bottom w:val="none" w:sz="0" w:space="0" w:color="auto"/>
                                <w:right w:val="none" w:sz="0" w:space="0" w:color="auto"/>
                              </w:divBdr>
                              <w:divsChild>
                                <w:div w:id="1811550986">
                                  <w:marLeft w:val="0"/>
                                  <w:marRight w:val="0"/>
                                  <w:marTop w:val="0"/>
                                  <w:marBottom w:val="0"/>
                                  <w:divBdr>
                                    <w:top w:val="none" w:sz="0" w:space="0" w:color="auto"/>
                                    <w:left w:val="none" w:sz="0" w:space="0" w:color="auto"/>
                                    <w:bottom w:val="none" w:sz="0" w:space="0" w:color="auto"/>
                                    <w:right w:val="none" w:sz="0" w:space="0" w:color="auto"/>
                                  </w:divBdr>
                                  <w:divsChild>
                                    <w:div w:id="136552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531647">
                          <w:marLeft w:val="0"/>
                          <w:marRight w:val="0"/>
                          <w:marTop w:val="0"/>
                          <w:marBottom w:val="0"/>
                          <w:divBdr>
                            <w:top w:val="none" w:sz="0" w:space="0" w:color="auto"/>
                            <w:left w:val="none" w:sz="0" w:space="0" w:color="auto"/>
                            <w:bottom w:val="none" w:sz="0" w:space="0" w:color="auto"/>
                            <w:right w:val="none" w:sz="0" w:space="0" w:color="auto"/>
                          </w:divBdr>
                          <w:divsChild>
                            <w:div w:id="538127974">
                              <w:marLeft w:val="0"/>
                              <w:marRight w:val="0"/>
                              <w:marTop w:val="0"/>
                              <w:marBottom w:val="0"/>
                              <w:divBdr>
                                <w:top w:val="none" w:sz="0" w:space="0" w:color="auto"/>
                                <w:left w:val="none" w:sz="0" w:space="0" w:color="auto"/>
                                <w:bottom w:val="none" w:sz="0" w:space="0" w:color="auto"/>
                                <w:right w:val="none" w:sz="0" w:space="0" w:color="auto"/>
                              </w:divBdr>
                              <w:divsChild>
                                <w:div w:id="138139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doi.org/10.1016/j.eneco.2026.109470" TargetMode="External"/><Relationship Id="rId1" Type="http://schemas.openxmlformats.org/officeDocument/2006/relationships/hyperlink" Target="https://op.europa.eu/en/publication-detail/-/publication/3baf5e41-9e1e-11ee-b164-01aa75ed71a1/language-en"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hyperlink" Target="https://english.ahram.org.eg/NewsContent/1/64/368596/Egypt/Politics-/Egypt-parliament-approves-new-fees-on-gasoline-and.aspx" TargetMode="External"/><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chart" Target="charts/chart2.xml"/><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www.eta.gov.eg/sites/default/files/2024-02/Law-english-no.67-2016.pdf.pdf" TargetMode="External"/><Relationship Id="rId32" Type="http://schemas.openxmlformats.org/officeDocument/2006/relationships/image" Target="media/image9.png"/><Relationship Id="rId37" Type="http://schemas.openxmlformats.org/officeDocument/2006/relationships/fontTable" Target="fontTable.xml"/><Relationship Id="rId40" Type="http://schemas.microsoft.com/office/2019/05/relationships/documenttasks" Target="documenttasks/documenttasks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cpmodel.github.io/cpat_public/" TargetMode="External"/><Relationship Id="rId28" Type="http://schemas.openxmlformats.org/officeDocument/2006/relationships/hyperlink" Target="https://egyptoil-gas.com/reports/understanding-egypts-fuel-subsidy-evolution-over-a-decade/" TargetMode="External"/><Relationship Id="rId36" Type="http://schemas.openxmlformats.org/officeDocument/2006/relationships/footer" Target="footer3.xml"/><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hyperlink" Target="https://worldbankgroup.sharepoint.com/sites/KnowledgeProduct/Shared%20Documents/Forms/AllItems.aspx?id=%2Fsites%2FKnowledgeProduct%2FShared%20Documents%2FPFR%2FGuidances%2FTotal%20Carbon%20Price%2Epdf&amp;parent=%2Fsites%2FKnowledgeProduct%2FShared%20Documents%2FPFR%2FGuidances"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chart" Target="charts/chart1.xml"/><Relationship Id="rId22" Type="http://schemas.openxmlformats.org/officeDocument/2006/relationships/hyperlink" Target="https://cpmodel.github.io/cpat_public/" TargetMode="External"/><Relationship Id="rId27" Type="http://schemas.openxmlformats.org/officeDocument/2006/relationships/hyperlink" Target="https://www.eta.gov.eg/sites/default/files/2024-02/Law-english-no.67-2016.pdf.pdf" TargetMode="External"/><Relationship Id="rId30" Type="http://schemas.openxmlformats.org/officeDocument/2006/relationships/hyperlink" Target="https://worldbankgroup.sharepoint.com/sites/KnowledgeProduct/Shared%20Documents/Forms/AllItems.aspx?id=%2Fsites%2FKnowledgeProduct%2FShared%20Documents%2FPFR%2FGuidances%2FTotal%20Carbon%20Price%2Epdf&amp;parent=%2Fsites%2FKnowledgeProduct%2FShared%20Documents%2FPFR%2FGuidances" TargetMode="External"/><Relationship Id="rId35" Type="http://schemas.openxmlformats.org/officeDocument/2006/relationships/footer" Target="footer2.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https://www.worldbank.org/en/publication/state-and-trends-of-carbon-pricing" TargetMode="External"/><Relationship Id="rId17" Type="http://schemas.openxmlformats.org/officeDocument/2006/relationships/image" Target="media/image4.png"/><Relationship Id="rId25" Type="http://schemas.openxmlformats.org/officeDocument/2006/relationships/hyperlink" Target="https://pdf.usaid.gov/pdf_docs/PA00WC7D.pdf" TargetMode="External"/><Relationship Id="rId33" Type="http://schemas.openxmlformats.org/officeDocument/2006/relationships/image" Target="media/image10.png"/><Relationship Id="rId38" Type="http://schemas.microsoft.com/office/2011/relationships/people" Target="people.xml"/></Relationships>
</file>

<file path=word/_rels/footnotes.xml.rels><?xml version="1.0" encoding="UTF-8" standalone="yes"?>
<Relationships xmlns="http://schemas.openxmlformats.org/package/2006/relationships"><Relationship Id="rId8" Type="http://schemas.openxmlformats.org/officeDocument/2006/relationships/hyperlink" Target="https://doi.org/10.1093/wbro/lkad009" TargetMode="External"/><Relationship Id="rId3" Type="http://schemas.openxmlformats.org/officeDocument/2006/relationships/hyperlink" Target="https://eur-lex.europa.eu/legal-content/EN/TXT/?uri=OJ:L_202502547" TargetMode="External"/><Relationship Id="rId7" Type="http://schemas.openxmlformats.org/officeDocument/2006/relationships/hyperlink" Target="https://ec.europa.eu/info/law/better-regulation/have-your-say/initiatives/14830-Carbon-border-adjustment-mechanism-CBAM-carbon-price-paid-in-a-third-country_en" TargetMode="External"/><Relationship Id="rId2" Type="http://schemas.openxmlformats.org/officeDocument/2006/relationships/hyperlink" Target="https://eur-lex.europa.eu/legal-content/EN/TXT/?uri=CELEX%3A52025PC0989" TargetMode="External"/><Relationship Id="rId1" Type="http://schemas.openxmlformats.org/officeDocument/2006/relationships/hyperlink" Target="https://eur-lex.europa.eu/legal-content/EN/TXT/PDF/?uri=CELEX:32023R0956" TargetMode="External"/><Relationship Id="rId6" Type="http://schemas.openxmlformats.org/officeDocument/2006/relationships/hyperlink" Target="https://www.eu.dk/samling/20251/kommissionsforslag/KOM(2025)0989/forslag/2189723/3113874.pdf" TargetMode="External"/><Relationship Id="rId5" Type="http://schemas.openxmlformats.org/officeDocument/2006/relationships/hyperlink" Target="https://ec.europa.eu/info/law/better-regulation/have-your-say/initiatives/14830-Carbon-border-adjustment-mechanism-CBAM-carbon-price-paid-in-a-third-country_en" TargetMode="External"/><Relationship Id="rId4" Type="http://schemas.openxmlformats.org/officeDocument/2006/relationships/hyperlink" Target="https://eur-lex.europa.eu/legal-content/EN/TXT/?uri=OJ:L_202502546" TargetMode="External"/><Relationship Id="rId9" Type="http://schemas.openxmlformats.org/officeDocument/2006/relationships/hyperlink" Target="https://lawlibrary.org.za/akn/za/act/2019/15/eng@2019-05-23"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worldbankgroup-my.sharepoint.com/personal/cfischer2_worldbank_org/Documents/Documents/climate@WBG/Egypt%20CBAM/Egypt%20TEIs%20202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'EGY TEIs'!$B$1</c:f>
              <c:strCache>
                <c:ptCount val="1"/>
                <c:pt idx="0">
                  <c:v>Mass-based</c:v>
                </c:pt>
              </c:strCache>
            </c:strRef>
          </c:tx>
          <c:spPr>
            <a:solidFill>
              <a:schemeClr val="accent1"/>
            </a:solidFill>
            <a:ln>
              <a:noFill/>
            </a:ln>
            <a:effectLst/>
          </c:spPr>
          <c:invertIfNegative val="0"/>
          <c:cat>
            <c:strRef>
              <c:f>'EGY TEIs'!$A$2:$A$5</c:f>
              <c:strCache>
                <c:ptCount val="4"/>
                <c:pt idx="0">
                  <c:v>Fertilizers</c:v>
                </c:pt>
                <c:pt idx="1">
                  <c:v>Iron and Steel *</c:v>
                </c:pt>
                <c:pt idx="2">
                  <c:v>Aluminum</c:v>
                </c:pt>
                <c:pt idx="3">
                  <c:v>Cement</c:v>
                </c:pt>
              </c:strCache>
            </c:strRef>
          </c:cat>
          <c:val>
            <c:numRef>
              <c:f>'EGY TEIs'!$B$2:$B$5</c:f>
              <c:numCache>
                <c:formatCode>0.00</c:formatCode>
                <c:ptCount val="4"/>
                <c:pt idx="0">
                  <c:v>0.188374234943438</c:v>
                </c:pt>
                <c:pt idx="1">
                  <c:v>9.9007760946404293</c:v>
                </c:pt>
                <c:pt idx="2">
                  <c:v>0.188374234943438</c:v>
                </c:pt>
                <c:pt idx="3">
                  <c:v>0.23664818258802101</c:v>
                </c:pt>
              </c:numCache>
            </c:numRef>
          </c:val>
          <c:extLst>
            <c:ext xmlns:c16="http://schemas.microsoft.com/office/drawing/2014/chart" uri="{C3380CC4-5D6E-409C-BE32-E72D297353CC}">
              <c16:uniqueId val="{00000000-AF6C-4243-AA6E-D68F88AD6C14}"/>
            </c:ext>
          </c:extLst>
        </c:ser>
        <c:ser>
          <c:idx val="1"/>
          <c:order val="1"/>
          <c:tx>
            <c:strRef>
              <c:f>'EGY TEIs'!$C$1</c:f>
              <c:strCache>
                <c:ptCount val="1"/>
                <c:pt idx="0">
                  <c:v>Value-based</c:v>
                </c:pt>
              </c:strCache>
            </c:strRef>
          </c:tx>
          <c:spPr>
            <a:solidFill>
              <a:schemeClr val="accent2"/>
            </a:solidFill>
            <a:ln>
              <a:noFill/>
            </a:ln>
            <a:effectLst/>
          </c:spPr>
          <c:invertIfNegative val="0"/>
          <c:cat>
            <c:strRef>
              <c:f>'EGY TEIs'!$A$2:$A$5</c:f>
              <c:strCache>
                <c:ptCount val="4"/>
                <c:pt idx="0">
                  <c:v>Fertilizers</c:v>
                </c:pt>
                <c:pt idx="1">
                  <c:v>Iron and Steel *</c:v>
                </c:pt>
                <c:pt idx="2">
                  <c:v>Aluminum</c:v>
                </c:pt>
                <c:pt idx="3">
                  <c:v>Cement</c:v>
                </c:pt>
              </c:strCache>
            </c:strRef>
          </c:cat>
          <c:val>
            <c:numRef>
              <c:f>'EGY TEIs'!$C$2:$C$5</c:f>
              <c:numCache>
                <c:formatCode>0.00</c:formatCode>
                <c:ptCount val="4"/>
                <c:pt idx="0">
                  <c:v>19.0469436645507</c:v>
                </c:pt>
                <c:pt idx="1">
                  <c:v>16.126323699951101</c:v>
                </c:pt>
                <c:pt idx="2">
                  <c:v>19.0469436645507</c:v>
                </c:pt>
                <c:pt idx="3">
                  <c:v>0.83330541849136297</c:v>
                </c:pt>
              </c:numCache>
            </c:numRef>
          </c:val>
          <c:extLst>
            <c:ext xmlns:c16="http://schemas.microsoft.com/office/drawing/2014/chart" uri="{C3380CC4-5D6E-409C-BE32-E72D297353CC}">
              <c16:uniqueId val="{00000001-AF6C-4243-AA6E-D68F88AD6C14}"/>
            </c:ext>
          </c:extLst>
        </c:ser>
        <c:dLbls>
          <c:showLegendKey val="0"/>
          <c:showVal val="0"/>
          <c:showCatName val="0"/>
          <c:showSerName val="0"/>
          <c:showPercent val="0"/>
          <c:showBubbleSize val="0"/>
        </c:dLbls>
        <c:gapWidth val="219"/>
        <c:overlap val="-27"/>
        <c:axId val="1074993679"/>
        <c:axId val="1074993199"/>
      </c:barChart>
      <c:catAx>
        <c:axId val="10749936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074993199"/>
        <c:crosses val="autoZero"/>
        <c:auto val="1"/>
        <c:lblAlgn val="ctr"/>
        <c:lblOffset val="100"/>
        <c:noMultiLvlLbl val="0"/>
      </c:catAx>
      <c:valAx>
        <c:axId val="10749931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US"/>
                  <a:t>Excess carbon payments as share of export values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0749936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chemeClr val="tx1"/>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285468787630162"/>
          <c:y val="3.0199239091489753E-2"/>
          <c:w val="0.88274941526554906"/>
          <c:h val="0.6995894588911058"/>
        </c:manualLayout>
      </c:layout>
      <c:barChart>
        <c:barDir val="col"/>
        <c:grouping val="stacked"/>
        <c:varyColors val="0"/>
        <c:ser>
          <c:idx val="0"/>
          <c:order val="0"/>
          <c:tx>
            <c:strRef>
              <c:f>'https://worldbankgroup-my.sharepoint.com/personal/acampmas_worldbank_org/Documents/1. Country Projects/MENA flagship report/[TCP_MENA.xlsx]TCP_MENA'!$D$1</c:f>
              <c:strCache>
                <c:ptCount val="1"/>
                <c:pt idx="0">
                  <c:v>Carbon Taxation</c:v>
                </c:pt>
              </c:strCache>
            </c:strRef>
          </c:tx>
          <c:spPr>
            <a:solidFill>
              <a:srgbClr val="002345"/>
            </a:solidFill>
            <a:ln>
              <a:noFill/>
            </a:ln>
            <a:effectLst/>
            <a:extLst>
              <a:ext uri="{91240B29-F687-4F45-9708-019B960494DF}">
                <a14:hiddenLine xmlns:a14="http://schemas.microsoft.com/office/drawing/2010/main">
                  <a:noFill/>
                </a14:hiddenLine>
              </a:ext>
            </a:extLst>
          </c:spPr>
          <c:invertIfNegative val="0"/>
          <c:cat>
            <c:numRef>
              <c:f>Sheet1!$O$3:$O$11</c:f>
              <c:numCache>
                <c:formatCode>General</c:formatCode>
                <c:ptCount val="9"/>
                <c:pt idx="0">
                  <c:v>2015</c:v>
                </c:pt>
                <c:pt idx="1">
                  <c:v>2016</c:v>
                </c:pt>
                <c:pt idx="2">
                  <c:v>2017</c:v>
                </c:pt>
                <c:pt idx="3">
                  <c:v>2018</c:v>
                </c:pt>
                <c:pt idx="4">
                  <c:v>2019</c:v>
                </c:pt>
                <c:pt idx="5">
                  <c:v>2020</c:v>
                </c:pt>
                <c:pt idx="6">
                  <c:v>2021</c:v>
                </c:pt>
                <c:pt idx="7">
                  <c:v>2022</c:v>
                </c:pt>
                <c:pt idx="8">
                  <c:v>2023</c:v>
                </c:pt>
              </c:numCache>
            </c:numRef>
          </c:cat>
          <c:val>
            <c:numRef>
              <c:f>[2]TCP_MENA!$D$5:$D$13</c:f>
              <c:numCache>
                <c:formatCode>General</c:formatCode>
                <c:ptCount val="9"/>
                <c:pt idx="0">
                  <c:v>0</c:v>
                </c:pt>
                <c:pt idx="1">
                  <c:v>0</c:v>
                </c:pt>
                <c:pt idx="2">
                  <c:v>0</c:v>
                </c:pt>
                <c:pt idx="3">
                  <c:v>0</c:v>
                </c:pt>
                <c:pt idx="4">
                  <c:v>0</c:v>
                </c:pt>
                <c:pt idx="5">
                  <c:v>0</c:v>
                </c:pt>
                <c:pt idx="6">
                  <c:v>0</c:v>
                </c:pt>
                <c:pt idx="7">
                  <c:v>0</c:v>
                </c:pt>
                <c:pt idx="8">
                  <c:v>0</c:v>
                </c:pt>
              </c:numCache>
              <c:extLst/>
            </c:numRef>
          </c:val>
          <c:extLst>
            <c:ext xmlns:c16="http://schemas.microsoft.com/office/drawing/2014/chart" uri="{C3380CC4-5D6E-409C-BE32-E72D297353CC}">
              <c16:uniqueId val="{00000000-CC7E-4968-8DA8-A065831372FB}"/>
            </c:ext>
          </c:extLst>
        </c:ser>
        <c:ser>
          <c:idx val="1"/>
          <c:order val="2"/>
          <c:tx>
            <c:strRef>
              <c:f>'https://worldbankgroup-my.sharepoint.com/personal/acampmas_worldbank_org/Documents/1. Country Projects/MENA flagship report/[TCP_MENA.xlsx]TCP_MENA'!$C$1</c:f>
              <c:strCache>
                <c:ptCount val="1"/>
                <c:pt idx="0">
                  <c:v>Emissions Trading</c:v>
                </c:pt>
              </c:strCache>
            </c:strRef>
          </c:tx>
          <c:spPr>
            <a:solidFill>
              <a:srgbClr val="F05023"/>
            </a:solidFill>
            <a:ln>
              <a:noFill/>
            </a:ln>
            <a:effectLst/>
            <a:extLst>
              <a:ext uri="{91240B29-F687-4F45-9708-019B960494DF}">
                <a14:hiddenLine xmlns:a14="http://schemas.microsoft.com/office/drawing/2010/main">
                  <a:noFill/>
                </a14:hiddenLine>
              </a:ext>
            </a:extLst>
          </c:spPr>
          <c:invertIfNegative val="0"/>
          <c:cat>
            <c:numRef>
              <c:f>Sheet1!$O$3:$O$11</c:f>
              <c:numCache>
                <c:formatCode>General</c:formatCode>
                <c:ptCount val="9"/>
                <c:pt idx="0">
                  <c:v>2015</c:v>
                </c:pt>
                <c:pt idx="1">
                  <c:v>2016</c:v>
                </c:pt>
                <c:pt idx="2">
                  <c:v>2017</c:v>
                </c:pt>
                <c:pt idx="3">
                  <c:v>2018</c:v>
                </c:pt>
                <c:pt idx="4">
                  <c:v>2019</c:v>
                </c:pt>
                <c:pt idx="5">
                  <c:v>2020</c:v>
                </c:pt>
                <c:pt idx="6">
                  <c:v>2021</c:v>
                </c:pt>
                <c:pt idx="7">
                  <c:v>2022</c:v>
                </c:pt>
                <c:pt idx="8">
                  <c:v>2023</c:v>
                </c:pt>
              </c:numCache>
            </c:numRef>
          </c:cat>
          <c:val>
            <c:numRef>
              <c:f>[2]TCP_MENA!$C$5:$C$13</c:f>
              <c:numCache>
                <c:formatCode>General</c:formatCode>
                <c:ptCount val="9"/>
                <c:pt idx="0">
                  <c:v>0</c:v>
                </c:pt>
                <c:pt idx="1">
                  <c:v>0</c:v>
                </c:pt>
                <c:pt idx="2">
                  <c:v>0</c:v>
                </c:pt>
                <c:pt idx="3">
                  <c:v>0</c:v>
                </c:pt>
                <c:pt idx="4">
                  <c:v>0</c:v>
                </c:pt>
                <c:pt idx="5">
                  <c:v>0</c:v>
                </c:pt>
                <c:pt idx="6">
                  <c:v>0</c:v>
                </c:pt>
                <c:pt idx="7">
                  <c:v>0</c:v>
                </c:pt>
                <c:pt idx="8">
                  <c:v>0</c:v>
                </c:pt>
              </c:numCache>
              <c:extLst/>
            </c:numRef>
          </c:val>
          <c:extLst>
            <c:ext xmlns:c16="http://schemas.microsoft.com/office/drawing/2014/chart" uri="{C3380CC4-5D6E-409C-BE32-E72D297353CC}">
              <c16:uniqueId val="{00000001-CC7E-4968-8DA8-A065831372FB}"/>
            </c:ext>
          </c:extLst>
        </c:ser>
        <c:ser>
          <c:idx val="2"/>
          <c:order val="3"/>
          <c:tx>
            <c:strRef>
              <c:f>Sheet1!$Q$2</c:f>
              <c:strCache>
                <c:ptCount val="1"/>
                <c:pt idx="0">
                  <c:v>Energy Taxes (est.)</c:v>
                </c:pt>
              </c:strCache>
            </c:strRef>
          </c:tx>
          <c:spPr>
            <a:solidFill>
              <a:schemeClr val="accent6">
                <a:lumMod val="75000"/>
              </a:schemeClr>
            </a:solidFill>
            <a:ln>
              <a:noFill/>
            </a:ln>
            <a:effectLst/>
            <a:extLst>
              <a:ext uri="{91240B29-F687-4F45-9708-019B960494DF}">
                <a14:hiddenLine xmlns:a14="http://schemas.microsoft.com/office/drawing/2010/main">
                  <a:noFill/>
                </a14:hiddenLine>
              </a:ext>
            </a:extLst>
          </c:spPr>
          <c:invertIfNegative val="0"/>
          <c:cat>
            <c:numRef>
              <c:f>Sheet1!$O$3:$O$11</c:f>
              <c:numCache>
                <c:formatCode>General</c:formatCode>
                <c:ptCount val="9"/>
                <c:pt idx="0">
                  <c:v>2015</c:v>
                </c:pt>
                <c:pt idx="1">
                  <c:v>2016</c:v>
                </c:pt>
                <c:pt idx="2">
                  <c:v>2017</c:v>
                </c:pt>
                <c:pt idx="3">
                  <c:v>2018</c:v>
                </c:pt>
                <c:pt idx="4">
                  <c:v>2019</c:v>
                </c:pt>
                <c:pt idx="5">
                  <c:v>2020</c:v>
                </c:pt>
                <c:pt idx="6">
                  <c:v>2021</c:v>
                </c:pt>
                <c:pt idx="7">
                  <c:v>2022</c:v>
                </c:pt>
                <c:pt idx="8">
                  <c:v>2023</c:v>
                </c:pt>
              </c:numCache>
            </c:numRef>
          </c:cat>
          <c:val>
            <c:numRef>
              <c:f>Sheet1!$Q$3:$Q$11</c:f>
              <c:numCache>
                <c:formatCode>General</c:formatCode>
                <c:ptCount val="9"/>
                <c:pt idx="0">
                  <c:v>5.3432643824693704</c:v>
                </c:pt>
                <c:pt idx="1">
                  <c:v>9.7693134476148202</c:v>
                </c:pt>
                <c:pt idx="2">
                  <c:v>4.2959530780312001</c:v>
                </c:pt>
                <c:pt idx="3">
                  <c:v>1.7811345429897201</c:v>
                </c:pt>
                <c:pt idx="4">
                  <c:v>8.6213540249447895</c:v>
                </c:pt>
                <c:pt idx="5">
                  <c:v>12.831119055608401</c:v>
                </c:pt>
                <c:pt idx="6">
                  <c:v>3.90496023764572</c:v>
                </c:pt>
                <c:pt idx="7">
                  <c:v>3.69709140331187</c:v>
                </c:pt>
                <c:pt idx="8">
                  <c:v>2.29570005853004</c:v>
                </c:pt>
              </c:numCache>
            </c:numRef>
          </c:val>
          <c:extLst>
            <c:ext xmlns:c16="http://schemas.microsoft.com/office/drawing/2014/chart" uri="{C3380CC4-5D6E-409C-BE32-E72D297353CC}">
              <c16:uniqueId val="{00000002-CC7E-4968-8DA8-A065831372FB}"/>
            </c:ext>
          </c:extLst>
        </c:ser>
        <c:ser>
          <c:idx val="4"/>
          <c:order val="4"/>
          <c:tx>
            <c:strRef>
              <c:f>Sheet1!$R$2</c:f>
              <c:strCache>
                <c:ptCount val="1"/>
                <c:pt idx="0">
                  <c:v>VAT Differentials</c:v>
                </c:pt>
              </c:strCache>
            </c:strRef>
          </c:tx>
          <c:spPr>
            <a:solidFill>
              <a:srgbClr val="FDB714"/>
            </a:solidFill>
            <a:ln>
              <a:noFill/>
            </a:ln>
            <a:effectLst/>
            <a:extLst>
              <a:ext uri="{91240B29-F687-4F45-9708-019B960494DF}">
                <a14:hiddenLine xmlns:a14="http://schemas.microsoft.com/office/drawing/2010/main">
                  <a:noFill/>
                </a14:hiddenLine>
              </a:ext>
            </a:extLst>
          </c:spPr>
          <c:invertIfNegative val="0"/>
          <c:cat>
            <c:numRef>
              <c:f>Sheet1!$O$3:$O$11</c:f>
              <c:numCache>
                <c:formatCode>General</c:formatCode>
                <c:ptCount val="9"/>
                <c:pt idx="0">
                  <c:v>2015</c:v>
                </c:pt>
                <c:pt idx="1">
                  <c:v>2016</c:v>
                </c:pt>
                <c:pt idx="2">
                  <c:v>2017</c:v>
                </c:pt>
                <c:pt idx="3">
                  <c:v>2018</c:v>
                </c:pt>
                <c:pt idx="4">
                  <c:v>2019</c:v>
                </c:pt>
                <c:pt idx="5">
                  <c:v>2020</c:v>
                </c:pt>
                <c:pt idx="6">
                  <c:v>2021</c:v>
                </c:pt>
                <c:pt idx="7">
                  <c:v>2022</c:v>
                </c:pt>
                <c:pt idx="8">
                  <c:v>2023</c:v>
                </c:pt>
              </c:numCache>
            </c:numRef>
          </c:cat>
          <c:val>
            <c:numRef>
              <c:f>Sheet1!$R$3:$R$11</c:f>
              <c:numCache>
                <c:formatCode>General</c:formatCode>
                <c:ptCount val="9"/>
                <c:pt idx="0">
                  <c:v>-9.8211044322516905</c:v>
                </c:pt>
                <c:pt idx="1">
                  <c:v>-11.174584537047499</c:v>
                </c:pt>
                <c:pt idx="2">
                  <c:v>-12.1341498613561</c:v>
                </c:pt>
                <c:pt idx="3">
                  <c:v>-13.093355422648999</c:v>
                </c:pt>
                <c:pt idx="4">
                  <c:v>-11.890355248231</c:v>
                </c:pt>
                <c:pt idx="5">
                  <c:v>-10.685390560241199</c:v>
                </c:pt>
                <c:pt idx="6">
                  <c:v>-13.707857177883101</c:v>
                </c:pt>
                <c:pt idx="7">
                  <c:v>-17.029435134192099</c:v>
                </c:pt>
                <c:pt idx="8">
                  <c:v>-13.9239471215532</c:v>
                </c:pt>
              </c:numCache>
            </c:numRef>
          </c:val>
          <c:extLst>
            <c:ext xmlns:c16="http://schemas.microsoft.com/office/drawing/2014/chart" uri="{C3380CC4-5D6E-409C-BE32-E72D297353CC}">
              <c16:uniqueId val="{00000003-CC7E-4968-8DA8-A065831372FB}"/>
            </c:ext>
          </c:extLst>
        </c:ser>
        <c:ser>
          <c:idx val="3"/>
          <c:order val="5"/>
          <c:tx>
            <c:strRef>
              <c:f>Sheet1!$P$2</c:f>
              <c:strCache>
                <c:ptCount val="1"/>
                <c:pt idx="0">
                  <c:v>Energy subsidy (est.)</c:v>
                </c:pt>
              </c:strCache>
            </c:strRef>
          </c:tx>
          <c:spPr>
            <a:solidFill>
              <a:schemeClr val="bg2">
                <a:lumMod val="90000"/>
              </a:schemeClr>
            </a:solidFill>
            <a:ln>
              <a:noFill/>
            </a:ln>
            <a:effectLst/>
            <a:extLst>
              <a:ext uri="{91240B29-F687-4F45-9708-019B960494DF}">
                <a14:hiddenLine xmlns:a14="http://schemas.microsoft.com/office/drawing/2010/main">
                  <a:noFill/>
                </a14:hiddenLine>
              </a:ext>
            </a:extLst>
          </c:spPr>
          <c:invertIfNegative val="0"/>
          <c:cat>
            <c:numRef>
              <c:f>Sheet1!$O$3:$O$11</c:f>
              <c:numCache>
                <c:formatCode>General</c:formatCode>
                <c:ptCount val="9"/>
                <c:pt idx="0">
                  <c:v>2015</c:v>
                </c:pt>
                <c:pt idx="1">
                  <c:v>2016</c:v>
                </c:pt>
                <c:pt idx="2">
                  <c:v>2017</c:v>
                </c:pt>
                <c:pt idx="3">
                  <c:v>2018</c:v>
                </c:pt>
                <c:pt idx="4">
                  <c:v>2019</c:v>
                </c:pt>
                <c:pt idx="5">
                  <c:v>2020</c:v>
                </c:pt>
                <c:pt idx="6">
                  <c:v>2021</c:v>
                </c:pt>
                <c:pt idx="7">
                  <c:v>2022</c:v>
                </c:pt>
                <c:pt idx="8">
                  <c:v>2023</c:v>
                </c:pt>
              </c:numCache>
            </c:numRef>
          </c:cat>
          <c:val>
            <c:numRef>
              <c:f>Sheet1!$P$3:$P$11</c:f>
              <c:numCache>
                <c:formatCode>General</c:formatCode>
                <c:ptCount val="9"/>
                <c:pt idx="0">
                  <c:v>-52.678401368819998</c:v>
                </c:pt>
                <c:pt idx="1">
                  <c:v>-44.105230436749601</c:v>
                </c:pt>
                <c:pt idx="2">
                  <c:v>-61.192164928935</c:v>
                </c:pt>
                <c:pt idx="3">
                  <c:v>-66.881734173494905</c:v>
                </c:pt>
                <c:pt idx="4">
                  <c:v>-43.651450410750201</c:v>
                </c:pt>
                <c:pt idx="5">
                  <c:v>-16.2212140865844</c:v>
                </c:pt>
                <c:pt idx="6">
                  <c:v>-79.513835349652894</c:v>
                </c:pt>
                <c:pt idx="7">
                  <c:v>-114.41561151066</c:v>
                </c:pt>
                <c:pt idx="8">
                  <c:v>-103.97308078313399</c:v>
                </c:pt>
              </c:numCache>
            </c:numRef>
          </c:val>
          <c:extLst>
            <c:ext xmlns:c16="http://schemas.microsoft.com/office/drawing/2014/chart" uri="{C3380CC4-5D6E-409C-BE32-E72D297353CC}">
              <c16:uniqueId val="{00000004-CC7E-4968-8DA8-A065831372FB}"/>
            </c:ext>
          </c:extLst>
        </c:ser>
        <c:dLbls>
          <c:showLegendKey val="0"/>
          <c:showVal val="0"/>
          <c:showCatName val="0"/>
          <c:showSerName val="0"/>
          <c:showPercent val="0"/>
          <c:showBubbleSize val="0"/>
        </c:dLbls>
        <c:gapWidth val="50"/>
        <c:overlap val="100"/>
        <c:axId val="1119170272"/>
        <c:axId val="1119954528"/>
      </c:barChart>
      <c:lineChart>
        <c:grouping val="standard"/>
        <c:varyColors val="0"/>
        <c:ser>
          <c:idx val="5"/>
          <c:order val="1"/>
          <c:tx>
            <c:strRef>
              <c:f>Sheet1!$S$2</c:f>
              <c:strCache>
                <c:ptCount val="1"/>
                <c:pt idx="0">
                  <c:v>TCP</c:v>
                </c:pt>
              </c:strCache>
            </c:strRef>
          </c:tx>
          <c:spPr>
            <a:ln w="28575" cap="rnd">
              <a:solidFill>
                <a:srgbClr val="C00000"/>
              </a:solidFill>
              <a:prstDash val="solid"/>
              <a:round/>
            </a:ln>
            <a:effectLst>
              <a:innerShdw blurRad="63500" dist="50800" dir="13500000">
                <a:prstClr val="black">
                  <a:alpha val="50000"/>
                </a:prstClr>
              </a:innerShdw>
              <a:softEdge rad="0"/>
            </a:effectLst>
          </c:spPr>
          <c:marker>
            <c:symbol val="none"/>
          </c:marker>
          <c:val>
            <c:numRef>
              <c:f>Sheet1!$S$3:$S$11</c:f>
              <c:numCache>
                <c:formatCode>General</c:formatCode>
                <c:ptCount val="9"/>
                <c:pt idx="0">
                  <c:v>-57.156241418602299</c:v>
                </c:pt>
                <c:pt idx="1">
                  <c:v>-45.510501526182303</c:v>
                </c:pt>
                <c:pt idx="2">
                  <c:v>-69.030361712259904</c:v>
                </c:pt>
                <c:pt idx="3">
                  <c:v>-78.193955053154198</c:v>
                </c:pt>
                <c:pt idx="4">
                  <c:v>-46.920451634036397</c:v>
                </c:pt>
                <c:pt idx="5">
                  <c:v>-14.0754855912173</c:v>
                </c:pt>
                <c:pt idx="6">
                  <c:v>-89.316732289890197</c:v>
                </c:pt>
                <c:pt idx="7">
                  <c:v>-127.74795524154</c:v>
                </c:pt>
                <c:pt idx="8">
                  <c:v>-115.60132784615701</c:v>
                </c:pt>
              </c:numCache>
            </c:numRef>
          </c:val>
          <c:smooth val="1"/>
          <c:extLst>
            <c:ext xmlns:c16="http://schemas.microsoft.com/office/drawing/2014/chart" uri="{C3380CC4-5D6E-409C-BE32-E72D297353CC}">
              <c16:uniqueId val="{00000005-CC7E-4968-8DA8-A065831372FB}"/>
            </c:ext>
          </c:extLst>
        </c:ser>
        <c:ser>
          <c:idx val="6"/>
          <c:order val="6"/>
          <c:tx>
            <c:strRef>
              <c:f>Sheet1!$T$2</c:f>
              <c:strCache>
                <c:ptCount val="1"/>
                <c:pt idx="0">
                  <c:v>TCP lower bound</c:v>
                </c:pt>
              </c:strCache>
            </c:strRef>
          </c:tx>
          <c:spPr>
            <a:ln w="28575" cap="rnd">
              <a:solidFill>
                <a:schemeClr val="bg2">
                  <a:lumMod val="50000"/>
                </a:schemeClr>
              </a:solidFill>
              <a:prstDash val="sysDot"/>
              <a:round/>
            </a:ln>
            <a:effectLst/>
          </c:spPr>
          <c:marker>
            <c:symbol val="none"/>
          </c:marker>
          <c:val>
            <c:numRef>
              <c:f>Sheet1!$T$3:$T$11</c:f>
              <c:numCache>
                <c:formatCode>General</c:formatCode>
                <c:ptCount val="9"/>
                <c:pt idx="0">
                  <c:v>-60.627708399868702</c:v>
                </c:pt>
                <c:pt idx="1">
                  <c:v>-49.134555489498197</c:v>
                </c:pt>
                <c:pt idx="2">
                  <c:v>-72.919704598282905</c:v>
                </c:pt>
                <c:pt idx="3">
                  <c:v>-82.365515468796801</c:v>
                </c:pt>
                <c:pt idx="4">
                  <c:v>-50.868039249335702</c:v>
                </c:pt>
                <c:pt idx="5">
                  <c:v>-20.836394655689901</c:v>
                </c:pt>
                <c:pt idx="6">
                  <c:v>-97.801312991337198</c:v>
                </c:pt>
                <c:pt idx="7">
                  <c:v>-134.356384114435</c:v>
                </c:pt>
                <c:pt idx="8">
                  <c:v>-124.28152582941399</c:v>
                </c:pt>
              </c:numCache>
            </c:numRef>
          </c:val>
          <c:smooth val="1"/>
          <c:extLst>
            <c:ext xmlns:c16="http://schemas.microsoft.com/office/drawing/2014/chart" uri="{C3380CC4-5D6E-409C-BE32-E72D297353CC}">
              <c16:uniqueId val="{00000006-CC7E-4968-8DA8-A065831372FB}"/>
            </c:ext>
          </c:extLst>
        </c:ser>
        <c:ser>
          <c:idx val="7"/>
          <c:order val="7"/>
          <c:tx>
            <c:strRef>
              <c:f>Sheet1!$U$2</c:f>
              <c:strCache>
                <c:ptCount val="1"/>
                <c:pt idx="0">
                  <c:v>TCP upper bound</c:v>
                </c:pt>
              </c:strCache>
            </c:strRef>
          </c:tx>
          <c:spPr>
            <a:ln w="28575" cap="rnd">
              <a:solidFill>
                <a:schemeClr val="bg2">
                  <a:lumMod val="50000"/>
                </a:schemeClr>
              </a:solidFill>
              <a:prstDash val="sysDot"/>
              <a:round/>
            </a:ln>
            <a:effectLst/>
          </c:spPr>
          <c:marker>
            <c:symbol val="none"/>
          </c:marker>
          <c:val>
            <c:numRef>
              <c:f>Sheet1!$U$3:$U$11</c:f>
              <c:numCache>
                <c:formatCode>General</c:formatCode>
                <c:ptCount val="9"/>
                <c:pt idx="0">
                  <c:v>-53.684774437335903</c:v>
                </c:pt>
                <c:pt idx="1">
                  <c:v>-41.886447562866401</c:v>
                </c:pt>
                <c:pt idx="2">
                  <c:v>-65.141018826236902</c:v>
                </c:pt>
                <c:pt idx="3">
                  <c:v>-74.022394637511695</c:v>
                </c:pt>
                <c:pt idx="4">
                  <c:v>-42.972864018737198</c:v>
                </c:pt>
                <c:pt idx="5">
                  <c:v>-7.3145765267447196</c:v>
                </c:pt>
                <c:pt idx="6">
                  <c:v>-80.832151588443196</c:v>
                </c:pt>
                <c:pt idx="7">
                  <c:v>-121.139526368646</c:v>
                </c:pt>
                <c:pt idx="8">
                  <c:v>-106.921129862901</c:v>
                </c:pt>
              </c:numCache>
            </c:numRef>
          </c:val>
          <c:smooth val="1"/>
          <c:extLst>
            <c:ext xmlns:c16="http://schemas.microsoft.com/office/drawing/2014/chart" uri="{C3380CC4-5D6E-409C-BE32-E72D297353CC}">
              <c16:uniqueId val="{00000007-CC7E-4968-8DA8-A065831372FB}"/>
            </c:ext>
          </c:extLst>
        </c:ser>
        <c:dLbls>
          <c:showLegendKey val="0"/>
          <c:showVal val="0"/>
          <c:showCatName val="0"/>
          <c:showSerName val="0"/>
          <c:showPercent val="0"/>
          <c:showBubbleSize val="0"/>
        </c:dLbls>
        <c:marker val="1"/>
        <c:smooth val="0"/>
        <c:axId val="1119170272"/>
        <c:axId val="1119954528"/>
      </c:lineChart>
      <c:catAx>
        <c:axId val="1119170272"/>
        <c:scaling>
          <c:orientation val="minMax"/>
        </c:scaling>
        <c:delete val="0"/>
        <c:axPos val="b"/>
        <c:numFmt formatCode="General" sourceLinked="1"/>
        <c:majorTickMark val="none"/>
        <c:minorTickMark val="none"/>
        <c:tickLblPos val="low"/>
        <c:spPr>
          <a:noFill/>
          <a:ln w="6350" cap="flat" cmpd="sng" algn="ctr">
            <a:solidFill>
              <a:srgbClr val="C8C8C8"/>
            </a:solidFill>
            <a:round/>
          </a:ln>
          <a:effectLst/>
        </c:spPr>
        <c:txPr>
          <a:bodyPr rot="-60000" spcFirstLastPara="1" vertOverflow="ellipsis" wrap="square" anchor="ctr" anchorCtr="1"/>
          <a:lstStyle/>
          <a:p>
            <a:pPr>
              <a:defRPr sz="900" b="0" i="0" u="none" strike="noStrike" kern="1200" baseline="0">
                <a:solidFill>
                  <a:srgbClr val="000000"/>
                </a:solidFill>
                <a:latin typeface="Aptos Light"/>
                <a:ea typeface="Aptos Light"/>
                <a:cs typeface="Aptos Light"/>
              </a:defRPr>
            </a:pPr>
            <a:endParaRPr lang="en-US"/>
          </a:p>
        </c:txPr>
        <c:crossAx val="1119954528"/>
        <c:crosses val="autoZero"/>
        <c:auto val="1"/>
        <c:lblAlgn val="ctr"/>
        <c:lblOffset val="100"/>
        <c:noMultiLvlLbl val="0"/>
      </c:catAx>
      <c:valAx>
        <c:axId val="1119954528"/>
        <c:scaling>
          <c:orientation val="minMax"/>
          <c:max val="20"/>
          <c:min val="-140"/>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900" b="0" i="0" u="none" strike="noStrike" kern="1200" baseline="0">
                    <a:solidFill>
                      <a:srgbClr val="000000"/>
                    </a:solidFill>
                    <a:latin typeface="Aptos Light"/>
                    <a:ea typeface="Aptos Light"/>
                    <a:cs typeface="Aptos Light"/>
                  </a:defRPr>
                </a:pPr>
                <a:r>
                  <a:rPr lang="en-US"/>
                  <a:t>Constant USD per tCO2</a:t>
                </a:r>
              </a:p>
            </c:rich>
          </c:tx>
          <c:layout>
            <c:manualLayout>
              <c:xMode val="edge"/>
              <c:yMode val="edge"/>
              <c:x val="1.9474786781172943E-2"/>
              <c:y val="0.24027447014890077"/>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rgbClr val="000000"/>
                  </a:solidFill>
                  <a:latin typeface="Aptos Light"/>
                  <a:ea typeface="Aptos Light"/>
                  <a:cs typeface="Aptos Light"/>
                </a:defRPr>
              </a:pPr>
              <a:endParaRPr lang="en-US"/>
            </a:p>
          </c:txPr>
        </c:title>
        <c:numFmt formatCode="0" sourceLinked="0"/>
        <c:majorTickMark val="none"/>
        <c:minorTickMark val="none"/>
        <c:tickLblPos val="low"/>
        <c:spPr>
          <a:noFill/>
          <a:ln>
            <a:noFill/>
          </a:ln>
          <a:effectLst/>
          <a:extLst>
            <a:ext uri="{91240B29-F687-4F45-9708-019B960494DF}">
              <a14:hiddenLine xmlns:a14="http://schemas.microsoft.com/office/drawing/2010/main">
                <a:noFill/>
              </a14:hiddenLine>
            </a:ext>
          </a:extLst>
        </c:spPr>
        <c:txPr>
          <a:bodyPr rot="-60000000" spcFirstLastPara="1" vertOverflow="ellipsis" vert="horz" wrap="square" anchor="ctr" anchorCtr="1"/>
          <a:lstStyle/>
          <a:p>
            <a:pPr>
              <a:defRPr sz="900" b="0" i="0" u="none" strike="noStrike" kern="1200" baseline="0">
                <a:solidFill>
                  <a:srgbClr val="000000"/>
                </a:solidFill>
                <a:latin typeface="Aptos Light"/>
                <a:ea typeface="Aptos Light"/>
                <a:cs typeface="Aptos Light"/>
              </a:defRPr>
            </a:pPr>
            <a:endParaRPr lang="en-US"/>
          </a:p>
        </c:txPr>
        <c:crossAx val="1119170272"/>
        <c:crosses val="autoZero"/>
        <c:crossBetween val="between"/>
      </c:valAx>
      <c:spPr>
        <a:solidFill>
          <a:srgbClr val="FFFFFF"/>
        </a:solidFill>
        <a:ln>
          <a:noFill/>
        </a:ln>
        <a:effectLst/>
        <a:extLst>
          <a:ext uri="{91240B29-F687-4F45-9708-019B960494DF}">
            <a14:hiddenLine xmlns:a14="http://schemas.microsoft.com/office/drawing/2010/main">
              <a:solidFill>
                <a:srgbClr val="E8E8E8">
                  <a:lumMod val="10000"/>
                  <a:alpha val="10000"/>
                </a:srgbClr>
              </a:solidFill>
            </a14:hiddenLine>
          </a:ext>
        </a:extLst>
      </c:spPr>
    </c:plotArea>
    <c:legend>
      <c:legendPos val="b"/>
      <c:legendEntry>
        <c:idx val="0"/>
        <c:delete val="1"/>
      </c:legendEntry>
      <c:legendEntry>
        <c:idx val="1"/>
        <c:delete val="1"/>
      </c:legendEntry>
      <c:layout>
        <c:manualLayout>
          <c:xMode val="edge"/>
          <c:yMode val="edge"/>
          <c:x val="4.3959908563390186E-3"/>
          <c:y val="0.83127109111361075"/>
          <c:w val="0.99560400914366098"/>
          <c:h val="0.1687289088863892"/>
        </c:manualLayout>
      </c:layout>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Aptos Light"/>
              <a:ea typeface="Aptos Light"/>
              <a:cs typeface="Aptos Light"/>
            </a:defRPr>
          </a:pPr>
          <a:endParaRPr lang="en-US"/>
        </a:p>
      </c:txPr>
    </c:legend>
    <c:plotVisOnly val="1"/>
    <c:dispBlanksAs val="gap"/>
    <c:showDLblsOverMax val="0"/>
  </c:chart>
  <c:spPr>
    <a:solidFill>
      <a:srgbClr val="FFFFFF"/>
    </a:solidFill>
    <a:ln w="9525" cap="flat" cmpd="sng" algn="ctr">
      <a:noFill/>
      <a:round/>
    </a:ln>
    <a:effectLst/>
  </c:spPr>
  <c:txPr>
    <a:bodyPr/>
    <a:lstStyle/>
    <a:p>
      <a:pPr>
        <a:defRPr sz="900" b="0" i="0" u="none" strike="noStrike" baseline="0">
          <a:solidFill>
            <a:srgbClr val="000000"/>
          </a:solidFill>
          <a:latin typeface="Aptos Light"/>
          <a:ea typeface="Aptos Light"/>
          <a:cs typeface="Aptos Light"/>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ocumenttasks/documenttasks1.xml><?xml version="1.0" encoding="utf-8"?>
<t:Tasks xmlns:t="http://schemas.microsoft.com/office/tasks/2019/documenttasks" xmlns:oel="http://schemas.microsoft.com/office/2019/extlst">
  <t:Task id="{80EAFB09-472E-4ED4-9DC6-17BDD8CE676C}">
    <t:Anchor>
      <t:Comment id="1899608639"/>
    </t:Anchor>
    <t:History>
      <t:Event id="{529FF778-6858-493E-840A-452F251C7CD9}" time="2026-05-26T19:50:53.83Z">
        <t:Attribution userId="S::cfischer2@worldbank.org::113d740a-95fb-4f4c-8943-c2498927526b" userProvider="AD" userName="Carolyn Fischer"/>
        <t:Anchor>
          <t:Comment id="1899608639"/>
        </t:Anchor>
        <t:Create/>
      </t:Event>
      <t:Event id="{9EF8F92A-3592-4691-A344-845F9D299555}" time="2026-05-26T19:50:53.83Z">
        <t:Attribution userId="S::cfischer2@worldbank.org::113d740a-95fb-4f4c-8943-c2498927526b" userProvider="AD" userName="Carolyn Fischer"/>
        <t:Anchor>
          <t:Comment id="1899608639"/>
        </t:Anchor>
        <t:Assign userId="S::saakerfeldt@worldbank.org::a7b9390f-1d82-470f-9fbe-8375ec902109" userProvider="AD" userName="Susanne Alice Charlotta Aakerfeldt"/>
      </t:Event>
      <t:Event id="{D79C70F6-ABC0-460A-87EC-A6BE306B829C}" time="2026-05-26T19:50:53.83Z">
        <t:Attribution userId="S::cfischer2@worldbank.org::113d740a-95fb-4f4c-8943-c2498927526b" userProvider="AD" userName="Carolyn Fischer"/>
        <t:Anchor>
          <t:Comment id="1899608639"/>
        </t:Anchor>
        <t:SetTitle title="@Susanne Alice Charlotta Aakerfeldt : could we please verify whether indirect emissions are included for hydrogen? This document indicates they are: https://op.europa.eu/en/publication-detail/-/publication/3baf5e41-9e1e-11ee-b164-01aa75ed71a1/language-en…"/>
      </t:Event>
      <t:Event id="{A9F31FB5-C883-4E80-87CC-0FD4F7804DC0}" time="2026-05-30T02:37:58.987Z">
        <t:Attribution userId="S::cfischer2@worldbank.org::113d740a-95fb-4f4c-8943-c2498927526b" userProvider="AD" userName="Carolyn Fischer"/>
        <t:Progress percentComplete="100"/>
      </t:Event>
    </t:History>
  </t:Task>
  <t:Task id="{800D82F5-2042-42DF-807C-4BB0F9498C53}">
    <t:Anchor>
      <t:Comment id="1610684710"/>
    </t:Anchor>
    <t:History>
      <t:Event id="{92E65297-B741-4B91-A9C9-004F999044F1}" time="2025-05-05T19:08:28.898Z">
        <t:Attribution userId="S::saakerfeldt@worldbank.org::a7b9390f-1d82-470f-9fbe-8375ec902109" userProvider="AD" userName="Susanne Alice Charlotta Aakerfeldt"/>
        <t:Anchor>
          <t:Comment id="994326073"/>
        </t:Anchor>
        <t:Create/>
      </t:Event>
      <t:Event id="{4106588F-913C-4AF7-A9E0-609AD1A8C43A}" time="2025-05-05T19:08:28.898Z">
        <t:Attribution userId="S::saakerfeldt@worldbank.org::a7b9390f-1d82-470f-9fbe-8375ec902109" userProvider="AD" userName="Susanne Alice Charlotta Aakerfeldt"/>
        <t:Anchor>
          <t:Comment id="994326073"/>
        </t:Anchor>
        <t:Assign userId="S::acampmas@worldbank.org::d9cc3912-afdc-48fe-aa38-2b4a69144422" userProvider="AD" userName="Alexandra Andrea Maite Campmas"/>
      </t:Event>
      <t:Event id="{4BA5359D-0B10-4A79-BCDF-ADE348516DE3}" time="2025-05-05T19:08:28.898Z">
        <t:Attribution userId="S::saakerfeldt@worldbank.org::a7b9390f-1d82-470f-9fbe-8375ec902109" userProvider="AD" userName="Susanne Alice Charlotta Aakerfeldt"/>
        <t:Anchor>
          <t:Comment id="994326073"/>
        </t:Anchor>
        <t:SetTitle title="…the production of the CBAM goods, our recommendation is a downstream tax on those emissions by default values with an alternative to provde actual emissions. I have tried to make the text clearer. See what you think @Alexandra Andrea Maite Campmas . "/>
      </t:Event>
    </t:History>
  </t:Task>
  <t:Task id="{82CD1962-34E1-49F7-95D1-6EEB2CDE6638}">
    <t:Anchor>
      <t:Comment id="1432106881"/>
    </t:Anchor>
    <t:History>
      <t:Event id="{E270DCDA-587C-4712-B458-7E8DBA43F552}" time="2025-05-06T19:16:44.105Z">
        <t:Attribution userId="S::zalsharkas@worldbank.org::a2d8f276-f4cd-42ac-8bd4-47427e9ab69c" userProvider="AD" userName="Zeina Alsharkas"/>
        <t:Anchor>
          <t:Comment id="2053960308"/>
        </t:Anchor>
        <t:Create/>
      </t:Event>
      <t:Event id="{141D7945-15D6-4874-AE72-7C8A7804139F}" time="2025-05-06T19:16:44.105Z">
        <t:Attribution userId="S::zalsharkas@worldbank.org::a2d8f276-f4cd-42ac-8bd4-47427e9ab69c" userProvider="AD" userName="Zeina Alsharkas"/>
        <t:Anchor>
          <t:Comment id="2053960308"/>
        </t:Anchor>
        <t:Assign userId="S::ealdazcarroll@worldbank.org::6173aea9-006d-4f87-b595-890b4e70be6b" userProvider="AD" userName="Enrique Aldaz-Carroll"/>
      </t:Event>
      <t:Event id="{19074472-6158-47EF-85DB-44D74977D979}" time="2025-05-06T19:16:44.105Z">
        <t:Attribution userId="S::zalsharkas@worldbank.org::a2d8f276-f4cd-42ac-8bd4-47427e9ab69c" userProvider="AD" userName="Zeina Alsharkas"/>
        <t:Anchor>
          <t:Comment id="2053960308"/>
        </t:Anchor>
        <t:SetTitle title="@Enrique Aldaz-Carroll @Alexandra Andrea Maite Campmas I have shortened the intro. Please let me know if I captured all the messages"/>
      </t:Event>
    </t:History>
  </t:Task>
  <t:Task id="{60C78871-F8A9-4078-BAC1-D5CCC1CB3394}">
    <t:Anchor>
      <t:Comment id="1845737941"/>
    </t:Anchor>
    <t:History>
      <t:Event id="{C937AC6F-9735-4FBD-B009-384A00386EA3}" time="2026-07-13T22:17:15.858Z">
        <t:Attribution userId="S::cfischer2@worldbank.org::113d740a-95fb-4f4c-8943-c2498927526b" userProvider="AD" userName="Carolyn Fischer"/>
        <t:Anchor>
          <t:Comment id="1850563729"/>
        </t:Anchor>
        <t:Create/>
      </t:Event>
      <t:Event id="{B22ADEDE-1B99-451B-9FDB-1E3ABBD4668C}" time="2026-07-13T22:17:15.858Z">
        <t:Attribution userId="S::cfischer2@worldbank.org::113d740a-95fb-4f4c-8943-c2498927526b" userProvider="AD" userName="Carolyn Fischer"/>
        <t:Anchor>
          <t:Comment id="1850563729"/>
        </t:Anchor>
        <t:Assign userId="S::sabbas@worldbank.org::bb7256ef-61ea-4d91-bf68-c413463c2ae7" userProvider="AD" userName="Adeel Abbas"/>
      </t:Event>
      <t:Event id="{8EB43F03-4A82-46DB-AF7D-C0656315E4B0}" time="2026-07-13T22:17:15.858Z">
        <t:Attribution userId="S::cfischer2@worldbank.org::113d740a-95fb-4f4c-8943-c2498927526b" userProvider="AD" userName="Carolyn Fischer"/>
        <t:Anchor>
          <t:Comment id="1850563729"/>
        </t:Anchor>
        <t:SetTitle title="MRV steps are outside our scope. @Adeel Abbas ?"/>
      </t:Event>
    </t:History>
  </t:Task>
  <t:Task id="{BBACF475-C6A5-4B59-8E12-C0EC7AEB0C4F}">
    <t:Anchor>
      <t:Comment id="1250491855"/>
    </t:Anchor>
    <t:History>
      <t:Event id="{C2C39C11-27B6-4213-B293-076A6C375A33}" time="2025-05-08T19:09:36.949Z">
        <t:Attribution userId="S::zalsharkas@worldbank.org::a2d8f276-f4cd-42ac-8bd4-47427e9ab69c" userProvider="AD" userName="Zeina Alsharkas"/>
        <t:Anchor>
          <t:Comment id="842727443"/>
        </t:Anchor>
        <t:Create/>
      </t:Event>
      <t:Event id="{4371A8E1-7AC7-4A38-8C65-4E9C8E4B88B3}" time="2025-05-08T19:09:36.949Z">
        <t:Attribution userId="S::zalsharkas@worldbank.org::a2d8f276-f4cd-42ac-8bd4-47427e9ab69c" userProvider="AD" userName="Zeina Alsharkas"/>
        <t:Anchor>
          <t:Comment id="842727443"/>
        </t:Anchor>
        <t:Assign userId="S::dbesley@worldbank.org::7abf0c20-c0a5-43a0-8d67-944c7f8a7a99" userProvider="AD" userName="Daniel James Besley"/>
      </t:Event>
      <t:Event id="{24265C50-D73D-41DB-8B08-D5B58FE740CB}" time="2025-05-08T19:09:36.949Z">
        <t:Attribution userId="S::zalsharkas@worldbank.org::a2d8f276-f4cd-42ac-8bd4-47427e9ab69c" userProvider="AD" userName="Zeina Alsharkas"/>
        <t:Anchor>
          <t:Comment id="842727443"/>
        </t:Anchor>
        <t:SetTitle title="@Daniel James Besley"/>
      </t:Event>
    </t:History>
  </t:Task>
  <t:Task id="{EF4F4EED-243E-43DE-930B-6D0DCFBFD18D}">
    <t:Anchor>
      <t:Comment id="20083911"/>
    </t:Anchor>
    <t:History>
      <t:Event id="{C62F2D10-4F3F-40DA-BCBB-1ADDA5BD35EA}" time="2026-05-26T19:55:52.046Z">
        <t:Attribution userId="S::cfischer2@worldbank.org::113d740a-95fb-4f4c-8943-c2498927526b" userProvider="AD" userName="Carolyn Fischer"/>
        <t:Anchor>
          <t:Comment id="20083911"/>
        </t:Anchor>
        <t:Create/>
      </t:Event>
      <t:Event id="{515301EA-9C1F-4606-9CDF-2F497CAD7B13}" time="2026-05-26T19:55:52.046Z">
        <t:Attribution userId="S::cfischer2@worldbank.org::113d740a-95fb-4f4c-8943-c2498927526b" userProvider="AD" userName="Carolyn Fischer"/>
        <t:Anchor>
          <t:Comment id="20083911"/>
        </t:Anchor>
        <t:Assign userId="S::saakerfeldt@worldbank.org::a7b9390f-1d82-470f-9fbe-8375ec902109" userProvider="AD" userName="Susanne Alice Charlotta Aakerfeldt"/>
      </t:Event>
      <t:Event id="{15454FF1-CE7B-4AED-A4DD-F340CAE8776F}" time="2026-05-26T19:55:52.046Z">
        <t:Attribution userId="S::cfischer2@worldbank.org::113d740a-95fb-4f4c-8943-c2498927526b" userProvider="AD" userName="Carolyn Fischer"/>
        <t:Anchor>
          <t:Comment id="20083911"/>
        </t:Anchor>
        <t:SetTitle title="@Susanne Alice Charlotta Aakerfeldt I think we may need to give more guidance on what MRV is involved."/>
      </t:Event>
      <t:Event id="{B72DE733-2175-484C-A3F2-C87FFA3CC656}" time="2026-06-28T19:06:51.709Z">
        <t:Attribution userId="S::cfischer2@worldbank.org::113d740a-95fb-4f4c-8943-c2498927526b" userProvider="AD" userName="Carolyn Fischer"/>
        <t:Progress percentComplete="100"/>
      </t:Event>
    </t:History>
  </t:Task>
  <t:Task id="{90EA792B-3512-44C5-A9A2-11BB88E4D8E0}">
    <t:Anchor>
      <t:Comment id="1787927553"/>
    </t:Anchor>
    <t:History>
      <t:Event id="{7C320373-C85C-4BBD-B69B-907B5DE95D5B}" time="2025-05-08T19:07:18.211Z">
        <t:Attribution userId="S::zalsharkas@worldbank.org::a2d8f276-f4cd-42ac-8bd4-47427e9ab69c" userProvider="AD" userName="Zeina Alsharkas"/>
        <t:Anchor>
          <t:Comment id="514592213"/>
        </t:Anchor>
        <t:Create/>
      </t:Event>
      <t:Event id="{62C7CF5B-773D-4343-9E39-8DDF80157117}" time="2025-05-08T19:07:18.211Z">
        <t:Attribution userId="S::zalsharkas@worldbank.org::a2d8f276-f4cd-42ac-8bd4-47427e9ab69c" userProvider="AD" userName="Zeina Alsharkas"/>
        <t:Anchor>
          <t:Comment id="514592213"/>
        </t:Anchor>
        <t:Assign userId="S::dbesley@worldbank.org::7abf0c20-c0a5-43a0-8d67-944c7f8a7a99" userProvider="AD" userName="Daniel James Besley"/>
      </t:Event>
      <t:Event id="{BE2545FD-9107-42A5-8A06-1B8CA30EA83A}" time="2025-05-08T19:07:18.211Z">
        <t:Attribution userId="S::zalsharkas@worldbank.org::a2d8f276-f4cd-42ac-8bd4-47427e9ab69c" userProvider="AD" userName="Zeina Alsharkas"/>
        <t:Anchor>
          <t:Comment id="514592213"/>
        </t:Anchor>
        <t:SetTitle title="@Daniel James Besley Could you please confirm Susanne's question?"/>
      </t:Event>
    </t:History>
  </t:Task>
  <t:Task id="{CB6E01EC-4841-49B0-9AA1-A40D13945D34}">
    <t:Anchor>
      <t:Comment id="325718531"/>
    </t:Anchor>
    <t:History>
      <t:Event id="{0647D7A6-56EF-4A05-9B2B-9D6CA2338BB6}" time="2026-07-02T12:36:36.649Z">
        <t:Attribution userId="S::msanchezmartin@worldbank.org::731f49e9-e6bd-40e4-857d-e785d981aa8c" userProvider="AD" userName="Miguel Eduardo Sanchez Martin"/>
        <t:Anchor>
          <t:Comment id="1457186558"/>
        </t:Anchor>
        <t:Create/>
      </t:Event>
      <t:Event id="{52753B74-94BF-4B6A-B4BE-9CA0511F030D}" time="2026-07-02T12:36:36.649Z">
        <t:Attribution userId="S::msanchezmartin@worldbank.org::731f49e9-e6bd-40e4-857d-e785d981aa8c" userProvider="AD" userName="Miguel Eduardo Sanchez Martin"/>
        <t:Anchor>
          <t:Comment id="1457186558"/>
        </t:Anchor>
        <t:Assign userId="S::yassaker@worldbank.org::8777a895-c92c-4d50-801f-af4158676d78" userProvider="AD" userName="Yousra Mohamed Ossama Mostafa Assaker"/>
      </t:Event>
      <t:Event id="{C4B1CBAF-D7BF-4CE4-B430-B66514C87EE1}" time="2026-07-02T12:36:36.649Z">
        <t:Attribution userId="S::msanchezmartin@worldbank.org::731f49e9-e6bd-40e4-857d-e785d981aa8c" userProvider="AD" userName="Miguel Eduardo Sanchez Martin"/>
        <t:Anchor>
          <t:Comment id="1457186558"/>
        </t:Anchor>
        <t:SetTitle title="@Yousra"/>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EFC1B-9311-4BF6-8510-3EEC0F020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20963</Words>
  <Characters>119490</Characters>
  <Application>Microsoft Office Word</Application>
  <DocSecurity>0</DocSecurity>
  <Lines>995</Lines>
  <Paragraphs>280</Paragraphs>
  <ScaleCrop>false</ScaleCrop>
  <Company>WBG</Company>
  <LinksUpToDate>false</LinksUpToDate>
  <CharactersWithSpaces>140173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Aldaz-Carroll</dc:creator>
  <cp:keywords/>
  <dc:description/>
  <cp:lastModifiedBy>Stephen John Stretton</cp:lastModifiedBy>
  <cp:revision>2</cp:revision>
  <cp:lastPrinted>2025-05-28T08:50:00Z</cp:lastPrinted>
  <dcterms:created xsi:type="dcterms:W3CDTF">2026-07-28T20:59:00Z</dcterms:created>
  <dcterms:modified xsi:type="dcterms:W3CDTF">2026-07-28T20:59:00Z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7d1e66d7,2b3cb4e2,7a25ee10</vt:lpwstr>
  </property>
  <property fmtid="{D5CDD505-2E9C-101B-9397-08002B2CF9AE}" pid="3" name="ClassificationContentMarkingFooterFontProps">
    <vt:lpwstr>#000000,10,Calibri</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2025-06-01T14:48:57Z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592fd657-0ef5-4301-8da8-21e29ecffc72</vt:lpwstr>
  </property>
  <property fmtid="{D5CDD505-2E9C-101B-9397-08002B2CF9AE}" pid="11" name="MSIP_Label_f1bf45b6-5649-4236-82a3-f45024cd282e_ContentBits">
    <vt:lpwstr>2</vt:lpwstr>
  </property>
  <property fmtid="{D5CDD505-2E9C-101B-9397-08002B2CF9AE}" pid="12" name="MSIP_Label_f1bf45b6-5649-4236-82a3-f45024cd282e_Tag">
    <vt:lpwstr>10, 3, 0, 2</vt:lpwstr>
  </property>
  <property fmtid="{D5CDD505-2E9C-101B-9397-08002B2CF9AE}" pid="13" name="GrammarlyDocumentId">
    <vt:lpwstr>e43e234f-e788-4e46-89a0-6baf0e484ac7</vt:lpwstr>
  </property>
</Properties>
</file>