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3061C" w14:textId="77777777" w:rsidR="00DD7A43" w:rsidRDefault="00DD7A43" w:rsidP="00DD7A43">
      <w:pPr>
        <w:pStyle w:val="Heading2"/>
      </w:pPr>
      <w:bookmarkStart w:id="0" w:name="_Toc234844393"/>
      <w:r>
        <w:t>Simulated policy outcomes for Egypt</w:t>
      </w:r>
      <w:bookmarkEnd w:id="0"/>
    </w:p>
    <w:p w14:paraId="040E4781" w14:textId="77777777" w:rsidR="00DD7A43" w:rsidRDefault="00DD7A43" w:rsidP="00DD7A43">
      <w:pPr>
        <w:rPr>
          <w:rFonts w:eastAsia="Segoe UI" w:cs="Segoe UI"/>
        </w:rPr>
      </w:pPr>
      <w:r w:rsidRPr="285A2F06">
        <w:rPr>
          <w:rFonts w:eastAsia="Segoe UI" w:cs="Segoe UI"/>
          <w:b/>
          <w:bCs/>
        </w:rPr>
        <w:t>Th</w:t>
      </w:r>
      <w:r>
        <w:rPr>
          <w:rFonts w:eastAsia="Segoe UI" w:cs="Segoe UI"/>
          <w:b/>
          <w:bCs/>
        </w:rPr>
        <w:t>is section presents the results from</w:t>
      </w:r>
      <w:r w:rsidRPr="285A2F06">
        <w:rPr>
          <w:rFonts w:eastAsia="Segoe UI" w:cs="Segoe UI"/>
          <w:b/>
          <w:bCs/>
        </w:rPr>
        <w:t xml:space="preserve"> </w:t>
      </w:r>
      <w:r>
        <w:rPr>
          <w:rFonts w:eastAsia="Segoe UI" w:cs="Segoe UI"/>
          <w:b/>
          <w:bCs/>
        </w:rPr>
        <w:t xml:space="preserve">simulating </w:t>
      </w:r>
      <w:r w:rsidRPr="285A2F06">
        <w:rPr>
          <w:rFonts w:eastAsia="Segoe UI" w:cs="Segoe UI"/>
          <w:b/>
          <w:bCs/>
        </w:rPr>
        <w:t xml:space="preserve">six </w:t>
      </w:r>
      <w:r>
        <w:rPr>
          <w:rFonts w:eastAsia="Segoe UI" w:cs="Segoe UI"/>
          <w:b/>
          <w:bCs/>
        </w:rPr>
        <w:t xml:space="preserve">stylized policy options for Egypt using the Climate Policy Assessment Tool (CPAT). </w:t>
      </w:r>
      <w:r w:rsidRPr="001C50A7">
        <w:rPr>
          <w:rFonts w:eastAsia="Segoe UI" w:cs="Segoe UI"/>
        </w:rPr>
        <w:t xml:space="preserve">The modeled scenarios </w:t>
      </w:r>
      <w:r>
        <w:rPr>
          <w:rFonts w:eastAsia="Segoe UI" w:cs="Segoe UI"/>
        </w:rPr>
        <w:t xml:space="preserve">are </w:t>
      </w:r>
      <w:r w:rsidRPr="001C50A7">
        <w:rPr>
          <w:rFonts w:eastAsia="Segoe UI" w:cs="Segoe UI"/>
        </w:rPr>
        <w:t>designed to be directly comparable.</w:t>
      </w:r>
      <w:r w:rsidRPr="285A2F06">
        <w:rPr>
          <w:rFonts w:eastAsia="Segoe UI" w:cs="Segoe UI"/>
          <w:b/>
          <w:bCs/>
        </w:rPr>
        <w:t xml:space="preserve"> </w:t>
      </w:r>
      <w:r w:rsidRPr="000B0270">
        <w:rPr>
          <w:rFonts w:eastAsia="Segoe UI" w:cs="Segoe UI"/>
        </w:rPr>
        <w:t xml:space="preserve">Scenarios </w:t>
      </w:r>
      <w:r>
        <w:rPr>
          <w:rFonts w:eastAsia="Segoe UI" w:cs="Segoe UI"/>
        </w:rPr>
        <w:t>have in common</w:t>
      </w:r>
      <w:r w:rsidRPr="000B0270">
        <w:rPr>
          <w:rFonts w:eastAsia="Segoe UI" w:cs="Segoe UI"/>
        </w:rPr>
        <w:t xml:space="preserve"> the 2030 carbon price fixed at $20 per ton of CO₂ so that differences in outcomes reflect policy design rather than price level.</w:t>
      </w:r>
      <w:r w:rsidRPr="285A2F06">
        <w:rPr>
          <w:rFonts w:eastAsia="Segoe UI" w:cs="Segoe UI"/>
          <w:b/>
          <w:bCs/>
        </w:rPr>
        <w:t xml:space="preserve"> </w:t>
      </w:r>
      <w:r w:rsidRPr="285A2F06">
        <w:rPr>
          <w:rFonts w:eastAsia="Segoe UI" w:cs="Segoe UI"/>
        </w:rPr>
        <w:t>What varies across the bundles is the point at which the price is applied, the share of national emissions it reaches, and the manner in which resulting revenues are recycled. The scenarios fall into three families, spanning a coverage range from 72 percent to 20 percent of national greenhouse gas emissions.</w:t>
      </w:r>
    </w:p>
    <w:p w14:paraId="32D9BF8F" w14:textId="77777777" w:rsidR="00DD7A43" w:rsidRDefault="00DD7A43" w:rsidP="00DD7A43">
      <w:pPr>
        <w:rPr>
          <w:rFonts w:eastAsia="Segoe UI" w:cs="Segoe UI"/>
        </w:rPr>
      </w:pPr>
    </w:p>
    <w:p w14:paraId="6696A46B" w14:textId="77777777" w:rsidR="00DD7A43" w:rsidRDefault="00DD7A43" w:rsidP="00DD7A43">
      <w:pPr>
        <w:rPr>
          <w:rFonts w:eastAsia="Segoe UI" w:cs="Segoe UI"/>
        </w:rPr>
      </w:pPr>
      <w:r>
        <w:rPr>
          <w:rFonts w:eastAsia="Segoe UI" w:cs="Segoe UI"/>
          <w:b/>
          <w:bCs/>
          <w:noProof/>
        </w:rPr>
        <mc:AlternateContent>
          <mc:Choice Requires="wps">
            <w:drawing>
              <wp:anchor distT="0" distB="0" distL="114300" distR="114300" simplePos="0" relativeHeight="251659264" behindDoc="0" locked="0" layoutInCell="1" allowOverlap="1" wp14:anchorId="76FA2F94" wp14:editId="77004AA1">
                <wp:simplePos x="0" y="0"/>
                <wp:positionH relativeFrom="margin">
                  <wp:posOffset>0</wp:posOffset>
                </wp:positionH>
                <wp:positionV relativeFrom="paragraph">
                  <wp:posOffset>302895</wp:posOffset>
                </wp:positionV>
                <wp:extent cx="5937250" cy="5195455"/>
                <wp:effectExtent l="0" t="0" r="25400" b="24765"/>
                <wp:wrapTopAndBottom/>
                <wp:docPr id="335547309" name="Text Box 6"/>
                <wp:cNvGraphicFramePr/>
                <a:graphic xmlns:a="http://schemas.openxmlformats.org/drawingml/2006/main">
                  <a:graphicData uri="http://schemas.microsoft.com/office/word/2010/wordprocessingShape">
                    <wps:wsp>
                      <wps:cNvSpPr txBox="1"/>
                      <wps:spPr>
                        <a:xfrm>
                          <a:off x="0" y="0"/>
                          <a:ext cx="5937250" cy="5195455"/>
                        </a:xfrm>
                        <a:prstGeom prst="rect">
                          <a:avLst/>
                        </a:prstGeom>
                        <a:solidFill>
                          <a:schemeClr val="lt1"/>
                        </a:solidFill>
                        <a:ln w="6350">
                          <a:solidFill>
                            <a:prstClr val="black"/>
                          </a:solidFill>
                        </a:ln>
                      </wps:spPr>
                      <wps:txbx>
                        <w:txbxContent>
                          <w:p w14:paraId="5EDC4F1A" w14:textId="77777777" w:rsidR="00DD7A43" w:rsidRPr="00810AB7" w:rsidRDefault="00DD7A43" w:rsidP="00DD7A43">
                            <w:pPr>
                              <w:pStyle w:val="Heading3"/>
                              <w:ind w:left="720" w:hanging="720"/>
                            </w:pPr>
                            <w:r>
                              <w:t>An overview of the Climate Policy Assessment Tool</w:t>
                            </w:r>
                          </w:p>
                          <w:p w14:paraId="44D3944D" w14:textId="77777777" w:rsidR="00DD7A43" w:rsidRDefault="00DD7A43" w:rsidP="00DD7A43">
                            <w:r w:rsidRPr="285A2F06">
                              <w:rPr>
                                <w:rFonts w:eastAsia="Segoe UI" w:cs="Segoe UI"/>
                                <w:b/>
                                <w:bCs/>
                              </w:rPr>
                              <w:t>The Climate Policy Assessment Tool (CPAT) is a spreadsheet-based model developed jointly by the IMF and World Bank for government use, covering around 190 countries.</w:t>
                            </w:r>
                            <w:r w:rsidRPr="285A2F06">
                              <w:rPr>
                                <w:rFonts w:eastAsia="Segoe UI" w:cs="Segoe UI"/>
                              </w:rPr>
                              <w:t xml:space="preserve"> It provides a rapid assessment of climate policy reforms—carbon taxes, fossil fuel subsidy reform, feebates, and revenue-use options—across energy and emissions, macro and fiscal outcomes, distributional effects, and co-benefits such as air pollution, health, and transport. It is a diagnostic and scenario-analysis tool: a quick first look that complements rather than replaces more detailed macroeconomic or techno-economic models.</w:t>
                            </w:r>
                          </w:p>
                          <w:p w14:paraId="03ED317B" w14:textId="77777777" w:rsidR="00DD7A43" w:rsidRDefault="00DD7A43" w:rsidP="00DD7A43">
                            <w:r w:rsidRPr="285A2F06">
                              <w:rPr>
                                <w:rFonts w:eastAsia="Segoe UI" w:cs="Segoe UI"/>
                                <w:b/>
                                <w:bCs/>
                              </w:rPr>
                              <w:t xml:space="preserve">CPAT lets analysts design, compare, and stress-test multiple policies quickly, across a wider set of countries and impact metrics than bespoke modeling usually allows. </w:t>
                            </w:r>
                            <w:r w:rsidRPr="285A2F06">
                              <w:rPr>
                                <w:rFonts w:eastAsia="Segoe UI" w:cs="Segoe UI"/>
                              </w:rPr>
                              <w:t xml:space="preserve">Its outputs feed directly into operational products—Country Climate Development Reports, Public Finance Reviews, technical assistance, and ad hoc client requests—with completed studies in 72-plus countries and distributional data in 74-plus. Beyond emissions, it surfaces the fiscal case for carbon pricing: a more efficient way to raise needed revenues through a less distortive tax system, alongside resources that can be recycled to protect poorer households from regressive effects. </w:t>
                            </w:r>
                            <w:hyperlink r:id="rId7">
                              <w:r w:rsidRPr="285A2F06">
                                <w:rPr>
                                  <w:rStyle w:val="Hyperlink"/>
                                </w:rPr>
                                <w:t>github</w:t>
                              </w:r>
                            </w:hyperlink>
                          </w:p>
                          <w:p w14:paraId="3D8FF78D" w14:textId="77777777" w:rsidR="00DD7A43" w:rsidRDefault="00DD7A43" w:rsidP="00DD7A43">
                            <w:r w:rsidRPr="285A2F06">
                              <w:rPr>
                                <w:rFonts w:eastAsia="Segoe UI" w:cs="Segoe UI"/>
                                <w:b/>
                                <w:bCs/>
                              </w:rPr>
                              <w:t>CPAT is built from interacting modules running off a central dashboard where the user sets policies and assumptions</w:t>
                            </w:r>
                            <w:r w:rsidRPr="285A2F06">
                              <w:rPr>
                                <w:rFonts w:eastAsia="Segoe UI" w:cs="Segoe UI"/>
                              </w:rPr>
                              <w:t>. A core mitigation module estimates prices, energy use, emissions, revenue, and GDP, with dedicated air pollution, transport, and distribution modules layered on top. Methodologically, it rests on price and GDP elasticities, a power-sector model, and GDP multipliers. Because the data and formulas are accessible within the tool and documented at length, every assumption behind a result stays visible—the discipline that lets users interpret the numbers responsibly</w:t>
                            </w:r>
                          </w:p>
                          <w:p w14:paraId="5718BB15" w14:textId="77777777" w:rsidR="00DD7A43" w:rsidRDefault="00DD7A43" w:rsidP="00DD7A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6FA2F94" id="_x0000_t202" coordsize="21600,21600" o:spt="202" path="m,l,21600r21600,l21600,xe">
                <v:stroke joinstyle="miter"/>
                <v:path gradientshapeok="t" o:connecttype="rect"/>
              </v:shapetype>
              <v:shape id="Text Box 6" o:spid="_x0000_s1026" type="#_x0000_t202" style="position:absolute;left:0;text-align:left;margin-left:0;margin-top:23.85pt;width:467.5pt;height:409.1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" fillcolor="white [3201]" strokeweight=".5pt">
                <v:textbox>
                  <w:txbxContent>
                    <w:p w14:paraId="5EDC4F1A" w14:textId="77777777" w:rsidR="00DD7A43" w:rsidRPr="00810AB7" w:rsidRDefault="00DD7A43" w:rsidP="00DD7A43">
                      <w:pPr>
                        <w:pStyle w:val="Heading3"/>
                        <w:ind w:left="720" w:hanging="720"/>
                      </w:pPr>
                      <w:r>
                        <w:t>An overview of the Climate Policy Assessment Tool</w:t>
                      </w:r>
                    </w:p>
                    <w:p w14:paraId="44D3944D" w14:textId="77777777" w:rsidR="00DD7A43" w:rsidRDefault="00DD7A43" w:rsidP="00DD7A43">
                      <w:r w:rsidRPr="285A2F06">
                        <w:rPr>
                          <w:rFonts w:eastAsia="Segoe UI" w:cs="Segoe UI"/>
                          <w:b/>
                          <w:bCs/>
                        </w:rPr>
                        <w:t>The Climate Policy Assessment Tool (CPAT) is a spreadsheet-based model developed jointly by the IMF and World Bank for government use, covering around 190 countries.</w:t>
                      </w:r>
                      <w:r w:rsidRPr="285A2F06">
                        <w:rPr>
                          <w:rFonts w:eastAsia="Segoe UI" w:cs="Segoe UI"/>
                        </w:rPr>
                        <w:t xml:space="preserve"> It provides a rapid assessment of climate policy reforms—carbon taxes, fossil fuel subsidy reform, feebates, and revenue-use options—across energy and emissions, macro and fiscal outcomes, distributional effects, and co-benefits such as air pollution, health, and transport. It is a diagnostic and scenario-analysis tool: a quick first look that complements rather than replaces more detailed macroeconomic or techno-economic models.</w:t>
                      </w:r>
                    </w:p>
                    <w:p w14:paraId="03ED317B" w14:textId="77777777" w:rsidR="00DD7A43" w:rsidRDefault="00DD7A43" w:rsidP="00DD7A43">
                      <w:r w:rsidRPr="285A2F06">
                        <w:rPr>
                          <w:rFonts w:eastAsia="Segoe UI" w:cs="Segoe UI"/>
                          <w:b/>
                          <w:bCs/>
                        </w:rPr>
                        <w:t xml:space="preserve">CPAT lets analysts design, compare, and stress-test multiple policies quickly, across a wider set of countries and impact metrics than bespoke modeling usually allows. </w:t>
                      </w:r>
                      <w:r w:rsidRPr="285A2F06">
                        <w:rPr>
                          <w:rFonts w:eastAsia="Segoe UI" w:cs="Segoe UI"/>
                        </w:rPr>
                        <w:t xml:space="preserve">Its outputs feed directly into operational products—Country Climate Development Reports, Public Finance Reviews, technical assistance, and ad hoc client requests—with completed studies in 72-plus countries and distributional data in 74-plus. Beyond emissions, it surfaces the fiscal case for carbon pricing: a more efficient way to raise needed revenues through a less distortive tax system, alongside resources that can be recycled to protect poorer households from regressive effects. </w:t>
                      </w:r>
                      <w:hyperlink r:id="rId8">
                        <w:r w:rsidRPr="285A2F06">
                          <w:rPr>
                            <w:rStyle w:val="Hyperlink"/>
                          </w:rPr>
                          <w:t>github</w:t>
                        </w:r>
                      </w:hyperlink>
                    </w:p>
                    <w:p w14:paraId="3D8FF78D" w14:textId="77777777" w:rsidR="00DD7A43" w:rsidRDefault="00DD7A43" w:rsidP="00DD7A43">
                      <w:r w:rsidRPr="285A2F06">
                        <w:rPr>
                          <w:rFonts w:eastAsia="Segoe UI" w:cs="Segoe UI"/>
                          <w:b/>
                          <w:bCs/>
                        </w:rPr>
                        <w:t>CPAT is built from interacting modules running off a central dashboard where the user sets policies and assumptions</w:t>
                      </w:r>
                      <w:r w:rsidRPr="285A2F06">
                        <w:rPr>
                          <w:rFonts w:eastAsia="Segoe UI" w:cs="Segoe UI"/>
                        </w:rPr>
                        <w:t>. A core mitigation module estimates prices, energy use, emissions, revenue, and GDP, with dedicated air pollution, transport, and distribution modules layered on top. Methodologically, it rests on price and GDP elasticities, a power-sector model, and GDP multipliers. Because the data and formulas are accessible within the tool and documented at length, every assumption behind a result stays visible—the discipline that lets users interpret the numbers responsibly</w:t>
                      </w:r>
                    </w:p>
                    <w:p w14:paraId="5718BB15" w14:textId="77777777" w:rsidR="00DD7A43" w:rsidRDefault="00DD7A43" w:rsidP="00DD7A43"/>
                  </w:txbxContent>
                </v:textbox>
                <w10:wrap type="topAndBottom" anchorx="margin"/>
              </v:shape>
            </w:pict>
          </mc:Fallback>
        </mc:AlternateContent>
      </w:r>
    </w:p>
    <w:p w14:paraId="3C2E840C" w14:textId="77777777" w:rsidR="00DD7A43" w:rsidRDefault="00DD7A43" w:rsidP="00DD7A43"/>
    <w:p w14:paraId="5F8C9EC4" w14:textId="77777777" w:rsidR="00DD7A43" w:rsidRDefault="00DD7A43" w:rsidP="00DD7A43">
      <w:pPr>
        <w:pStyle w:val="Heading3"/>
      </w:pPr>
      <w:r>
        <w:lastRenderedPageBreak/>
        <w:t>Modeled p</w:t>
      </w:r>
      <w:r w:rsidRPr="00B773DA">
        <w:t xml:space="preserve">olicy </w:t>
      </w:r>
      <w:r>
        <w:t>scenarios</w:t>
      </w:r>
    </w:p>
    <w:p w14:paraId="30B3C050" w14:textId="77777777" w:rsidR="00DD7A43" w:rsidRDefault="00DD7A43" w:rsidP="00DD7A43">
      <w:r w:rsidRPr="285A2F06">
        <w:rPr>
          <w:rFonts w:eastAsia="Segoe UI" w:cs="Segoe UI"/>
          <w:b/>
          <w:bCs/>
        </w:rPr>
        <w:t xml:space="preserve">The first scenario (1A) represents the most comprehensive option, combining an upstream carbon levy on all fossil fuel consumption with a downstream charge on process emissions in CBAM sectors. </w:t>
      </w:r>
      <w:r w:rsidRPr="285A2F06">
        <w:rPr>
          <w:rFonts w:eastAsia="Segoe UI" w:cs="Segoe UI"/>
        </w:rPr>
        <w:t>Modeled in CPAT as energy-related CO₂ across all sectors plus CBAM process emissions, it achieves the broadest coverage in the matrix at 72 percent of national greenhouse gases. The price is applied at</w:t>
      </w:r>
      <w:r>
        <w:rPr>
          <w:rFonts w:eastAsia="Segoe UI" w:cs="Segoe UI"/>
        </w:rPr>
        <w:t xml:space="preserve"> a </w:t>
      </w:r>
      <w:r w:rsidRPr="285A2F06">
        <w:rPr>
          <w:rFonts w:eastAsia="Segoe UI" w:cs="Segoe UI"/>
        </w:rPr>
        <w:t xml:space="preserve">flat </w:t>
      </w:r>
      <w:commentRangeStart w:id="1"/>
      <w:r w:rsidRPr="285A2F06">
        <w:rPr>
          <w:rFonts w:eastAsia="Segoe UI" w:cs="Segoe UI"/>
        </w:rPr>
        <w:t>$20</w:t>
      </w:r>
      <w:r>
        <w:rPr>
          <w:rFonts w:eastAsia="Segoe UI" w:cs="Segoe UI"/>
        </w:rPr>
        <w:t>/tCO2e</w:t>
      </w:r>
      <w:r w:rsidRPr="285A2F06">
        <w:rPr>
          <w:rFonts w:eastAsia="Segoe UI" w:cs="Segoe UI"/>
        </w:rPr>
        <w:t xml:space="preserve"> </w:t>
      </w:r>
      <w:commentRangeEnd w:id="1"/>
      <w:r>
        <w:rPr>
          <w:rStyle w:val="CommentReference"/>
          <w:rFonts w:eastAsia="Segoe UI" w:cs="Segoe UI"/>
          <w:sz w:val="22"/>
          <w:szCs w:val="22"/>
        </w:rPr>
        <w:commentReference w:id="1"/>
      </w:r>
      <w:r>
        <w:rPr>
          <w:rFonts w:eastAsia="Segoe UI" w:cs="Segoe UI"/>
        </w:rPr>
        <w:t xml:space="preserve">levy </w:t>
      </w:r>
      <w:r w:rsidRPr="285A2F06">
        <w:rPr>
          <w:rFonts w:eastAsia="Segoe UI" w:cs="Segoe UI"/>
        </w:rPr>
        <w:t>from 2028, supplemented by a separate $20</w:t>
      </w:r>
      <w:r>
        <w:rPr>
          <w:rFonts w:eastAsia="Segoe UI" w:cs="Segoe UI"/>
        </w:rPr>
        <w:t>/tCO2e</w:t>
      </w:r>
      <w:r w:rsidRPr="285A2F06">
        <w:rPr>
          <w:rFonts w:eastAsia="Segoe UI" w:cs="Segoe UI"/>
        </w:rPr>
        <w:t xml:space="preserve"> fee on CBAM-sector process emissions, with revenues recycled to (non-green) public investment.</w:t>
      </w:r>
    </w:p>
    <w:p w14:paraId="7AE5813E" w14:textId="77777777" w:rsidR="00DD7A43" w:rsidRDefault="00DD7A43" w:rsidP="00DD7A43">
      <w:r w:rsidRPr="285A2F06">
        <w:rPr>
          <w:rFonts w:eastAsia="Segoe UI" w:cs="Segoe UI"/>
          <w:b/>
          <w:bCs/>
        </w:rPr>
        <w:t>The second family (2A and 2B)</w:t>
      </w:r>
      <w:r>
        <w:rPr>
          <w:rFonts w:eastAsia="Segoe UI" w:cs="Segoe UI"/>
          <w:b/>
          <w:bCs/>
        </w:rPr>
        <w:t xml:space="preserve"> model upstream carbon pricing alone,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Both apply an upstream carbon levy on all fossil fuel consumption, modeled as a flat $20</w:t>
      </w:r>
      <w:r>
        <w:rPr>
          <w:rFonts w:eastAsia="Segoe UI" w:cs="Segoe UI"/>
        </w:rPr>
        <w:t>/tCO2e price</w:t>
      </w:r>
      <w:r w:rsidRPr="285A2F06">
        <w:rPr>
          <w:rFonts w:eastAsia="Segoe UI" w:cs="Segoe UI"/>
        </w:rPr>
        <w:t xml:space="preserve"> from 2028, </w:t>
      </w:r>
      <w:r>
        <w:rPr>
          <w:rFonts w:eastAsia="Segoe UI" w:cs="Segoe UI"/>
        </w:rPr>
        <w:t xml:space="preserve">levied on </w:t>
      </w:r>
      <w:r w:rsidRPr="285A2F06">
        <w:rPr>
          <w:rFonts w:eastAsia="Segoe UI" w:cs="Segoe UI"/>
        </w:rPr>
        <w:t>energy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65 percent of national greenhouse gases.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allowing a clean comparison of the distributional and macroeconomic consequences of the recycling choice.</w:t>
      </w:r>
    </w:p>
    <w:p w14:paraId="519C32F7" w14:textId="77777777" w:rsidR="00DD7A43" w:rsidRDefault="00DD7A43" w:rsidP="00DD7A43">
      <w:r w:rsidRPr="285A2F06">
        <w:rPr>
          <w:rFonts w:eastAsia="Segoe UI" w:cs="Segoe UI"/>
          <w:b/>
          <w:bCs/>
        </w:rPr>
        <w:t xml:space="preserve">The third family (3A, 3B, and 3C) examines </w:t>
      </w:r>
      <w:r>
        <w:rPr>
          <w:rFonts w:eastAsia="Segoe UI" w:cs="Segoe UI"/>
          <w:b/>
          <w:bCs/>
        </w:rPr>
        <w:t xml:space="preserve">downstream </w:t>
      </w:r>
      <w:r w:rsidRPr="285A2F06">
        <w:rPr>
          <w:rFonts w:eastAsia="Segoe UI" w:cs="Segoe UI"/>
          <w:b/>
          <w:bCs/>
        </w:rPr>
        <w:t>pricing on heavy industry, the narrowest option</w:t>
      </w:r>
      <w:r>
        <w:rPr>
          <w:rFonts w:eastAsia="Segoe UI" w:cs="Segoe UI"/>
          <w:b/>
          <w:bCs/>
        </w:rPr>
        <w:t xml:space="preserve">, covering roughly </w:t>
      </w:r>
      <w:r w:rsidRPr="285A2F06">
        <w:rPr>
          <w:rFonts w:eastAsia="Segoe UI" w:cs="Segoe UI"/>
          <w:b/>
          <w:bCs/>
        </w:rPr>
        <w:t xml:space="preserve">20 percent of national greenhouse gases. </w:t>
      </w:r>
      <w:r w:rsidRPr="285A2F06">
        <w:rPr>
          <w:rFonts w:eastAsia="Segoe UI" w:cs="Segoe UI"/>
        </w:rPr>
        <w:t xml:space="preserve">These scenarios are modeled as </w:t>
      </w:r>
      <w:r>
        <w:rPr>
          <w:rFonts w:eastAsia="Segoe UI" w:cs="Segoe UI"/>
        </w:rPr>
        <w:t xml:space="preserve">applying to </w:t>
      </w:r>
      <w:r w:rsidRPr="285A2F06">
        <w:rPr>
          <w:rFonts w:eastAsia="Segoe UI" w:cs="Segoe UI"/>
        </w:rPr>
        <w:t>energy CO₂ for industry plus all process emissions in CBAM sectors, with the price phased in from $5 to $50 by 2034 (reaching $20 in 2030) and applied to industry only. The three variants are distinguished by how value is returned: 3A recycles revenues to households</w:t>
      </w:r>
      <w:r>
        <w:rPr>
          <w:rFonts w:eastAsia="Segoe UI" w:cs="Segoe UI"/>
        </w:rPr>
        <w:t xml:space="preserve"> (like 2B, but with fewer revenues to return)</w:t>
      </w:r>
      <w:r w:rsidRPr="285A2F06">
        <w:rPr>
          <w:rFonts w:eastAsia="Segoe UI" w:cs="Segoe UI"/>
        </w:rPr>
        <w:t xml:space="preserve">; 3B pairs the price with free allocation for CBAM producers on an intensity benchmark per unit of output, returning value to firms through output support; and 3C provides a rebate for industrial abatement, channeling value toward </w:t>
      </w:r>
      <w:r>
        <w:rPr>
          <w:rFonts w:eastAsia="Segoe UI" w:cs="Segoe UI"/>
        </w:rPr>
        <w:t xml:space="preserve">additional </w:t>
      </w:r>
      <w:r w:rsidRPr="285A2F06">
        <w:rPr>
          <w:rFonts w:eastAsia="Segoe UI" w:cs="Segoe UI"/>
        </w:rPr>
        <w:t>emissions reductions at the firm level.</w:t>
      </w:r>
    </w:p>
    <w:p w14:paraId="705C08EA" w14:textId="77777777" w:rsidR="00DD7A43" w:rsidRDefault="00DD7A43" w:rsidP="00DD7A43">
      <w:r w:rsidRPr="285A2F06">
        <w:rPr>
          <w:rFonts w:eastAsia="Segoe UI" w:cs="Segoe UI"/>
        </w:rPr>
        <w:t>Taken together, the matrix is structured along three axes that allow each policy lever to be assessed independently: the point of imposition (upstream versus downstream), the breadth of emissions coverage (declining from 72 to 65 to 20 percent), and the revenue recycling option (public investment, households, or firms). Because the headline carbon price is held constant across all six bundles</w:t>
      </w:r>
      <w:r>
        <w:rPr>
          <w:rFonts w:eastAsia="Segoe UI" w:cs="Segoe UI"/>
        </w:rPr>
        <w:t xml:space="preserve"> in the reporting year of 2030</w:t>
      </w:r>
      <w:r w:rsidRPr="285A2F06">
        <w:rPr>
          <w:rFonts w:eastAsia="Segoe UI" w:cs="Segoe UI"/>
        </w:rPr>
        <w:t>, differences in modeled outcomes can be attributed to these design choices rather than to the stringency of the price itself.</w:t>
      </w:r>
    </w:p>
    <w:p w14:paraId="15CEFB63" w14:textId="77777777" w:rsidR="00DD7A43" w:rsidRDefault="00DD7A43" w:rsidP="00DD7A43">
      <w:pPr>
        <w:rPr>
          <w:rFonts w:eastAsia="Segoe UI" w:cs="Segoe UI"/>
        </w:rPr>
      </w:pPr>
    </w:p>
    <w:p w14:paraId="408EBA8A" w14:textId="77777777" w:rsidR="00DD7A43" w:rsidRDefault="00DD7A43" w:rsidP="00DD7A43">
      <w:pPr>
        <w:spacing w:after="0" w:line="257" w:lineRule="auto"/>
        <w:rPr>
          <w:rFonts w:eastAsia="Segoe UI" w:cs="Segoe UI"/>
        </w:rPr>
      </w:pPr>
    </w:p>
    <w:tbl>
      <w:tblPr>
        <w:tblW w:w="0" w:type="auto"/>
        <w:tblLook w:val="0600" w:firstRow="0" w:lastRow="0" w:firstColumn="0" w:lastColumn="0" w:noHBand="1" w:noVBand="1"/>
      </w:tblPr>
      <w:tblGrid>
        <w:gridCol w:w="531"/>
        <w:gridCol w:w="3134"/>
        <w:gridCol w:w="2069"/>
        <w:gridCol w:w="1639"/>
        <w:gridCol w:w="884"/>
        <w:gridCol w:w="1093"/>
      </w:tblGrid>
      <w:tr w:rsidR="00DD7A43" w14:paraId="37C71786" w14:textId="77777777" w:rsidTr="00566287">
        <w:trPr>
          <w:trHeight w:val="1260"/>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E97151A" w14:textId="77777777" w:rsidR="00DD7A43" w:rsidRDefault="00DD7A43" w:rsidP="00566287">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Code</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5115F89" w14:textId="77777777" w:rsidR="00DD7A43" w:rsidRDefault="00DD7A43" w:rsidP="00566287">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68AE37C"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Implementation in CPAT / Adjustment to CPAT Scenario</w:t>
            </w:r>
          </w:p>
        </w:tc>
        <w:tc>
          <w:tcPr>
            <w:tcW w:w="1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945E848"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Scenario assumptions ($20 in 2030 for all)</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69ED02FF"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Carbon price in 2030</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498DF9B"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Revenue Recycling Option</w:t>
            </w:r>
          </w:p>
        </w:tc>
      </w:tr>
      <w:tr w:rsidR="00DD7A43" w14:paraId="0AFCBCC0" w14:textId="77777777" w:rsidTr="00566287">
        <w:trPr>
          <w:trHeight w:val="885"/>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BDE3DD4"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lastRenderedPageBreak/>
              <w:t>1A</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F6D92A"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Comprehensive carbon levy:</w:t>
            </w:r>
            <w:r w:rsidRPr="285A2F06">
              <w:rPr>
                <w:rFonts w:ascii="Aptos" w:eastAsia="Aptos" w:hAnsi="Aptos" w:cs="Aptos"/>
                <w:color w:val="000000" w:themeColor="text1"/>
                <w:sz w:val="20"/>
                <w:szCs w:val="20"/>
              </w:rPr>
              <w:t xml:space="preserve"> upstream carbon price on all  fossil fuel consumption</w:t>
            </w:r>
            <w:r w:rsidRPr="285A2F06">
              <w:rPr>
                <w:rFonts w:ascii="Aptos" w:eastAsia="Aptos" w:hAnsi="Aptos" w:cs="Aptos"/>
                <w:b/>
                <w:bCs/>
                <w:color w:val="000000" w:themeColor="text1"/>
                <w:sz w:val="20"/>
                <w:szCs w:val="20"/>
              </w:rPr>
              <w:t xml:space="preserve"> </w:t>
            </w:r>
            <w:r w:rsidRPr="285A2F06">
              <w:rPr>
                <w:rFonts w:ascii="Aptos" w:eastAsia="Aptos" w:hAnsi="Aptos" w:cs="Aptos"/>
                <w:color w:val="000000" w:themeColor="text1"/>
                <w:sz w:val="20"/>
                <w:szCs w:val="20"/>
              </w:rPr>
              <w:t xml:space="preserve">+ downstream emissions in CBAM sectors only </w:t>
            </w:r>
            <w:r w:rsidRPr="285A2F06">
              <w:rPr>
                <w:rFonts w:ascii="Aptos" w:eastAsia="Aptos" w:hAnsi="Aptos" w:cs="Aptos"/>
                <w:b/>
                <w:bCs/>
                <w:color w:val="000000" w:themeColor="text1"/>
                <w:sz w:val="20"/>
                <w:szCs w:val="20"/>
              </w:rPr>
              <w:t>+ recycling to (non-green) public investment</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F5F081" w14:textId="77777777" w:rsidR="00DD7A43" w:rsidRDefault="00DD7A43" w:rsidP="00566287">
            <w:pPr>
              <w:spacing w:after="0"/>
              <w:jc w:val="left"/>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Energy CO2 </w:t>
            </w:r>
            <w:r>
              <w:rPr>
                <w:rFonts w:ascii="Aptos" w:eastAsia="Aptos" w:hAnsi="Aptos" w:cs="Aptos"/>
                <w:color w:val="000000" w:themeColor="text1"/>
                <w:sz w:val="20"/>
                <w:szCs w:val="20"/>
              </w:rPr>
              <w:t>in</w:t>
            </w:r>
            <w:r w:rsidRPr="285A2F06">
              <w:rPr>
                <w:rFonts w:ascii="Aptos" w:eastAsia="Aptos" w:hAnsi="Aptos" w:cs="Aptos"/>
                <w:color w:val="000000" w:themeColor="text1"/>
                <w:sz w:val="20"/>
                <w:szCs w:val="20"/>
              </w:rPr>
              <w:t xml:space="preserve"> all sectors + CBAM process emissions ONLY (72% national GHGs covered)</w:t>
            </w:r>
          </w:p>
        </w:tc>
        <w:tc>
          <w:tcPr>
            <w:tcW w:w="16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18734E"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Overall; $20 flat from 2028 + separate $20 fee in process emissions of CBAM sectors</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0C6D7F"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$20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D18C36"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Public investment</w:t>
            </w:r>
          </w:p>
        </w:tc>
      </w:tr>
      <w:tr w:rsidR="00DD7A43" w14:paraId="6C3BAF3B" w14:textId="77777777" w:rsidTr="00566287">
        <w:trPr>
          <w:trHeight w:val="720"/>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E1D005"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2A</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F6011F"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(non-green) public investment</w:t>
            </w:r>
          </w:p>
        </w:tc>
        <w:tc>
          <w:tcPr>
            <w:tcW w:w="211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95C9AC" w14:textId="77777777" w:rsidR="00DD7A43" w:rsidRDefault="00DD7A43" w:rsidP="00566287">
            <w:pPr>
              <w:spacing w:after="0"/>
              <w:jc w:val="left"/>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Energy CO2 </w:t>
            </w:r>
            <w:r>
              <w:rPr>
                <w:rFonts w:ascii="Aptos" w:eastAsia="Aptos" w:hAnsi="Aptos" w:cs="Aptos"/>
                <w:color w:val="000000" w:themeColor="text1"/>
                <w:sz w:val="20"/>
                <w:szCs w:val="20"/>
              </w:rPr>
              <w:t>in</w:t>
            </w:r>
            <w:r w:rsidRPr="285A2F06">
              <w:rPr>
                <w:rFonts w:ascii="Aptos" w:eastAsia="Aptos" w:hAnsi="Aptos" w:cs="Aptos"/>
                <w:color w:val="000000" w:themeColor="text1"/>
                <w:sz w:val="20"/>
                <w:szCs w:val="20"/>
              </w:rPr>
              <w:t xml:space="preserve"> all sectors</w:t>
            </w:r>
          </w:p>
          <w:p w14:paraId="6A6682EE" w14:textId="77777777" w:rsidR="00DD7A43" w:rsidRDefault="00DD7A43" w:rsidP="00566287">
            <w:pPr>
              <w:spacing w:after="0"/>
              <w:jc w:val="left"/>
              <w:rPr>
                <w:rFonts w:ascii="Aptos" w:eastAsia="Aptos" w:hAnsi="Aptos" w:cs="Aptos"/>
                <w:color w:val="000000" w:themeColor="text1"/>
                <w:sz w:val="20"/>
                <w:szCs w:val="20"/>
              </w:rPr>
            </w:pPr>
            <w:r w:rsidRPr="285A2F06">
              <w:rPr>
                <w:rFonts w:ascii="Aptos" w:eastAsia="Aptos" w:hAnsi="Aptos" w:cs="Aptos"/>
                <w:color w:val="000000" w:themeColor="text1"/>
                <w:sz w:val="20"/>
                <w:szCs w:val="20"/>
              </w:rPr>
              <w:t>(65% national GHGs covered)</w:t>
            </w:r>
          </w:p>
        </w:tc>
        <w:tc>
          <w:tcPr>
            <w:tcW w:w="166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B9CE2F"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$20 flat from 2028</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27D1B0"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$20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A44D70"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Public investment</w:t>
            </w:r>
          </w:p>
        </w:tc>
      </w:tr>
      <w:tr w:rsidR="00DD7A43" w14:paraId="5619EC0D" w14:textId="77777777" w:rsidTr="00566287">
        <w:trPr>
          <w:trHeight w:val="375"/>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BE59B4"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2B</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841E30"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households</w:t>
            </w:r>
          </w:p>
        </w:tc>
        <w:tc>
          <w:tcPr>
            <w:tcW w:w="2110" w:type="dxa"/>
            <w:vMerge/>
            <w:tcBorders>
              <w:left w:val="single" w:sz="0" w:space="0" w:color="000000" w:themeColor="text1"/>
              <w:bottom w:val="single" w:sz="0" w:space="0" w:color="000000" w:themeColor="text1"/>
              <w:right w:val="single" w:sz="0" w:space="0" w:color="000000" w:themeColor="text1"/>
            </w:tcBorders>
            <w:vAlign w:val="center"/>
          </w:tcPr>
          <w:p w14:paraId="6C87026F" w14:textId="77777777" w:rsidR="00DD7A43" w:rsidRDefault="00DD7A43" w:rsidP="00566287"/>
        </w:tc>
        <w:tc>
          <w:tcPr>
            <w:tcW w:w="1669" w:type="dxa"/>
            <w:vMerge/>
            <w:tcBorders>
              <w:left w:val="single" w:sz="0" w:space="0" w:color="000000" w:themeColor="text1"/>
              <w:bottom w:val="single" w:sz="0" w:space="0" w:color="000000" w:themeColor="text1"/>
              <w:right w:val="single" w:sz="0" w:space="0" w:color="000000" w:themeColor="text1"/>
            </w:tcBorders>
            <w:vAlign w:val="center"/>
          </w:tcPr>
          <w:p w14:paraId="127544DA" w14:textId="77777777" w:rsidR="00DD7A43" w:rsidRDefault="00DD7A43" w:rsidP="00566287"/>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DF21A8"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$20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1B084B"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Households</w:t>
            </w:r>
          </w:p>
        </w:tc>
      </w:tr>
      <w:tr w:rsidR="00DD7A43" w14:paraId="0DD4F227" w14:textId="77777777" w:rsidTr="00566287">
        <w:trPr>
          <w:trHeight w:val="300"/>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81A183"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3A</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1E02EA"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Downstream carbon price</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 xml:space="preserve">on heavy industry + </w:t>
            </w:r>
            <w:r w:rsidRPr="285A2F06">
              <w:rPr>
                <w:rFonts w:ascii="Aptos" w:eastAsia="Aptos" w:hAnsi="Aptos" w:cs="Aptos"/>
                <w:b/>
                <w:bCs/>
                <w:color w:val="000000" w:themeColor="text1"/>
                <w:sz w:val="20"/>
                <w:szCs w:val="20"/>
              </w:rPr>
              <w:t>recycling to households</w:t>
            </w:r>
          </w:p>
        </w:tc>
        <w:tc>
          <w:tcPr>
            <w:tcW w:w="211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62D387" w14:textId="77777777" w:rsidR="00DD7A43" w:rsidRDefault="00DD7A43" w:rsidP="00566287">
            <w:pPr>
              <w:spacing w:after="0"/>
              <w:jc w:val="left"/>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Energy CO2 only for ALL industry plus all process emissions </w:t>
            </w:r>
            <w:r>
              <w:rPr>
                <w:rFonts w:ascii="Aptos" w:eastAsia="Aptos" w:hAnsi="Aptos" w:cs="Aptos"/>
                <w:color w:val="000000" w:themeColor="text1"/>
                <w:sz w:val="20"/>
                <w:szCs w:val="20"/>
              </w:rPr>
              <w:t xml:space="preserve">in </w:t>
            </w:r>
            <w:r w:rsidRPr="285A2F06">
              <w:rPr>
                <w:rFonts w:ascii="Aptos" w:eastAsia="Aptos" w:hAnsi="Aptos" w:cs="Aptos"/>
                <w:color w:val="000000" w:themeColor="text1"/>
                <w:sz w:val="20"/>
                <w:szCs w:val="20"/>
              </w:rPr>
              <w:t xml:space="preserve">CBAM sectors </w:t>
            </w:r>
            <w:r>
              <w:br/>
            </w:r>
            <w:r w:rsidRPr="285A2F06">
              <w:rPr>
                <w:rFonts w:ascii="Aptos" w:eastAsia="Aptos" w:hAnsi="Aptos" w:cs="Aptos"/>
                <w:color w:val="000000" w:themeColor="text1"/>
                <w:sz w:val="20"/>
                <w:szCs w:val="20"/>
              </w:rPr>
              <w:t>(20% national GHGs covered)</w:t>
            </w:r>
          </w:p>
        </w:tc>
        <w:tc>
          <w:tcPr>
            <w:tcW w:w="166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59BA15"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Phased-in price from $5 to $50 in 2034 ($20 in 2030). Industry only</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44A1E0"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$20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02FDF3"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Households</w:t>
            </w:r>
          </w:p>
        </w:tc>
      </w:tr>
      <w:tr w:rsidR="00DD7A43" w14:paraId="122C2C4F" w14:textId="77777777" w:rsidTr="00566287">
        <w:trPr>
          <w:trHeight w:val="540"/>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5A6F5A"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3B</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6EA54D" w14:textId="77777777" w:rsidR="00DD7A43" w:rsidRDefault="00DD7A43" w:rsidP="00566287">
            <w:pPr>
              <w:spacing w:after="0"/>
              <w:jc w:val="left"/>
              <w:rPr>
                <w:rFonts w:ascii="Aptos" w:eastAsia="Aptos" w:hAnsi="Aptos" w:cs="Aptos"/>
                <w:color w:val="000000" w:themeColor="text1"/>
                <w:sz w:val="20"/>
                <w:szCs w:val="20"/>
              </w:rPr>
            </w:pPr>
            <w:r w:rsidRPr="285A2F06">
              <w:rPr>
                <w:rFonts w:ascii="Aptos" w:eastAsia="Aptos" w:hAnsi="Aptos" w:cs="Aptos"/>
                <w:b/>
                <w:bCs/>
                <w:color w:val="000000" w:themeColor="text1"/>
                <w:sz w:val="20"/>
                <w:szCs w:val="20"/>
              </w:rPr>
              <w:t xml:space="preserve">Downstream carbon price </w:t>
            </w:r>
            <w:r w:rsidRPr="285A2F06">
              <w:rPr>
                <w:rFonts w:ascii="Aptos" w:eastAsia="Aptos" w:hAnsi="Aptos" w:cs="Aptos"/>
                <w:color w:val="000000" w:themeColor="text1"/>
                <w:sz w:val="20"/>
                <w:szCs w:val="20"/>
              </w:rPr>
              <w:t xml:space="preserve">on heavy industry + </w:t>
            </w:r>
            <w:r w:rsidRPr="285A2F06">
              <w:rPr>
                <w:rFonts w:ascii="Aptos" w:eastAsia="Aptos" w:hAnsi="Aptos" w:cs="Aptos"/>
                <w:b/>
                <w:bCs/>
                <w:color w:val="000000" w:themeColor="text1"/>
                <w:sz w:val="20"/>
                <w:szCs w:val="20"/>
              </w:rPr>
              <w:t xml:space="preserve">free allocation </w:t>
            </w:r>
            <w:r w:rsidRPr="285A2F06">
              <w:rPr>
                <w:rFonts w:ascii="Aptos" w:eastAsia="Aptos" w:hAnsi="Aptos" w:cs="Aptos"/>
                <w:color w:val="000000" w:themeColor="text1"/>
                <w:sz w:val="20"/>
                <w:szCs w:val="20"/>
              </w:rPr>
              <w:t xml:space="preserve">for CBAM producers </w:t>
            </w:r>
            <w:r>
              <w:br/>
            </w:r>
            <w:r w:rsidRPr="285A2F06">
              <w:rPr>
                <w:rFonts w:ascii="Aptos" w:eastAsia="Aptos" w:hAnsi="Aptos" w:cs="Aptos"/>
                <w:color w:val="000000" w:themeColor="text1"/>
                <w:sz w:val="20"/>
                <w:szCs w:val="20"/>
              </w:rPr>
              <w:t xml:space="preserve">(intensity benchmark per unit of output) </w:t>
            </w:r>
          </w:p>
        </w:tc>
        <w:tc>
          <w:tcPr>
            <w:tcW w:w="2110" w:type="dxa"/>
            <w:vMerge/>
            <w:tcBorders>
              <w:left w:val="single" w:sz="0" w:space="0" w:color="000000" w:themeColor="text1"/>
              <w:bottom w:val="single" w:sz="0" w:space="0" w:color="000000" w:themeColor="text1"/>
              <w:right w:val="single" w:sz="0" w:space="0" w:color="000000" w:themeColor="text1"/>
            </w:tcBorders>
            <w:vAlign w:val="center"/>
          </w:tcPr>
          <w:p w14:paraId="1CC855CA" w14:textId="77777777" w:rsidR="00DD7A43" w:rsidRDefault="00DD7A43" w:rsidP="00566287"/>
        </w:tc>
        <w:tc>
          <w:tcPr>
            <w:tcW w:w="1669" w:type="dxa"/>
            <w:vMerge/>
            <w:tcBorders>
              <w:left w:val="single" w:sz="0" w:space="0" w:color="000000" w:themeColor="text1"/>
              <w:bottom w:val="single" w:sz="0" w:space="0" w:color="000000" w:themeColor="text1"/>
              <w:right w:val="single" w:sz="0" w:space="0" w:color="000000" w:themeColor="text1"/>
            </w:tcBorders>
            <w:vAlign w:val="center"/>
          </w:tcPr>
          <w:p w14:paraId="4C8FDF8D" w14:textId="77777777" w:rsidR="00DD7A43" w:rsidRDefault="00DD7A43" w:rsidP="00566287"/>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8014C4"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$20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A9764D"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Firms (output)</w:t>
            </w:r>
          </w:p>
        </w:tc>
      </w:tr>
      <w:tr w:rsidR="00DD7A43" w14:paraId="1150C669" w14:textId="77777777" w:rsidTr="00566287">
        <w:trPr>
          <w:trHeight w:val="660"/>
        </w:trPr>
        <w:tc>
          <w:tcPr>
            <w:tcW w:w="53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AC9F5A"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3C</w:t>
            </w:r>
          </w:p>
        </w:tc>
        <w:tc>
          <w:tcPr>
            <w:tcW w:w="32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6A1291"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 xml:space="preserve">Downstream carbon price on heavy industry </w:t>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rebate for industrial abatement</w:t>
            </w:r>
          </w:p>
        </w:tc>
        <w:tc>
          <w:tcPr>
            <w:tcW w:w="211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10571A79" w14:textId="77777777" w:rsidR="00DD7A43" w:rsidRDefault="00DD7A43" w:rsidP="00566287"/>
        </w:tc>
        <w:tc>
          <w:tcPr>
            <w:tcW w:w="1669"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789F469B" w14:textId="77777777" w:rsidR="00DD7A43" w:rsidRDefault="00DD7A43" w:rsidP="00566287"/>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64A06C"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 xml:space="preserve">$20 </w:t>
            </w:r>
          </w:p>
        </w:tc>
        <w:tc>
          <w:tcPr>
            <w:tcW w:w="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6B094D"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Firms (abatement)</w:t>
            </w:r>
          </w:p>
        </w:tc>
      </w:tr>
    </w:tbl>
    <w:p w14:paraId="62D87226" w14:textId="77777777" w:rsidR="00DD7A43" w:rsidRDefault="00DD7A43" w:rsidP="00DD7A43">
      <w:pPr>
        <w:pStyle w:val="Heading3"/>
      </w:pPr>
      <w:r>
        <w:t>Revenues</w:t>
      </w:r>
    </w:p>
    <w:p w14:paraId="24A00B00" w14:textId="77777777" w:rsidR="00DD7A43" w:rsidRDefault="00DD7A43" w:rsidP="00DD7A43">
      <w:r>
        <w:rPr>
          <w:b/>
          <w:bCs/>
        </w:rPr>
        <w:t>Importantly, c</w:t>
      </w:r>
      <w:r w:rsidRPr="003A187A">
        <w:rPr>
          <w:b/>
          <w:bCs/>
        </w:rPr>
        <w:t>arbon emissions represent a significantly underutilized tax base that could boost public revenues.</w:t>
      </w:r>
      <w:r>
        <w:t xml:space="preserve"> </w:t>
      </w:r>
      <w:r w:rsidRPr="00032573">
        <w:t xml:space="preserve">Unlike traditional tax bases, such as labor or corporate income, taxing pollution </w:t>
      </w:r>
      <w:r>
        <w:t xml:space="preserve">can enhance economic efficiency by correcting market failures, internalizing negative externalities associated with air pollution, rather than discouraging productive activities. </w:t>
      </w:r>
      <w:r w:rsidRPr="285A2F06">
        <w:rPr>
          <w:rFonts w:eastAsia="Segoe UI" w:cs="Segoe UI"/>
        </w:rPr>
        <w:t>By convention, revenues recycled macroeconomically</w:t>
      </w:r>
      <w:r>
        <w:rPr>
          <w:rFonts w:eastAsia="Segoe UI" w:cs="Segoe UI"/>
        </w:rPr>
        <w:t xml:space="preserve"> </w:t>
      </w:r>
      <w:r w:rsidRPr="285A2F06">
        <w:rPr>
          <w:rFonts w:eastAsia="Segoe UI" w:cs="Segoe UI"/>
        </w:rPr>
        <w:t>—for example to public investment or to households—are counted as carbon revenues, whereas value returned to firms through free allocation or industrial rebates is not, since it offsets the price at source rather than passing through the budget. On this basis, the comprehensive carbon levy (1A) raises the most, at $5.8 billion</w:t>
      </w:r>
      <w:r>
        <w:rPr>
          <w:rFonts w:eastAsia="Segoe UI" w:cs="Segoe UI"/>
        </w:rPr>
        <w:t>—roughly equivalent to 10% of current government revenues</w:t>
      </w:r>
      <w:r w:rsidRPr="285A2F06">
        <w:rPr>
          <w:rFonts w:eastAsia="Segoe UI" w:cs="Segoe UI"/>
        </w:rPr>
        <w:t>. The two upstream levies (2A and 2B) follow closely, each generating $5.2 billion whether proceeds are recycled to public investment or to households. The downstream price recycled to households (3A) raises considerably less, at $1.1 billion, reflecting its narrower base. The two remaining downstream designs raise no carbon revenue: free allocation for CBAM producers (3B) and the rebate for industrial abatement (3C) both channel value back to firms, which by this convention falls outside measured revenues.</w:t>
      </w:r>
    </w:p>
    <w:p w14:paraId="2AD2C7C2" w14:textId="77777777" w:rsidR="00DD7A43" w:rsidRDefault="00DD7A43" w:rsidP="00DD7A43">
      <w:pPr>
        <w:spacing w:after="0" w:line="257" w:lineRule="auto"/>
        <w:rPr>
          <w:rFonts w:eastAsia="Calibri" w:cs="Segoe UI"/>
          <w:sz w:val="18"/>
          <w:szCs w:val="18"/>
        </w:rPr>
      </w:pPr>
    </w:p>
    <w:p w14:paraId="73461F43" w14:textId="77777777" w:rsidR="00DD7A43" w:rsidRDefault="00DD7A43" w:rsidP="00DD7A43">
      <w:pPr>
        <w:spacing w:after="0" w:line="257" w:lineRule="auto"/>
        <w:rPr>
          <w:rFonts w:eastAsia="Calibri" w:cs="Segoe UI"/>
          <w:sz w:val="18"/>
          <w:szCs w:val="18"/>
        </w:rPr>
      </w:pPr>
    </w:p>
    <w:tbl>
      <w:tblPr>
        <w:tblW w:w="0" w:type="auto"/>
        <w:tblLook w:val="0600" w:firstRow="0" w:lastRow="0" w:firstColumn="0" w:lastColumn="0" w:noHBand="1" w:noVBand="1"/>
      </w:tblPr>
      <w:tblGrid>
        <w:gridCol w:w="529"/>
        <w:gridCol w:w="7026"/>
        <w:gridCol w:w="1795"/>
      </w:tblGrid>
      <w:tr w:rsidR="00DD7A43" w14:paraId="46216B45" w14:textId="77777777" w:rsidTr="00566287">
        <w:trPr>
          <w:trHeight w:val="45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642A399C"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Code</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2F101A5" w14:textId="77777777" w:rsidR="00DD7A43" w:rsidRDefault="00DD7A43" w:rsidP="00566287">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2D8E6F7"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Carbon revenues raised ($bn)</w:t>
            </w:r>
          </w:p>
        </w:tc>
      </w:tr>
      <w:tr w:rsidR="00DD7A43" w14:paraId="24A1816B"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bottom"/>
          </w:tcPr>
          <w:p w14:paraId="0B1D123B" w14:textId="77777777" w:rsidR="00DD7A43" w:rsidRDefault="00DD7A43" w:rsidP="00566287">
            <w:pPr>
              <w:spacing w:after="0"/>
              <w:jc w:val="center"/>
              <w:rPr>
                <w:rFonts w:ascii="Aptos" w:eastAsia="Aptos" w:hAnsi="Aptos" w:cs="Aptos"/>
                <w:color w:val="0078F0"/>
                <w:sz w:val="20"/>
                <w:szCs w:val="20"/>
              </w:rPr>
            </w:pPr>
            <w:r w:rsidRPr="285A2F06">
              <w:rPr>
                <w:rFonts w:ascii="Aptos" w:eastAsia="Aptos" w:hAnsi="Aptos" w:cs="Aptos"/>
                <w:color w:val="0078F0"/>
                <w:sz w:val="20"/>
                <w:szCs w:val="20"/>
              </w:rPr>
              <w:lastRenderedPageBreak/>
              <w:t xml:space="preserve"> </w:t>
            </w:r>
          </w:p>
        </w:tc>
        <w:tc>
          <w:tcPr>
            <w:tcW w:w="7142" w:type="dxa"/>
            <w:tcBorders>
              <w:top w:val="single" w:sz="4" w:space="0" w:color="000000" w:themeColor="text1"/>
              <w:left w:val="single" w:sz="4" w:space="0" w:color="000000" w:themeColor="text1"/>
              <w:bottom w:val="single" w:sz="4" w:space="0" w:color="000000" w:themeColor="text1"/>
              <w:right w:val="nil"/>
            </w:tcBorders>
            <w:shd w:val="clear" w:color="auto" w:fill="F2F2F2" w:themeFill="background1" w:themeFillShade="F2"/>
            <w:tcMar>
              <w:top w:w="15" w:type="dxa"/>
              <w:left w:w="15" w:type="dxa"/>
              <w:right w:w="15" w:type="dxa"/>
            </w:tcMar>
            <w:vAlign w:val="center"/>
          </w:tcPr>
          <w:p w14:paraId="755124F1" w14:textId="77777777" w:rsidR="00DD7A43" w:rsidRDefault="00DD7A43" w:rsidP="00566287">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 Options - Carbon Pricing (modelled)</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center"/>
          </w:tcPr>
          <w:p w14:paraId="450324A4"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w:t>
            </w:r>
          </w:p>
        </w:tc>
      </w:tr>
      <w:tr w:rsidR="00DD7A43" w14:paraId="6E21040D" w14:textId="77777777" w:rsidTr="00566287">
        <w:trPr>
          <w:trHeight w:val="408"/>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EEB78B"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1A</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0428E2"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Comprehensive carbon levy:</w:t>
            </w:r>
            <w:r w:rsidRPr="285A2F06">
              <w:rPr>
                <w:rFonts w:ascii="Aptos" w:eastAsia="Aptos" w:hAnsi="Aptos" w:cs="Aptos"/>
                <w:color w:val="000000" w:themeColor="text1"/>
                <w:sz w:val="20"/>
                <w:szCs w:val="20"/>
              </w:rPr>
              <w:t xml:space="preserve"> upstream carbon price on all  fossil fuel consumption</w:t>
            </w:r>
            <w:r w:rsidRPr="285A2F06">
              <w:rPr>
                <w:rFonts w:ascii="Aptos" w:eastAsia="Aptos" w:hAnsi="Aptos" w:cs="Aptos"/>
                <w:b/>
                <w:bCs/>
                <w:color w:val="000000" w:themeColor="text1"/>
                <w:sz w:val="20"/>
                <w:szCs w:val="20"/>
              </w:rPr>
              <w:t xml:space="preserve"> </w:t>
            </w:r>
            <w:r w:rsidRPr="285A2F06">
              <w:rPr>
                <w:rFonts w:ascii="Aptos" w:eastAsia="Aptos" w:hAnsi="Aptos" w:cs="Aptos"/>
                <w:color w:val="000000" w:themeColor="text1"/>
                <w:sz w:val="20"/>
                <w:szCs w:val="20"/>
              </w:rPr>
              <w:t xml:space="preserve">+ downstream emissions in CBAM sectors only </w:t>
            </w:r>
            <w:r w:rsidRPr="285A2F06">
              <w:rPr>
                <w:rFonts w:ascii="Aptos" w:eastAsia="Aptos" w:hAnsi="Aptos" w:cs="Aptos"/>
                <w:b/>
                <w:bCs/>
                <w:color w:val="000000" w:themeColor="text1"/>
                <w:sz w:val="20"/>
                <w:szCs w:val="20"/>
              </w:rPr>
              <w:t>+ recycling to (non-green) public investment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A15AB0"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5.8</w:t>
            </w:r>
          </w:p>
        </w:tc>
      </w:tr>
      <w:tr w:rsidR="00DD7A43" w14:paraId="0C8F44A7"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A55911"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2A</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569BD7"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(non-green) public investment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A58FEE"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5.2</w:t>
            </w:r>
          </w:p>
        </w:tc>
      </w:tr>
      <w:tr w:rsidR="00DD7A43" w14:paraId="61DEDA10"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496E11"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2B</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10733D"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households</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21EF1B"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5.2</w:t>
            </w:r>
          </w:p>
        </w:tc>
      </w:tr>
      <w:tr w:rsidR="00DD7A43" w14:paraId="276B0ECC"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60904C"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3A</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8C9072"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Downstream carbon price</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 xml:space="preserve">on heavy industry </w:t>
            </w:r>
            <w:r>
              <w:br/>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recycling to households</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8E4146"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1.1</w:t>
            </w:r>
          </w:p>
        </w:tc>
      </w:tr>
      <w:tr w:rsidR="00DD7A43" w14:paraId="27C39EDC"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235F08"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3B</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019537" w14:textId="77777777" w:rsidR="00DD7A43" w:rsidRDefault="00DD7A43" w:rsidP="00566287">
            <w:pPr>
              <w:spacing w:after="0"/>
              <w:jc w:val="left"/>
              <w:rPr>
                <w:rFonts w:ascii="Aptos" w:eastAsia="Aptos" w:hAnsi="Aptos" w:cs="Aptos"/>
                <w:color w:val="000000" w:themeColor="text1"/>
                <w:sz w:val="20"/>
                <w:szCs w:val="20"/>
              </w:rPr>
            </w:pPr>
            <w:r w:rsidRPr="285A2F06">
              <w:rPr>
                <w:rFonts w:ascii="Aptos" w:eastAsia="Aptos" w:hAnsi="Aptos" w:cs="Aptos"/>
                <w:b/>
                <w:bCs/>
                <w:color w:val="000000" w:themeColor="text1"/>
                <w:sz w:val="20"/>
                <w:szCs w:val="20"/>
              </w:rPr>
              <w:t xml:space="preserve">Downstream carbon price </w:t>
            </w:r>
            <w:r w:rsidRPr="285A2F06">
              <w:rPr>
                <w:rFonts w:ascii="Aptos" w:eastAsia="Aptos" w:hAnsi="Aptos" w:cs="Aptos"/>
                <w:color w:val="000000" w:themeColor="text1"/>
                <w:sz w:val="20"/>
                <w:szCs w:val="20"/>
              </w:rPr>
              <w:t xml:space="preserve">on heavy industry + </w:t>
            </w:r>
            <w:r w:rsidRPr="285A2F06">
              <w:rPr>
                <w:rFonts w:ascii="Aptos" w:eastAsia="Aptos" w:hAnsi="Aptos" w:cs="Aptos"/>
                <w:b/>
                <w:bCs/>
                <w:color w:val="000000" w:themeColor="text1"/>
                <w:sz w:val="20"/>
                <w:szCs w:val="20"/>
              </w:rPr>
              <w:t xml:space="preserve">free allocation </w:t>
            </w:r>
            <w:r w:rsidRPr="285A2F06">
              <w:rPr>
                <w:rFonts w:ascii="Aptos" w:eastAsia="Aptos" w:hAnsi="Aptos" w:cs="Aptos"/>
                <w:color w:val="000000" w:themeColor="text1"/>
                <w:sz w:val="20"/>
                <w:szCs w:val="20"/>
              </w:rPr>
              <w:t xml:space="preserve">for CBAM producers (intensity benchmark per unit of output) </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8C63A9E"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0.0</w:t>
            </w:r>
          </w:p>
        </w:tc>
      </w:tr>
      <w:tr w:rsidR="00DD7A43" w14:paraId="38EB0D2D"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B22123"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3C</w:t>
            </w:r>
          </w:p>
        </w:tc>
        <w:tc>
          <w:tcPr>
            <w:tcW w:w="71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ADEC91"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 xml:space="preserve">Downstream carbon price on heavy industry </w:t>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rebate for industrial abatement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596101"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0.0</w:t>
            </w:r>
          </w:p>
        </w:tc>
      </w:tr>
    </w:tbl>
    <w:p w14:paraId="2C653876" w14:textId="77777777" w:rsidR="00DD7A43" w:rsidRDefault="00DD7A43" w:rsidP="00DD7A43">
      <w:pPr>
        <w:spacing w:after="0" w:line="257" w:lineRule="auto"/>
        <w:rPr>
          <w:rFonts w:eastAsia="Calibri" w:cs="Segoe UI"/>
          <w:sz w:val="18"/>
          <w:szCs w:val="18"/>
        </w:rPr>
      </w:pPr>
    </w:p>
    <w:p w14:paraId="4233DAC9" w14:textId="77777777" w:rsidR="00DD7A43" w:rsidRDefault="00DD7A43" w:rsidP="00DD7A43">
      <w:pPr>
        <w:spacing w:after="0" w:line="257" w:lineRule="auto"/>
        <w:rPr>
          <w:rFonts w:ascii="Calibri" w:eastAsia="Calibri" w:hAnsi="Calibri" w:cs="Calibri"/>
          <w:sz w:val="18"/>
          <w:szCs w:val="18"/>
        </w:rPr>
      </w:pPr>
    </w:p>
    <w:p w14:paraId="5A5D3BA4" w14:textId="77777777" w:rsidR="00DD7A43" w:rsidRDefault="00DD7A43" w:rsidP="00DD7A43">
      <w:pPr>
        <w:pStyle w:val="Heading3"/>
      </w:pPr>
      <w:r>
        <w:t>Emissions reductions and reductions in CBAM obligations</w:t>
      </w:r>
    </w:p>
    <w:p w14:paraId="45C5EEA0" w14:textId="77777777" w:rsidR="00DD7A43" w:rsidRDefault="00DD7A43" w:rsidP="00DD7A43">
      <w:r w:rsidRPr="285A2F06">
        <w:rPr>
          <w:rFonts w:eastAsia="Segoe UI" w:cs="Segoe UI"/>
          <w:b/>
          <w:bCs/>
        </w:rPr>
        <w:t>Estimated emissions reductions range from 41.6 to 13.6 MtCO₂ across the bundles, equivalent to roughly 5 to 17 percent of Egypt's annual CO₂ emissions of about 249 MtCO₂.</w:t>
      </w:r>
      <w:r w:rsidRPr="285A2F06">
        <w:rPr>
          <w:rFonts w:eastAsia="Segoe UI" w:cs="Segoe UI"/>
        </w:rPr>
        <w:t xml:space="preserve"> The comprehensive carbon levy (1A) achieves the most</w:t>
      </w:r>
      <w:r>
        <w:rPr>
          <w:rFonts w:eastAsia="Segoe UI" w:cs="Segoe UI"/>
        </w:rPr>
        <w:t xml:space="preserve"> emissions reduction</w:t>
      </w:r>
      <w:r w:rsidRPr="285A2F06">
        <w:rPr>
          <w:rFonts w:eastAsia="Segoe UI" w:cs="Segoe UI"/>
        </w:rPr>
        <w:t>, at 41.6 MtCO₂ (about 17 percent of national emissions), reflecting its wide coverage of both energy and CBAM-sector process emissions. The two upstream levies follow closely: the household-recycling variant (2B) reduces emissions by 41.0 MtCO₂ (about 16 percent) and the public-investment variant (2A) by 38.9 MtCO₂ (about 16 percent), the modest difference between them arising from how each recycling choice feeds back into energy demand. Reductions fall substantially under the downstream-only options, which reach a narrower industrial base: the industrial carbon price with rebate for industrial abatement (3C) delivers 24.5 MtCO₂ (about 10 percent), the household-recycling design (3A) 21.5 MtCO₂ (about 9 percent), and the free-allocation design (3B) the least at 13.6 MtCO₂ (about 5 percent), as free allocation on an output-intensity benchmark weakens the incentive to abate</w:t>
      </w:r>
      <w:r>
        <w:rPr>
          <w:rFonts w:eastAsia="Segoe UI" w:cs="Segoe UI"/>
        </w:rPr>
        <w:t xml:space="preserve">. </w:t>
      </w:r>
    </w:p>
    <w:p w14:paraId="5560471E" w14:textId="77777777" w:rsidR="00DD7A43" w:rsidRDefault="00DD7A43" w:rsidP="00DD7A43">
      <w:r w:rsidRPr="000B0270">
        <w:rPr>
          <w:rFonts w:eastAsia="Segoe UI" w:cs="Segoe UI"/>
          <w:b/>
          <w:bCs/>
        </w:rPr>
        <w:t>The bundles differ considerably in how effectively they reduce Egypt's exposure to the EU CBAM</w:t>
      </w:r>
      <w:r w:rsidRPr="285A2F06">
        <w:rPr>
          <w:rFonts w:eastAsia="Segoe UI" w:cs="Segoe UI"/>
        </w:rPr>
        <w:t xml:space="preserve">, with reductions in CBAM obligations ranging from 7.6 to 30.4 percent depending on how comprehensively the price reaches CBAM sectors and how strongly it incentivizes abatement. </w:t>
      </w:r>
      <w:r>
        <w:rPr>
          <w:rFonts w:eastAsia="Segoe UI" w:cs="Segoe UI"/>
        </w:rPr>
        <w:t xml:space="preserve">The comprehensive carbon levy and downstream pricing </w:t>
      </w:r>
      <w:r w:rsidRPr="285A2F06">
        <w:rPr>
          <w:rFonts w:eastAsia="Segoe UI" w:cs="Segoe UI"/>
        </w:rPr>
        <w:t xml:space="preserve">designs </w:t>
      </w:r>
      <w:r>
        <w:rPr>
          <w:rFonts w:eastAsia="Segoe UI" w:cs="Segoe UI"/>
        </w:rPr>
        <w:t xml:space="preserve">all </w:t>
      </w:r>
      <w:r w:rsidRPr="285A2F06">
        <w:rPr>
          <w:rFonts w:eastAsia="Segoe UI" w:cs="Segoe UI"/>
        </w:rPr>
        <w:t>achieve full coverage of CBAM sectors</w:t>
      </w:r>
      <w:r>
        <w:rPr>
          <w:rFonts w:eastAsia="Segoe UI" w:cs="Segoe UI"/>
        </w:rPr>
        <w:t>; however, the choice of rebating influence the change in emissions and CBAM obligations.</w:t>
      </w:r>
      <w:r w:rsidRPr="285A2F06">
        <w:rPr>
          <w:rFonts w:eastAsia="Segoe UI" w:cs="Segoe UI"/>
        </w:rPr>
        <w:t xml:space="preserve"> </w:t>
      </w:r>
      <w:r>
        <w:rPr>
          <w:rFonts w:eastAsia="Segoe UI" w:cs="Segoe UI"/>
        </w:rPr>
        <w:t>T</w:t>
      </w:r>
      <w:r w:rsidRPr="285A2F06">
        <w:rPr>
          <w:rFonts w:eastAsia="Segoe UI" w:cs="Segoe UI"/>
        </w:rPr>
        <w:t xml:space="preserve">he comprehensive carbon levy (1A) and the downstream price recycled to households (3A) </w:t>
      </w:r>
      <w:r>
        <w:rPr>
          <w:rFonts w:eastAsia="Segoe UI" w:cs="Segoe UI"/>
        </w:rPr>
        <w:t xml:space="preserve">produce </w:t>
      </w:r>
      <w:r w:rsidRPr="285A2F06">
        <w:rPr>
          <w:rFonts w:eastAsia="Segoe UI" w:cs="Segoe UI"/>
        </w:rPr>
        <w:t xml:space="preserve">identical </w:t>
      </w:r>
      <w:r>
        <w:rPr>
          <w:rFonts w:eastAsia="Segoe UI" w:cs="Segoe UI"/>
        </w:rPr>
        <w:t xml:space="preserve">carbon </w:t>
      </w:r>
      <w:r w:rsidRPr="285A2F06">
        <w:rPr>
          <w:rFonts w:eastAsia="Segoe UI" w:cs="Segoe UI"/>
        </w:rPr>
        <w:t>intensity reductions of 7.6 percent of baseline</w:t>
      </w:r>
      <w:r>
        <w:rPr>
          <w:rFonts w:eastAsia="Segoe UI" w:cs="Segoe UI"/>
        </w:rPr>
        <w:t>, and</w:t>
      </w:r>
      <w:r w:rsidRPr="285A2F06">
        <w:rPr>
          <w:rFonts w:eastAsia="Segoe UI" w:cs="Segoe UI"/>
        </w:rPr>
        <w:t xml:space="preserve"> each cut </w:t>
      </w:r>
      <w:r>
        <w:rPr>
          <w:rFonts w:eastAsia="Segoe UI" w:cs="Segoe UI"/>
        </w:rPr>
        <w:t xml:space="preserve">CBAM </w:t>
      </w:r>
      <w:r w:rsidRPr="285A2F06">
        <w:rPr>
          <w:rFonts w:eastAsia="Segoe UI" w:cs="Segoe UI"/>
        </w:rPr>
        <w:t>obligations by 26.1 percent</w:t>
      </w:r>
      <w:r>
        <w:rPr>
          <w:rFonts w:eastAsia="Segoe UI" w:cs="Segoe UI"/>
        </w:rPr>
        <w:t>. T</w:t>
      </w:r>
      <w:r w:rsidRPr="285A2F06">
        <w:rPr>
          <w:rFonts w:eastAsia="Segoe UI" w:cs="Segoe UI"/>
        </w:rPr>
        <w:t xml:space="preserve">he downstream price paired with free allocation for CBAM producers (3B) achieves </w:t>
      </w:r>
      <w:r>
        <w:rPr>
          <w:rFonts w:eastAsia="Segoe UI" w:cs="Segoe UI"/>
        </w:rPr>
        <w:t xml:space="preserve">the same intensity reduction, and that is the </w:t>
      </w:r>
      <w:r w:rsidRPr="285A2F06">
        <w:rPr>
          <w:rFonts w:eastAsia="Segoe UI" w:cs="Segoe UI"/>
        </w:rPr>
        <w:t xml:space="preserve">only </w:t>
      </w:r>
      <w:r>
        <w:rPr>
          <w:rFonts w:eastAsia="Segoe UI" w:cs="Segoe UI"/>
        </w:rPr>
        <w:t xml:space="preserve">factor driving the 7.6 </w:t>
      </w:r>
      <w:r w:rsidRPr="285A2F06">
        <w:rPr>
          <w:rFonts w:eastAsia="Segoe UI" w:cs="Segoe UI"/>
        </w:rPr>
        <w:t>reduction</w:t>
      </w:r>
      <w:r>
        <w:rPr>
          <w:rFonts w:eastAsia="Segoe UI" w:cs="Segoe UI"/>
        </w:rPr>
        <w:t xml:space="preserve"> in CBAM obligations</w:t>
      </w:r>
      <w:r w:rsidRPr="285A2F06">
        <w:rPr>
          <w:rFonts w:eastAsia="Segoe UI" w:cs="Segoe UI"/>
        </w:rPr>
        <w:t>, since free allocation on an output-</w:t>
      </w:r>
      <w:r>
        <w:rPr>
          <w:rFonts w:eastAsia="Segoe UI" w:cs="Segoe UI"/>
        </w:rPr>
        <w:t xml:space="preserve">based </w:t>
      </w:r>
      <w:r w:rsidRPr="285A2F06">
        <w:rPr>
          <w:rFonts w:eastAsia="Segoe UI" w:cs="Segoe UI"/>
        </w:rPr>
        <w:t xml:space="preserve">intensity benchmark </w:t>
      </w:r>
      <w:r>
        <w:rPr>
          <w:rFonts w:eastAsia="Segoe UI" w:cs="Segoe UI"/>
        </w:rPr>
        <w:t>fully offsets the carbon price effectively paid on embodied emissions</w:t>
      </w:r>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cover</w:t>
      </w:r>
      <w:r w:rsidRPr="285A2F06">
        <w:rPr>
          <w:rFonts w:eastAsia="Segoe UI" w:cs="Segoe UI"/>
        </w:rPr>
        <w:t xml:space="preserve"> only 44 percent of CBAM sector</w:t>
      </w:r>
      <w:r>
        <w:rPr>
          <w:rFonts w:eastAsia="Segoe UI" w:cs="Segoe UI"/>
        </w:rPr>
        <w:t xml:space="preserve"> emission</w:t>
      </w:r>
      <w:r w:rsidRPr="285A2F06">
        <w:rPr>
          <w:rFonts w:eastAsia="Segoe UI" w:cs="Segoe UI"/>
        </w:rPr>
        <w:t xml:space="preserve">s and therefore deliver a smaller intensity reduction </w:t>
      </w:r>
      <w:r w:rsidRPr="285A2F06">
        <w:rPr>
          <w:rFonts w:eastAsia="Segoe UI" w:cs="Segoe UI"/>
        </w:rPr>
        <w:lastRenderedPageBreak/>
        <w:t xml:space="preserve">of 5.5 percent and a 13.9 percent cut in obligations, with no difference between the two recycling choices. The strongest performer </w:t>
      </w:r>
      <w:r>
        <w:rPr>
          <w:rFonts w:eastAsia="Segoe UI" w:cs="Segoe UI"/>
        </w:rPr>
        <w:t xml:space="preserve">by these metrics </w:t>
      </w:r>
      <w:r w:rsidRPr="285A2F06">
        <w:rPr>
          <w:rFonts w:eastAsia="Segoe UI" w:cs="Segoe UI"/>
        </w:rPr>
        <w:t xml:space="preserve">is the downstream </w:t>
      </w:r>
      <w:r>
        <w:rPr>
          <w:rFonts w:eastAsia="Segoe UI" w:cs="Segoe UI"/>
        </w:rPr>
        <w:t xml:space="preserve">carbon </w:t>
      </w:r>
      <w:r w:rsidRPr="285A2F06">
        <w:rPr>
          <w:rFonts w:eastAsia="Segoe UI" w:cs="Segoe UI"/>
        </w:rPr>
        <w:t xml:space="preserve">price combined with a rebate for industrial abatement (3C), which—at full coverage—achieves the largest intensity reduction of 13.1 percent of baseline and the greatest reduction in CBAM obligations, at 30.4 percent, because the rebate </w:t>
      </w:r>
      <w:r>
        <w:rPr>
          <w:rFonts w:eastAsia="Segoe UI" w:cs="Segoe UI"/>
        </w:rPr>
        <w:t xml:space="preserve">incentivizes additional </w:t>
      </w:r>
      <w:r w:rsidRPr="285A2F06">
        <w:rPr>
          <w:rFonts w:eastAsia="Segoe UI" w:cs="Segoe UI"/>
        </w:rPr>
        <w:t xml:space="preserve">emissions reductions per unit of output without diluting the </w:t>
      </w:r>
      <w:r>
        <w:rPr>
          <w:rFonts w:eastAsia="Segoe UI" w:cs="Segoe UI"/>
        </w:rPr>
        <w:t xml:space="preserve">pass-through of the emissions </w:t>
      </w:r>
      <w:r w:rsidRPr="285A2F06">
        <w:rPr>
          <w:rFonts w:eastAsia="Segoe UI" w:cs="Segoe UI"/>
        </w:rPr>
        <w:t>price signal.</w:t>
      </w:r>
    </w:p>
    <w:tbl>
      <w:tblPr>
        <w:tblW w:w="0" w:type="auto"/>
        <w:tblLook w:val="0600" w:firstRow="0" w:lastRow="0" w:firstColumn="0" w:lastColumn="0" w:noHBand="1" w:noVBand="1"/>
      </w:tblPr>
      <w:tblGrid>
        <w:gridCol w:w="516"/>
        <w:gridCol w:w="2635"/>
        <w:gridCol w:w="1372"/>
        <w:gridCol w:w="1152"/>
        <w:gridCol w:w="1198"/>
        <w:gridCol w:w="1228"/>
        <w:gridCol w:w="1249"/>
      </w:tblGrid>
      <w:tr w:rsidR="00DD7A43" w14:paraId="60169472" w14:textId="77777777" w:rsidTr="00566287">
        <w:trPr>
          <w:trHeight w:val="1500"/>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69951F51"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Code</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18DF42F7" w14:textId="77777777" w:rsidR="00DD7A43" w:rsidRDefault="00DD7A43" w:rsidP="00566287">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818BDB8"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Estimated total emissions reductions (MtCO2)</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78331A53"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CBAM coverage (% of CBAM sectors)</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B85E43A"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Emis. intensity reduction, CBAM </w:t>
            </w:r>
            <w:r>
              <w:rPr>
                <w:rFonts w:ascii="Aptos" w:eastAsia="Aptos" w:hAnsi="Aptos" w:cs="Aptos"/>
                <w:b/>
                <w:bCs/>
                <w:color w:val="0078F0"/>
                <w:sz w:val="20"/>
                <w:szCs w:val="20"/>
              </w:rPr>
              <w:t xml:space="preserve">sectors </w:t>
            </w:r>
            <w:r w:rsidRPr="285A2F06">
              <w:rPr>
                <w:rFonts w:ascii="Aptos" w:eastAsia="Aptos" w:hAnsi="Aptos" w:cs="Aptos"/>
                <w:b/>
                <w:bCs/>
                <w:color w:val="0078F0"/>
                <w:sz w:val="20"/>
                <w:szCs w:val="20"/>
              </w:rPr>
              <w:t>(% of baseline)</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16B7F"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CBAM obligations reduced</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77D5CC96" w14:textId="77777777" w:rsidR="00DD7A43" w:rsidRPr="285A2F06" w:rsidRDefault="00DD7A43" w:rsidP="00566287">
            <w:pPr>
              <w:spacing w:after="0"/>
              <w:jc w:val="center"/>
              <w:rPr>
                <w:rFonts w:ascii="Aptos" w:eastAsia="Aptos" w:hAnsi="Aptos" w:cs="Aptos"/>
                <w:b/>
                <w:bCs/>
                <w:color w:val="0078F0"/>
                <w:sz w:val="20"/>
                <w:szCs w:val="20"/>
              </w:rPr>
            </w:pPr>
            <w:r>
              <w:rPr>
                <w:rFonts w:ascii="Aptos" w:eastAsia="Aptos" w:hAnsi="Aptos" w:cs="Aptos"/>
                <w:b/>
                <w:bCs/>
                <w:color w:val="0078F0"/>
                <w:sz w:val="20"/>
                <w:szCs w:val="20"/>
              </w:rPr>
              <w:t>Industrial Output Change</w:t>
            </w:r>
          </w:p>
        </w:tc>
      </w:tr>
      <w:tr w:rsidR="00DD7A43" w14:paraId="5761A0EE" w14:textId="77777777" w:rsidTr="00566287">
        <w:trPr>
          <w:trHeight w:val="600"/>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bottom"/>
          </w:tcPr>
          <w:p w14:paraId="5D49C04A" w14:textId="77777777" w:rsidR="00DD7A43" w:rsidRDefault="00DD7A43" w:rsidP="00566287">
            <w:pPr>
              <w:spacing w:after="0"/>
              <w:jc w:val="center"/>
              <w:rPr>
                <w:rFonts w:ascii="Aptos" w:eastAsia="Aptos" w:hAnsi="Aptos" w:cs="Aptos"/>
                <w:color w:val="0078F0"/>
                <w:sz w:val="20"/>
                <w:szCs w:val="20"/>
              </w:rPr>
            </w:pPr>
            <w:r w:rsidRPr="285A2F06">
              <w:rPr>
                <w:rFonts w:ascii="Aptos" w:eastAsia="Aptos" w:hAnsi="Aptos" w:cs="Aptos"/>
                <w:color w:val="0078F0"/>
                <w:sz w:val="20"/>
                <w:szCs w:val="20"/>
              </w:rPr>
              <w:t xml:space="preserve"> </w:t>
            </w:r>
          </w:p>
        </w:tc>
        <w:tc>
          <w:tcPr>
            <w:tcW w:w="3463" w:type="dxa"/>
            <w:tcBorders>
              <w:top w:val="single" w:sz="4" w:space="0" w:color="000000" w:themeColor="text1"/>
              <w:left w:val="single" w:sz="4" w:space="0" w:color="000000" w:themeColor="text1"/>
              <w:bottom w:val="single" w:sz="4" w:space="0" w:color="000000" w:themeColor="text1"/>
              <w:right w:val="nil"/>
            </w:tcBorders>
            <w:shd w:val="clear" w:color="auto" w:fill="F2F2F2" w:themeFill="background1" w:themeFillShade="F2"/>
            <w:tcMar>
              <w:top w:w="15" w:type="dxa"/>
              <w:left w:w="15" w:type="dxa"/>
              <w:right w:w="15" w:type="dxa"/>
            </w:tcMar>
            <w:vAlign w:val="center"/>
          </w:tcPr>
          <w:p w14:paraId="7162BFC8" w14:textId="77777777" w:rsidR="00DD7A43" w:rsidRDefault="00DD7A43" w:rsidP="00566287">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 Options - Carbon Pricing (modelled)</w:t>
            </w:r>
          </w:p>
        </w:tc>
        <w:tc>
          <w:tcPr>
            <w:tcW w:w="1359" w:type="dxa"/>
            <w:tcBorders>
              <w:top w:val="single" w:sz="4" w:space="0" w:color="000000" w:themeColor="text1"/>
              <w:left w:val="nil"/>
              <w:bottom w:val="single" w:sz="4" w:space="0" w:color="000000" w:themeColor="text1"/>
              <w:right w:val="nil"/>
            </w:tcBorders>
            <w:shd w:val="clear" w:color="auto" w:fill="F2F2F2" w:themeFill="background1" w:themeFillShade="F2"/>
            <w:tcMar>
              <w:top w:w="15" w:type="dxa"/>
              <w:left w:w="15" w:type="dxa"/>
              <w:right w:w="15" w:type="dxa"/>
            </w:tcMar>
            <w:vAlign w:val="center"/>
          </w:tcPr>
          <w:p w14:paraId="746440E2"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w:t>
            </w:r>
          </w:p>
        </w:tc>
        <w:tc>
          <w:tcPr>
            <w:tcW w:w="1359" w:type="dxa"/>
            <w:tcBorders>
              <w:top w:val="single" w:sz="4" w:space="0" w:color="000000" w:themeColor="text1"/>
              <w:left w:val="nil"/>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center"/>
          </w:tcPr>
          <w:p w14:paraId="451A073A"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center"/>
          </w:tcPr>
          <w:p w14:paraId="12940FEB"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center"/>
          </w:tcPr>
          <w:p w14:paraId="553367A9"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01CAE90" w14:textId="77777777" w:rsidR="00DD7A43" w:rsidRPr="285A2F06" w:rsidRDefault="00DD7A43" w:rsidP="00566287">
            <w:pPr>
              <w:spacing w:after="0"/>
              <w:jc w:val="center"/>
              <w:rPr>
                <w:rFonts w:ascii="Aptos" w:eastAsia="Aptos" w:hAnsi="Aptos" w:cs="Aptos"/>
                <w:b/>
                <w:bCs/>
                <w:color w:val="0078F0"/>
                <w:sz w:val="20"/>
                <w:szCs w:val="20"/>
              </w:rPr>
            </w:pPr>
          </w:p>
        </w:tc>
      </w:tr>
      <w:tr w:rsidR="00DD7A43" w14:paraId="77E84FA4" w14:textId="77777777" w:rsidTr="00566287">
        <w:trPr>
          <w:trHeight w:val="1485"/>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67A366"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1A</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F47132"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Comprehensive carbon levy:</w:t>
            </w:r>
            <w:r w:rsidRPr="285A2F06">
              <w:rPr>
                <w:rFonts w:ascii="Aptos" w:eastAsia="Aptos" w:hAnsi="Aptos" w:cs="Aptos"/>
                <w:color w:val="000000" w:themeColor="text1"/>
                <w:sz w:val="20"/>
                <w:szCs w:val="20"/>
              </w:rPr>
              <w:t xml:space="preserve"> upstream carbon price on all  fossil fuel consumption</w:t>
            </w:r>
            <w:r w:rsidRPr="285A2F06">
              <w:rPr>
                <w:rFonts w:ascii="Aptos" w:eastAsia="Aptos" w:hAnsi="Aptos" w:cs="Aptos"/>
                <w:b/>
                <w:bCs/>
                <w:color w:val="000000" w:themeColor="text1"/>
                <w:sz w:val="20"/>
                <w:szCs w:val="20"/>
              </w:rPr>
              <w:t xml:space="preserve"> </w:t>
            </w:r>
            <w:r w:rsidRPr="285A2F06">
              <w:rPr>
                <w:rFonts w:ascii="Aptos" w:eastAsia="Aptos" w:hAnsi="Aptos" w:cs="Aptos"/>
                <w:color w:val="000000" w:themeColor="text1"/>
                <w:sz w:val="20"/>
                <w:szCs w:val="20"/>
              </w:rPr>
              <w:t xml:space="preserve">+ downstream emissions in CBAM sectors only </w:t>
            </w:r>
            <w:r w:rsidRPr="285A2F06">
              <w:rPr>
                <w:rFonts w:ascii="Aptos" w:eastAsia="Aptos" w:hAnsi="Aptos" w:cs="Aptos"/>
                <w:b/>
                <w:bCs/>
                <w:color w:val="000000" w:themeColor="text1"/>
                <w:sz w:val="20"/>
                <w:szCs w:val="20"/>
              </w:rPr>
              <w:t>+ recycling to (non-green) public investment</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A76FA4"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-41.6</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72D6AB"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100%</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A25422"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-7.6%</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2796A"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-26.1%</w:t>
            </w:r>
          </w:p>
        </w:tc>
        <w:tc>
          <w:tcPr>
            <w:tcW w:w="1359" w:type="dxa"/>
            <w:tcBorders>
              <w:top w:val="single" w:sz="4" w:space="0" w:color="auto"/>
              <w:left w:val="single" w:sz="4" w:space="0" w:color="auto"/>
              <w:bottom w:val="single" w:sz="4" w:space="0" w:color="auto"/>
              <w:right w:val="single" w:sz="4" w:space="0" w:color="auto"/>
            </w:tcBorders>
            <w:vAlign w:val="center"/>
          </w:tcPr>
          <w:p w14:paraId="5D78A1E9" w14:textId="77777777" w:rsidR="00DD7A43" w:rsidRPr="002B491A" w:rsidRDefault="00DD7A43" w:rsidP="00566287">
            <w:pPr>
              <w:spacing w:after="0"/>
              <w:jc w:val="center"/>
              <w:rPr>
                <w:rFonts w:ascii="Aptos" w:eastAsia="Aptos" w:hAnsi="Aptos" w:cs="Aptos"/>
                <w:color w:val="000000" w:themeColor="text1"/>
                <w:sz w:val="20"/>
                <w:szCs w:val="20"/>
              </w:rPr>
            </w:pPr>
            <w:r w:rsidRPr="002B491A">
              <w:rPr>
                <w:rFonts w:ascii="Aptos" w:eastAsia="Aptos" w:hAnsi="Aptos" w:cs="Aptos"/>
                <w:color w:val="000000" w:themeColor="text1"/>
                <w:sz w:val="20"/>
                <w:szCs w:val="20"/>
              </w:rPr>
              <w:t>-4%</w:t>
            </w:r>
          </w:p>
        </w:tc>
      </w:tr>
      <w:tr w:rsidR="00DD7A43" w14:paraId="0E22FB5B" w14:textId="77777777" w:rsidTr="00566287">
        <w:trPr>
          <w:trHeight w:val="1200"/>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444B47"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2A</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08B0A5"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(non-green) public investment</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6D7937"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-38.9</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D01390"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44%</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8B5A52"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-5.5%</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14E1EA"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-13.9%</w:t>
            </w:r>
          </w:p>
        </w:tc>
        <w:tc>
          <w:tcPr>
            <w:tcW w:w="1359" w:type="dxa"/>
            <w:tcBorders>
              <w:top w:val="nil"/>
              <w:left w:val="single" w:sz="4" w:space="0" w:color="auto"/>
              <w:bottom w:val="single" w:sz="4" w:space="0" w:color="auto"/>
              <w:right w:val="single" w:sz="4" w:space="0" w:color="auto"/>
            </w:tcBorders>
            <w:vAlign w:val="center"/>
          </w:tcPr>
          <w:p w14:paraId="292BBDF4" w14:textId="77777777" w:rsidR="00DD7A43" w:rsidRPr="002B491A" w:rsidRDefault="00DD7A43" w:rsidP="00566287">
            <w:pPr>
              <w:spacing w:after="0"/>
              <w:jc w:val="center"/>
              <w:rPr>
                <w:rFonts w:ascii="Aptos" w:eastAsia="Aptos" w:hAnsi="Aptos" w:cs="Aptos"/>
                <w:color w:val="000000" w:themeColor="text1"/>
                <w:sz w:val="20"/>
                <w:szCs w:val="20"/>
              </w:rPr>
            </w:pPr>
            <w:r w:rsidRPr="002B491A">
              <w:rPr>
                <w:rFonts w:ascii="Aptos" w:eastAsia="Aptos" w:hAnsi="Aptos" w:cs="Aptos"/>
                <w:color w:val="000000" w:themeColor="text1"/>
                <w:sz w:val="20"/>
                <w:szCs w:val="20"/>
              </w:rPr>
              <w:t>-4%</w:t>
            </w:r>
          </w:p>
        </w:tc>
      </w:tr>
      <w:tr w:rsidR="00DD7A43" w14:paraId="38DA04C9" w14:textId="77777777" w:rsidTr="00566287">
        <w:trPr>
          <w:trHeight w:val="1200"/>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1190FF"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2B</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F476A8"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households</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78D3CA"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-41.0</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61AE2C"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44%</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6393E5"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-5.5%</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2D7DB9"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-13.9%</w:t>
            </w:r>
          </w:p>
        </w:tc>
        <w:tc>
          <w:tcPr>
            <w:tcW w:w="1359" w:type="dxa"/>
            <w:tcBorders>
              <w:top w:val="nil"/>
              <w:left w:val="single" w:sz="4" w:space="0" w:color="auto"/>
              <w:bottom w:val="single" w:sz="4" w:space="0" w:color="auto"/>
              <w:right w:val="single" w:sz="4" w:space="0" w:color="auto"/>
            </w:tcBorders>
            <w:vAlign w:val="center"/>
          </w:tcPr>
          <w:p w14:paraId="633D11A0" w14:textId="77777777" w:rsidR="00DD7A43" w:rsidRPr="002B491A" w:rsidRDefault="00DD7A43" w:rsidP="00566287">
            <w:pPr>
              <w:spacing w:after="0"/>
              <w:jc w:val="center"/>
              <w:rPr>
                <w:rFonts w:ascii="Aptos" w:eastAsia="Aptos" w:hAnsi="Aptos" w:cs="Aptos"/>
                <w:color w:val="000000" w:themeColor="text1"/>
                <w:sz w:val="20"/>
                <w:szCs w:val="20"/>
              </w:rPr>
            </w:pPr>
            <w:r w:rsidRPr="002B491A">
              <w:rPr>
                <w:rFonts w:ascii="Aptos" w:eastAsia="Aptos" w:hAnsi="Aptos" w:cs="Aptos"/>
                <w:color w:val="000000" w:themeColor="text1"/>
                <w:sz w:val="20"/>
                <w:szCs w:val="20"/>
              </w:rPr>
              <w:t>-4%</w:t>
            </w:r>
          </w:p>
        </w:tc>
      </w:tr>
      <w:tr w:rsidR="00DD7A43" w14:paraId="3FF766D3" w14:textId="77777777" w:rsidTr="00566287">
        <w:trPr>
          <w:trHeight w:val="1110"/>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F66ECF"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3A</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05C23B"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Downstream carbon price</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 xml:space="preserve">on heavy industry </w:t>
            </w:r>
            <w:r>
              <w:br/>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recycling to households</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F932C4"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-21.5</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1D613E"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100%</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2871C5"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-7.6%</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A18223"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-26.1%</w:t>
            </w:r>
          </w:p>
        </w:tc>
        <w:tc>
          <w:tcPr>
            <w:tcW w:w="1359" w:type="dxa"/>
            <w:tcBorders>
              <w:top w:val="nil"/>
              <w:left w:val="single" w:sz="4" w:space="0" w:color="auto"/>
              <w:bottom w:val="single" w:sz="4" w:space="0" w:color="auto"/>
              <w:right w:val="single" w:sz="4" w:space="0" w:color="auto"/>
            </w:tcBorders>
            <w:vAlign w:val="center"/>
          </w:tcPr>
          <w:p w14:paraId="4C0A3DF3" w14:textId="77777777" w:rsidR="00DD7A43" w:rsidRPr="002B491A" w:rsidRDefault="00DD7A43" w:rsidP="00566287">
            <w:pPr>
              <w:spacing w:after="0"/>
              <w:jc w:val="center"/>
              <w:rPr>
                <w:rFonts w:ascii="Aptos" w:eastAsia="Aptos" w:hAnsi="Aptos" w:cs="Aptos"/>
                <w:color w:val="000000" w:themeColor="text1"/>
                <w:sz w:val="20"/>
                <w:szCs w:val="20"/>
              </w:rPr>
            </w:pPr>
            <w:r w:rsidRPr="002B491A">
              <w:rPr>
                <w:rFonts w:ascii="Aptos" w:eastAsia="Aptos" w:hAnsi="Aptos" w:cs="Aptos"/>
                <w:color w:val="000000" w:themeColor="text1"/>
                <w:sz w:val="20"/>
                <w:szCs w:val="20"/>
              </w:rPr>
              <w:t>-11%</w:t>
            </w:r>
          </w:p>
        </w:tc>
      </w:tr>
      <w:tr w:rsidR="00DD7A43" w14:paraId="7FAA4D45" w14:textId="77777777" w:rsidTr="00566287">
        <w:trPr>
          <w:trHeight w:val="1185"/>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307470"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3B</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EFA09E" w14:textId="77777777" w:rsidR="00DD7A43" w:rsidRDefault="00DD7A43" w:rsidP="00566287">
            <w:pPr>
              <w:spacing w:after="0"/>
              <w:jc w:val="left"/>
              <w:rPr>
                <w:rFonts w:ascii="Aptos" w:eastAsia="Aptos" w:hAnsi="Aptos" w:cs="Aptos"/>
                <w:color w:val="000000" w:themeColor="text1"/>
                <w:sz w:val="20"/>
                <w:szCs w:val="20"/>
              </w:rPr>
            </w:pPr>
            <w:r w:rsidRPr="285A2F06">
              <w:rPr>
                <w:rFonts w:ascii="Aptos" w:eastAsia="Aptos" w:hAnsi="Aptos" w:cs="Aptos"/>
                <w:b/>
                <w:bCs/>
                <w:color w:val="000000" w:themeColor="text1"/>
                <w:sz w:val="20"/>
                <w:szCs w:val="20"/>
              </w:rPr>
              <w:t xml:space="preserve">Downstream carbon price </w:t>
            </w:r>
            <w:r w:rsidRPr="285A2F06">
              <w:rPr>
                <w:rFonts w:ascii="Aptos" w:eastAsia="Aptos" w:hAnsi="Aptos" w:cs="Aptos"/>
                <w:color w:val="000000" w:themeColor="text1"/>
                <w:sz w:val="20"/>
                <w:szCs w:val="20"/>
              </w:rPr>
              <w:t xml:space="preserve">on heavy industry + </w:t>
            </w:r>
            <w:r w:rsidRPr="285A2F06">
              <w:rPr>
                <w:rFonts w:ascii="Aptos" w:eastAsia="Aptos" w:hAnsi="Aptos" w:cs="Aptos"/>
                <w:b/>
                <w:bCs/>
                <w:color w:val="000000" w:themeColor="text1"/>
                <w:sz w:val="20"/>
                <w:szCs w:val="20"/>
              </w:rPr>
              <w:t xml:space="preserve">free allocation </w:t>
            </w:r>
            <w:r w:rsidRPr="285A2F06">
              <w:rPr>
                <w:rFonts w:ascii="Aptos" w:eastAsia="Aptos" w:hAnsi="Aptos" w:cs="Aptos"/>
                <w:color w:val="000000" w:themeColor="text1"/>
                <w:sz w:val="20"/>
                <w:szCs w:val="20"/>
              </w:rPr>
              <w:t xml:space="preserve">for CBAM producers </w:t>
            </w:r>
            <w:r>
              <w:br/>
            </w:r>
            <w:r w:rsidRPr="285A2F06">
              <w:rPr>
                <w:rFonts w:ascii="Aptos" w:eastAsia="Aptos" w:hAnsi="Aptos" w:cs="Aptos"/>
                <w:color w:val="000000" w:themeColor="text1"/>
                <w:sz w:val="20"/>
                <w:szCs w:val="20"/>
              </w:rPr>
              <w:t xml:space="preserve">(intensity benchmark per unit of output) </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F17C28" w14:textId="77777777" w:rsidR="00DD7A43" w:rsidRDefault="00DD7A43" w:rsidP="00566287">
            <w:pPr>
              <w:spacing w:after="0"/>
              <w:jc w:val="center"/>
              <w:rPr>
                <w:rFonts w:ascii="Aptos" w:eastAsia="Aptos" w:hAnsi="Aptos" w:cs="Aptos"/>
                <w:color w:val="000000" w:themeColor="text1"/>
                <w:sz w:val="20"/>
                <w:szCs w:val="20"/>
              </w:rPr>
            </w:pPr>
            <w:commentRangeStart w:id="2"/>
            <w:commentRangeStart w:id="3"/>
            <w:r w:rsidRPr="285A2F06">
              <w:rPr>
                <w:rFonts w:ascii="Aptos" w:eastAsia="Aptos" w:hAnsi="Aptos" w:cs="Aptos"/>
                <w:color w:val="000000" w:themeColor="text1"/>
                <w:sz w:val="20"/>
                <w:szCs w:val="20"/>
              </w:rPr>
              <w:t>-13.6</w:t>
            </w:r>
            <w:commentRangeEnd w:id="2"/>
            <w:r>
              <w:rPr>
                <w:rStyle w:val="CommentReference"/>
                <w:rFonts w:ascii="Aptos" w:eastAsia="Aptos" w:hAnsi="Aptos" w:cs="Aptos"/>
                <w:color w:val="000000" w:themeColor="text1"/>
                <w:sz w:val="20"/>
                <w:szCs w:val="20"/>
              </w:rPr>
              <w:commentReference w:id="2"/>
            </w:r>
            <w:commentRangeEnd w:id="3"/>
            <w:r w:rsidR="00726A54">
              <w:rPr>
                <w:rStyle w:val="CommentReference"/>
                <w:rFonts w:ascii="Aptos" w:eastAsia="Aptos" w:hAnsi="Aptos" w:cs="Aptos"/>
                <w:color w:val="000000" w:themeColor="text1"/>
                <w:sz w:val="20"/>
                <w:szCs w:val="20"/>
              </w:rPr>
              <w:commentReference w:id="3"/>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34CB32"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100%</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640DA3"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-7.6%</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6C0334"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-7.6%</w:t>
            </w:r>
          </w:p>
        </w:tc>
        <w:tc>
          <w:tcPr>
            <w:tcW w:w="1359" w:type="dxa"/>
            <w:tcBorders>
              <w:top w:val="nil"/>
              <w:left w:val="single" w:sz="4" w:space="0" w:color="auto"/>
              <w:bottom w:val="single" w:sz="4" w:space="0" w:color="auto"/>
              <w:right w:val="single" w:sz="4" w:space="0" w:color="auto"/>
            </w:tcBorders>
            <w:vAlign w:val="center"/>
          </w:tcPr>
          <w:p w14:paraId="2FC3A554" w14:textId="77777777" w:rsidR="00DD7A43" w:rsidRPr="002B491A" w:rsidRDefault="00DD7A43" w:rsidP="00566287">
            <w:pPr>
              <w:spacing w:after="0"/>
              <w:jc w:val="center"/>
              <w:rPr>
                <w:rFonts w:ascii="Aptos" w:eastAsia="Aptos" w:hAnsi="Aptos" w:cs="Aptos"/>
                <w:color w:val="000000" w:themeColor="text1"/>
                <w:sz w:val="20"/>
                <w:szCs w:val="20"/>
              </w:rPr>
            </w:pPr>
            <w:r w:rsidRPr="002B491A">
              <w:rPr>
                <w:rFonts w:ascii="Aptos" w:eastAsia="Aptos" w:hAnsi="Aptos" w:cs="Aptos"/>
                <w:color w:val="000000" w:themeColor="text1"/>
                <w:sz w:val="20"/>
                <w:szCs w:val="20"/>
              </w:rPr>
              <w:t>-4%</w:t>
            </w:r>
          </w:p>
        </w:tc>
      </w:tr>
      <w:tr w:rsidR="00DD7A43" w14:paraId="502F0559" w14:textId="77777777" w:rsidTr="00566287">
        <w:trPr>
          <w:trHeight w:val="1185"/>
        </w:trPr>
        <w:tc>
          <w:tcPr>
            <w:tcW w:w="5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635464"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3C</w:t>
            </w:r>
          </w:p>
        </w:tc>
        <w:tc>
          <w:tcPr>
            <w:tcW w:w="34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A951C6"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 xml:space="preserve">Downstream carbon price on heavy industry </w:t>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rebate for industrial abatement</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B303C6"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-24.5</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A4C3E2"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100%</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FB7FCE"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-13.1%</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62DF58"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-30.4%</w:t>
            </w:r>
          </w:p>
        </w:tc>
        <w:tc>
          <w:tcPr>
            <w:tcW w:w="1359" w:type="dxa"/>
            <w:tcBorders>
              <w:top w:val="nil"/>
              <w:left w:val="single" w:sz="4" w:space="0" w:color="auto"/>
              <w:bottom w:val="single" w:sz="4" w:space="0" w:color="auto"/>
              <w:right w:val="single" w:sz="4" w:space="0" w:color="auto"/>
            </w:tcBorders>
            <w:vAlign w:val="center"/>
          </w:tcPr>
          <w:p w14:paraId="121F2730" w14:textId="77777777" w:rsidR="00DD7A43" w:rsidRPr="002B491A" w:rsidRDefault="00DD7A43" w:rsidP="00566287">
            <w:pPr>
              <w:spacing w:after="0"/>
              <w:jc w:val="center"/>
              <w:rPr>
                <w:rFonts w:ascii="Aptos" w:eastAsia="Aptos" w:hAnsi="Aptos" w:cs="Aptos"/>
                <w:color w:val="000000" w:themeColor="text1"/>
                <w:sz w:val="20"/>
                <w:szCs w:val="20"/>
              </w:rPr>
            </w:pPr>
            <w:r w:rsidRPr="002B491A">
              <w:rPr>
                <w:rFonts w:ascii="Aptos" w:eastAsia="Aptos" w:hAnsi="Aptos" w:cs="Aptos"/>
                <w:color w:val="000000" w:themeColor="text1"/>
                <w:sz w:val="20"/>
                <w:szCs w:val="20"/>
              </w:rPr>
              <w:t>-9%</w:t>
            </w:r>
          </w:p>
        </w:tc>
      </w:tr>
    </w:tbl>
    <w:p w14:paraId="36ED07EA" w14:textId="77777777" w:rsidR="00DD7A43" w:rsidRDefault="00DD7A43" w:rsidP="00DD7A43">
      <w:pPr>
        <w:rPr>
          <w:rFonts w:eastAsia="Segoe UI" w:cs="Segoe UI"/>
        </w:rPr>
      </w:pPr>
    </w:p>
    <w:p w14:paraId="3E557B04" w14:textId="77777777" w:rsidR="00DD7A43" w:rsidRDefault="00DD7A43" w:rsidP="00DD7A43">
      <w:pPr>
        <w:pStyle w:val="Heading3"/>
      </w:pPr>
      <w:r>
        <w:lastRenderedPageBreak/>
        <w:t>Co-benefits</w:t>
      </w:r>
    </w:p>
    <w:p w14:paraId="705D2E94" w14:textId="77777777" w:rsidR="00DD7A43" w:rsidRPr="00D64F6E" w:rsidRDefault="00DD7A43" w:rsidP="00DD7A43">
      <w:pPr>
        <w:rPr>
          <w:rFonts w:cs="Times New Roman"/>
        </w:rPr>
      </w:pPr>
      <w:r w:rsidRPr="00D64F6E">
        <w:rPr>
          <w:rFonts w:cs="Times New Roman"/>
          <w:b/>
          <w:bCs/>
        </w:rPr>
        <w:t xml:space="preserve">The benefits of carbon </w:t>
      </w:r>
      <w:r>
        <w:rPr>
          <w:rFonts w:cs="Times New Roman"/>
          <w:b/>
          <w:bCs/>
        </w:rPr>
        <w:t xml:space="preserve">pricing </w:t>
      </w:r>
      <w:r w:rsidRPr="00D64F6E">
        <w:rPr>
          <w:rFonts w:cs="Times New Roman"/>
          <w:b/>
          <w:bCs/>
        </w:rPr>
        <w:t>extend beyond environmental goals:</w:t>
      </w:r>
      <w:r>
        <w:rPr>
          <w:rFonts w:cs="Times New Roman"/>
        </w:rPr>
        <w:t xml:space="preserve"> </w:t>
      </w:r>
      <w:r>
        <w:rPr>
          <w:b/>
          <w:bCs/>
        </w:rPr>
        <w:t xml:space="preserve">implemented properly, </w:t>
      </w:r>
      <w:r w:rsidRPr="00815ECA">
        <w:rPr>
          <w:b/>
          <w:bCs/>
        </w:rPr>
        <w:t xml:space="preserve">it can yield significant societal benefits, including job creation, improved health outcomes, and greater equity, while fostering a simpler, more growth-friendly system that extends to the informal sector. </w:t>
      </w:r>
      <w:r>
        <w:rPr>
          <w:rFonts w:cs="Times New Roman"/>
        </w:rPr>
        <w:t xml:space="preserve">In other words, pricing </w:t>
      </w:r>
      <w:r w:rsidRPr="00D00EDA">
        <w:rPr>
          <w:rFonts w:cs="Times New Roman"/>
        </w:rPr>
        <w:t>carbon could be in Egypt’s own interest</w:t>
      </w:r>
      <w:r>
        <w:rPr>
          <w:rFonts w:cs="Times New Roman"/>
        </w:rPr>
        <w:t>.</w:t>
      </w:r>
    </w:p>
    <w:p w14:paraId="41D0D3B5" w14:textId="77777777" w:rsidR="00DD7A43" w:rsidRDefault="00DD7A43" w:rsidP="00DD7A43">
      <w:pPr>
        <w:rPr>
          <w:rFonts w:cs="Times New Roman"/>
        </w:rPr>
      </w:pPr>
      <w:r>
        <w:rPr>
          <w:rFonts w:cs="Times New Roman"/>
        </w:rPr>
        <w:t xml:space="preserve">Broad-based carbon pricing instruments that raise revenues </w:t>
      </w:r>
      <w:r w:rsidRPr="62275691">
        <w:rPr>
          <w:rFonts w:cs="Times New Roman"/>
        </w:rPr>
        <w:t>can</w:t>
      </w:r>
      <w:r>
        <w:rPr>
          <w:rFonts w:cs="Times New Roman"/>
        </w:rPr>
        <w:t xml:space="preserve"> have lower costs to</w:t>
      </w:r>
      <w:r w:rsidRPr="62275691">
        <w:rPr>
          <w:rFonts w:cs="Times New Roman"/>
        </w:rPr>
        <w:t xml:space="preserve"> economic growth </w:t>
      </w:r>
      <w:r>
        <w:rPr>
          <w:rFonts w:cs="Times New Roman"/>
        </w:rPr>
        <w:t>than conventional taxes</w:t>
      </w:r>
      <w:r w:rsidRPr="62275691">
        <w:rPr>
          <w:rFonts w:cs="Times New Roman"/>
        </w:rPr>
        <w:t xml:space="preserve">. Covering large informal sectors and using the revenues to </w:t>
      </w:r>
      <w:r>
        <w:rPr>
          <w:rFonts w:cs="Times New Roman"/>
        </w:rPr>
        <w:t>substitute</w:t>
      </w:r>
      <w:r w:rsidRPr="62275691">
        <w:rPr>
          <w:rFonts w:cs="Times New Roman"/>
        </w:rPr>
        <w:t xml:space="preserve"> formal-sector taxes create</w:t>
      </w:r>
      <w:r>
        <w:rPr>
          <w:rFonts w:cs="Times New Roman"/>
        </w:rPr>
        <w:t>s</w:t>
      </w:r>
      <w:r w:rsidRPr="62275691">
        <w:rPr>
          <w:rFonts w:cs="Times New Roman"/>
        </w:rPr>
        <w:t xml:space="preserve"> opportunities to boost output. A broad tax base allows carbon taxation to raise revenues more efficiently, with less negative impact on output compared to conventional taxes</w:t>
      </w:r>
      <w:r>
        <w:rPr>
          <w:rFonts w:cs="Times New Roman"/>
        </w:rPr>
        <w:t>.</w:t>
      </w:r>
      <w:commentRangeStart w:id="4"/>
      <w:r w:rsidRPr="000E4209">
        <w:rPr>
          <w:rStyle w:val="FootnoteReference"/>
          <w:rFonts w:cs="Times New Roman"/>
        </w:rPr>
        <w:footnoteReference w:id="1"/>
      </w:r>
      <w:commentRangeEnd w:id="4"/>
      <w:r w:rsidRPr="000E4209">
        <w:rPr>
          <w:rStyle w:val="CommentReference"/>
          <w:rFonts w:cs="Times New Roman"/>
          <w:sz w:val="22"/>
          <w:szCs w:val="22"/>
        </w:rPr>
        <w:commentReference w:id="4"/>
      </w:r>
      <w:r w:rsidRPr="000E4209">
        <w:rPr>
          <w:rFonts w:cs="Times New Roman"/>
        </w:rPr>
        <w:t xml:space="preserve"> </w:t>
      </w:r>
      <w:r>
        <w:rPr>
          <w:rFonts w:cs="Times New Roman"/>
        </w:rPr>
        <w:t>Employment outcomes are also likely better with upstream carbon taxes than with some conventional taxes, especially those on labor</w:t>
      </w:r>
      <w:r>
        <w:rPr>
          <w:rStyle w:val="FootnoteReference"/>
          <w:rFonts w:cs="Times New Roman"/>
        </w:rPr>
        <w:footnoteReference w:id="2"/>
      </w:r>
      <w:r>
        <w:rPr>
          <w:rFonts w:cs="Times New Roman"/>
        </w:rPr>
        <w:t xml:space="preserve"> ― for two reasons. </w:t>
      </w:r>
      <w:r w:rsidRPr="00D8744B">
        <w:rPr>
          <w:rFonts w:cs="Times New Roman"/>
        </w:rPr>
        <w:t xml:space="preserve">Policy-driven decarbonization </w:t>
      </w:r>
      <w:r>
        <w:rPr>
          <w:rFonts w:cs="Times New Roman"/>
        </w:rPr>
        <w:t xml:space="preserve">can </w:t>
      </w:r>
      <w:r w:rsidRPr="00D8744B">
        <w:rPr>
          <w:rFonts w:cs="Times New Roman"/>
        </w:rPr>
        <w:t>shift the economy toward more labor-intensive sectors and increase labor intensity within sectors by transforming production methods</w:t>
      </w:r>
      <w:r>
        <w:rPr>
          <w:rFonts w:cs="Times New Roman"/>
        </w:rPr>
        <w:t>.</w:t>
      </w:r>
      <w:r>
        <w:rPr>
          <w:rStyle w:val="FootnoteReference"/>
          <w:rFonts w:cs="Times New Roman"/>
        </w:rPr>
        <w:footnoteReference w:id="3"/>
      </w:r>
      <w:r>
        <w:rPr>
          <w:rFonts w:cs="Times New Roman"/>
        </w:rPr>
        <w:t xml:space="preserve"> By reserving some of the revenues raised for redistribution to low-income households or to public services that benefit them, a carbon tax shift can also be pro-poor.</w:t>
      </w:r>
      <w:commentRangeStart w:id="5"/>
      <w:r>
        <w:rPr>
          <w:rStyle w:val="FootnoteReference"/>
        </w:rPr>
        <w:footnoteReference w:id="4"/>
      </w:r>
      <w:commentRangeEnd w:id="5"/>
      <w:r>
        <w:rPr>
          <w:rStyle w:val="CommentReference"/>
          <w:rFonts w:cs="Times New Roman"/>
          <w:sz w:val="22"/>
          <w:szCs w:val="22"/>
        </w:rPr>
        <w:commentReference w:id="5"/>
      </w:r>
    </w:p>
    <w:p w14:paraId="0356AEFC" w14:textId="77777777" w:rsidR="00DD7A43" w:rsidRDefault="00DD7A43" w:rsidP="00DD7A43">
      <w:pPr>
        <w:rPr>
          <w:rFonts w:cs="Times New Roman"/>
        </w:rPr>
      </w:pPr>
      <w:r>
        <w:rPr>
          <w:rFonts w:cs="Times New Roman"/>
        </w:rPr>
        <w:t>Furthermore</w:t>
      </w:r>
      <w:r w:rsidRPr="000E4209">
        <w:rPr>
          <w:rFonts w:cs="Times New Roman"/>
        </w:rPr>
        <w:t xml:space="preserve">, development co-benefits are particularly pronounced in </w:t>
      </w:r>
      <w:r>
        <w:rPr>
          <w:rFonts w:cs="Times New Roman"/>
        </w:rPr>
        <w:t>Egypt</w:t>
      </w:r>
      <w:r w:rsidRPr="000E4209">
        <w:rPr>
          <w:rFonts w:cs="Times New Roman"/>
        </w:rPr>
        <w:t>.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that come with road use, including congestion, accidents, and </w:t>
      </w:r>
      <w:r w:rsidRPr="000E4209">
        <w:rPr>
          <w:rFonts w:cs="Times New Roman"/>
        </w:rPr>
        <w:t xml:space="preserve">road damages. </w:t>
      </w:r>
      <w:r>
        <w:rPr>
          <w:rFonts w:cs="Times New Roman"/>
        </w:rPr>
        <w:t>These effects are so large that many researchers have found them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liabilities.</w:t>
      </w:r>
      <w:r>
        <w:rPr>
          <w:rStyle w:val="FootnoteReference"/>
        </w:rPr>
        <w:footnoteReference w:id="6"/>
      </w:r>
    </w:p>
    <w:p w14:paraId="2F83A010" w14:textId="77777777" w:rsidR="00DD7A43" w:rsidRDefault="00DD7A43" w:rsidP="00DD7A43"/>
    <w:tbl>
      <w:tblPr>
        <w:tblW w:w="0" w:type="auto"/>
        <w:tblLook w:val="0600" w:firstRow="0" w:lastRow="0" w:firstColumn="0" w:lastColumn="0" w:noHBand="1" w:noVBand="1"/>
      </w:tblPr>
      <w:tblGrid>
        <w:gridCol w:w="529"/>
        <w:gridCol w:w="7168"/>
        <w:gridCol w:w="1653"/>
      </w:tblGrid>
      <w:tr w:rsidR="00DD7A43" w14:paraId="1E806FC3"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67A04739"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Code</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0AD94581" w14:textId="77777777" w:rsidR="00DD7A43" w:rsidRDefault="00DD7A43" w:rsidP="00566287">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C4C19A3"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Air pollution deaths avoided </w:t>
            </w:r>
          </w:p>
        </w:tc>
      </w:tr>
      <w:tr w:rsidR="00DD7A43" w14:paraId="54265A2C"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bottom"/>
          </w:tcPr>
          <w:p w14:paraId="404C54BF" w14:textId="77777777" w:rsidR="00DD7A43" w:rsidRDefault="00DD7A43" w:rsidP="00566287">
            <w:pPr>
              <w:spacing w:after="0"/>
              <w:jc w:val="center"/>
              <w:rPr>
                <w:rFonts w:ascii="Aptos" w:eastAsia="Aptos" w:hAnsi="Aptos" w:cs="Aptos"/>
                <w:color w:val="0078F0"/>
                <w:sz w:val="20"/>
                <w:szCs w:val="20"/>
              </w:rPr>
            </w:pPr>
            <w:r w:rsidRPr="285A2F06">
              <w:rPr>
                <w:rFonts w:ascii="Aptos" w:eastAsia="Aptos" w:hAnsi="Aptos" w:cs="Aptos"/>
                <w:color w:val="0078F0"/>
                <w:sz w:val="20"/>
                <w:szCs w:val="20"/>
              </w:rPr>
              <w:t xml:space="preserve"> </w:t>
            </w:r>
          </w:p>
        </w:tc>
        <w:tc>
          <w:tcPr>
            <w:tcW w:w="7269" w:type="dxa"/>
            <w:tcBorders>
              <w:top w:val="single" w:sz="4" w:space="0" w:color="000000" w:themeColor="text1"/>
              <w:left w:val="single" w:sz="4" w:space="0" w:color="000000" w:themeColor="text1"/>
              <w:bottom w:val="single" w:sz="4" w:space="0" w:color="000000" w:themeColor="text1"/>
              <w:right w:val="nil"/>
            </w:tcBorders>
            <w:shd w:val="clear" w:color="auto" w:fill="F2F2F2" w:themeFill="background1" w:themeFillShade="F2"/>
            <w:tcMar>
              <w:top w:w="15" w:type="dxa"/>
              <w:left w:w="15" w:type="dxa"/>
              <w:right w:w="15" w:type="dxa"/>
            </w:tcMar>
            <w:vAlign w:val="center"/>
          </w:tcPr>
          <w:p w14:paraId="4B5BF31C" w14:textId="77777777" w:rsidR="00DD7A43" w:rsidRDefault="00DD7A43" w:rsidP="00566287">
            <w:pPr>
              <w:spacing w:after="0"/>
              <w:jc w:val="left"/>
              <w:rPr>
                <w:rFonts w:ascii="Aptos" w:eastAsia="Aptos" w:hAnsi="Aptos" w:cs="Aptos"/>
                <w:b/>
                <w:bCs/>
                <w:color w:val="0078F0"/>
                <w:sz w:val="20"/>
                <w:szCs w:val="20"/>
              </w:rPr>
            </w:pPr>
            <w:r w:rsidRPr="285A2F06">
              <w:rPr>
                <w:rFonts w:ascii="Aptos" w:eastAsia="Aptos" w:hAnsi="Aptos" w:cs="Aptos"/>
                <w:b/>
                <w:bCs/>
                <w:color w:val="0078F0"/>
                <w:sz w:val="20"/>
                <w:szCs w:val="20"/>
              </w:rPr>
              <w:t>Policy Bundle Options - Carbon Pricing (modelled)</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15" w:type="dxa"/>
              <w:left w:w="15" w:type="dxa"/>
              <w:right w:w="15" w:type="dxa"/>
            </w:tcMar>
            <w:vAlign w:val="center"/>
          </w:tcPr>
          <w:p w14:paraId="218A5D34" w14:textId="77777777" w:rsidR="00DD7A43" w:rsidRDefault="00DD7A43" w:rsidP="00566287">
            <w:pPr>
              <w:spacing w:after="0"/>
              <w:jc w:val="center"/>
              <w:rPr>
                <w:rFonts w:ascii="Aptos" w:eastAsia="Aptos" w:hAnsi="Aptos" w:cs="Aptos"/>
                <w:b/>
                <w:bCs/>
                <w:color w:val="0078F0"/>
                <w:sz w:val="20"/>
                <w:szCs w:val="20"/>
              </w:rPr>
            </w:pPr>
            <w:r w:rsidRPr="285A2F06">
              <w:rPr>
                <w:rFonts w:ascii="Aptos" w:eastAsia="Aptos" w:hAnsi="Aptos" w:cs="Aptos"/>
                <w:b/>
                <w:bCs/>
                <w:color w:val="0078F0"/>
                <w:sz w:val="20"/>
                <w:szCs w:val="20"/>
              </w:rPr>
              <w:t xml:space="preserve"> </w:t>
            </w:r>
          </w:p>
        </w:tc>
      </w:tr>
      <w:tr w:rsidR="00DD7A43" w14:paraId="24BE8E0F"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5E325C"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1A</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BECE3C"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Comprehensive carbon levy:</w:t>
            </w:r>
            <w:r w:rsidRPr="285A2F06">
              <w:rPr>
                <w:rFonts w:ascii="Aptos" w:eastAsia="Aptos" w:hAnsi="Aptos" w:cs="Aptos"/>
                <w:color w:val="000000" w:themeColor="text1"/>
                <w:sz w:val="20"/>
                <w:szCs w:val="20"/>
              </w:rPr>
              <w:t xml:space="preserve"> upstream carbon price on all  fossil fuel consumption</w:t>
            </w:r>
            <w:r w:rsidRPr="285A2F06">
              <w:rPr>
                <w:rFonts w:ascii="Aptos" w:eastAsia="Aptos" w:hAnsi="Aptos" w:cs="Aptos"/>
                <w:b/>
                <w:bCs/>
                <w:color w:val="000000" w:themeColor="text1"/>
                <w:sz w:val="20"/>
                <w:szCs w:val="20"/>
              </w:rPr>
              <w:t xml:space="preserve"> </w:t>
            </w:r>
            <w:r w:rsidRPr="285A2F06">
              <w:rPr>
                <w:rFonts w:ascii="Aptos" w:eastAsia="Aptos" w:hAnsi="Aptos" w:cs="Aptos"/>
                <w:color w:val="000000" w:themeColor="text1"/>
                <w:sz w:val="20"/>
                <w:szCs w:val="20"/>
              </w:rPr>
              <w:t xml:space="preserve">+ downstream emissions in CBAM sectors only </w:t>
            </w:r>
            <w:r w:rsidRPr="285A2F06">
              <w:rPr>
                <w:rFonts w:ascii="Aptos" w:eastAsia="Aptos" w:hAnsi="Aptos" w:cs="Aptos"/>
                <w:b/>
                <w:bCs/>
                <w:color w:val="000000" w:themeColor="text1"/>
                <w:sz w:val="20"/>
                <w:szCs w:val="20"/>
              </w:rPr>
              <w:t>+ recycling to (non-green) public investment</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FAB354"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1656</w:t>
            </w:r>
          </w:p>
        </w:tc>
      </w:tr>
      <w:tr w:rsidR="00DD7A43" w14:paraId="3B1845CC"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5CA88C"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2A</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BAC732"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(non-green) public investment</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7895D0"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1564</w:t>
            </w:r>
          </w:p>
        </w:tc>
      </w:tr>
      <w:tr w:rsidR="00DD7A43" w14:paraId="181F9966"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3A78E7"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2B</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73D0EEF"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Upstream carbon levy</w:t>
            </w:r>
            <w:r w:rsidRPr="285A2F06">
              <w:rPr>
                <w:rFonts w:ascii="Aptos" w:eastAsia="Aptos" w:hAnsi="Aptos" w:cs="Aptos"/>
                <w:color w:val="000000" w:themeColor="text1"/>
                <w:sz w:val="20"/>
                <w:szCs w:val="20"/>
              </w:rPr>
              <w:t xml:space="preserve"> on all</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fossil fuel consumption</w:t>
            </w:r>
            <w:r w:rsidRPr="285A2F06">
              <w:rPr>
                <w:rFonts w:ascii="Aptos" w:eastAsia="Aptos" w:hAnsi="Aptos" w:cs="Aptos"/>
                <w:b/>
                <w:bCs/>
                <w:color w:val="000000" w:themeColor="text1"/>
                <w:sz w:val="20"/>
                <w:szCs w:val="20"/>
              </w:rPr>
              <w:t xml:space="preserve"> + recycling to households</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72B892"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1631</w:t>
            </w:r>
          </w:p>
        </w:tc>
      </w:tr>
      <w:tr w:rsidR="00DD7A43" w14:paraId="2B7CF07E"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4CA829"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lastRenderedPageBreak/>
              <w:t>3A</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DBF906"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Downstream carbon price</w:t>
            </w:r>
            <w:r w:rsidRPr="285A2F06">
              <w:rPr>
                <w:rFonts w:ascii="Aptos" w:eastAsia="Aptos" w:hAnsi="Aptos" w:cs="Aptos"/>
                <w:b/>
                <w:bCs/>
                <w:color w:val="FF0000"/>
                <w:sz w:val="20"/>
                <w:szCs w:val="20"/>
              </w:rPr>
              <w:t xml:space="preserve"> </w:t>
            </w:r>
            <w:r w:rsidRPr="285A2F06">
              <w:rPr>
                <w:rFonts w:ascii="Aptos" w:eastAsia="Aptos" w:hAnsi="Aptos" w:cs="Aptos"/>
                <w:color w:val="000000" w:themeColor="text1"/>
                <w:sz w:val="20"/>
                <w:szCs w:val="20"/>
              </w:rPr>
              <w:t xml:space="preserve">on heavy industry </w:t>
            </w:r>
            <w:r>
              <w:br/>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recycling to households</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ED23A3"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546</w:t>
            </w:r>
          </w:p>
        </w:tc>
      </w:tr>
      <w:tr w:rsidR="00DD7A43" w14:paraId="549F1457" w14:textId="77777777" w:rsidTr="00566287">
        <w:trPr>
          <w:trHeight w:val="453"/>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22E82A"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3B</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317DA9" w14:textId="77777777" w:rsidR="00DD7A43" w:rsidRDefault="00DD7A43" w:rsidP="00566287">
            <w:pPr>
              <w:spacing w:after="0"/>
              <w:jc w:val="left"/>
              <w:rPr>
                <w:rFonts w:ascii="Aptos" w:eastAsia="Aptos" w:hAnsi="Aptos" w:cs="Aptos"/>
                <w:color w:val="000000" w:themeColor="text1"/>
                <w:sz w:val="20"/>
                <w:szCs w:val="20"/>
              </w:rPr>
            </w:pPr>
            <w:r w:rsidRPr="285A2F06">
              <w:rPr>
                <w:rFonts w:ascii="Aptos" w:eastAsia="Aptos" w:hAnsi="Aptos" w:cs="Aptos"/>
                <w:b/>
                <w:bCs/>
                <w:color w:val="000000" w:themeColor="text1"/>
                <w:sz w:val="20"/>
                <w:szCs w:val="20"/>
              </w:rPr>
              <w:t xml:space="preserve">Downstream carbon price </w:t>
            </w:r>
            <w:r w:rsidRPr="285A2F06">
              <w:rPr>
                <w:rFonts w:ascii="Aptos" w:eastAsia="Aptos" w:hAnsi="Aptos" w:cs="Aptos"/>
                <w:color w:val="000000" w:themeColor="text1"/>
                <w:sz w:val="20"/>
                <w:szCs w:val="20"/>
              </w:rPr>
              <w:t xml:space="preserve">on heavy industry + </w:t>
            </w:r>
            <w:r w:rsidRPr="285A2F06">
              <w:rPr>
                <w:rFonts w:ascii="Aptos" w:eastAsia="Aptos" w:hAnsi="Aptos" w:cs="Aptos"/>
                <w:b/>
                <w:bCs/>
                <w:color w:val="000000" w:themeColor="text1"/>
                <w:sz w:val="20"/>
                <w:szCs w:val="20"/>
              </w:rPr>
              <w:t xml:space="preserve">free allocation </w:t>
            </w:r>
            <w:r w:rsidRPr="285A2F06">
              <w:rPr>
                <w:rFonts w:ascii="Aptos" w:eastAsia="Aptos" w:hAnsi="Aptos" w:cs="Aptos"/>
                <w:color w:val="000000" w:themeColor="text1"/>
                <w:sz w:val="20"/>
                <w:szCs w:val="20"/>
              </w:rPr>
              <w:t xml:space="preserve">for CBAM producers </w:t>
            </w:r>
            <w:r>
              <w:br/>
            </w:r>
            <w:r w:rsidRPr="285A2F06">
              <w:rPr>
                <w:rFonts w:ascii="Aptos" w:eastAsia="Aptos" w:hAnsi="Aptos" w:cs="Aptos"/>
                <w:color w:val="000000" w:themeColor="text1"/>
                <w:sz w:val="20"/>
                <w:szCs w:val="20"/>
              </w:rPr>
              <w:t xml:space="preserve">(intensity benchmark per unit of output) </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AE6D2D"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345</w:t>
            </w:r>
          </w:p>
        </w:tc>
      </w:tr>
      <w:tr w:rsidR="00DD7A43" w14:paraId="0931E1D3" w14:textId="77777777" w:rsidTr="00566287">
        <w:trPr>
          <w:trHeight w:val="300"/>
        </w:trPr>
        <w:tc>
          <w:tcPr>
            <w:tcW w:w="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DC21E6"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3C</w:t>
            </w:r>
          </w:p>
        </w:tc>
        <w:tc>
          <w:tcPr>
            <w:tcW w:w="7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0D5BA9" w14:textId="77777777" w:rsidR="00DD7A43" w:rsidRDefault="00DD7A43" w:rsidP="00566287">
            <w:pPr>
              <w:spacing w:after="0"/>
              <w:jc w:val="left"/>
              <w:rPr>
                <w:rFonts w:ascii="Aptos" w:eastAsia="Aptos" w:hAnsi="Aptos" w:cs="Aptos"/>
                <w:b/>
                <w:bCs/>
                <w:color w:val="000000" w:themeColor="text1"/>
                <w:sz w:val="20"/>
                <w:szCs w:val="20"/>
              </w:rPr>
            </w:pPr>
            <w:r w:rsidRPr="285A2F06">
              <w:rPr>
                <w:rFonts w:ascii="Aptos" w:eastAsia="Aptos" w:hAnsi="Aptos" w:cs="Aptos"/>
                <w:b/>
                <w:bCs/>
                <w:color w:val="000000" w:themeColor="text1"/>
                <w:sz w:val="20"/>
                <w:szCs w:val="20"/>
              </w:rPr>
              <w:t xml:space="preserve">Downstream carbon price on heavy industry </w:t>
            </w:r>
            <w:r w:rsidRPr="285A2F06">
              <w:rPr>
                <w:rFonts w:ascii="Aptos" w:eastAsia="Aptos" w:hAnsi="Aptos" w:cs="Aptos"/>
                <w:color w:val="000000" w:themeColor="text1"/>
                <w:sz w:val="20"/>
                <w:szCs w:val="20"/>
              </w:rPr>
              <w:t>+</w:t>
            </w:r>
            <w:r>
              <w:br/>
            </w:r>
            <w:r w:rsidRPr="285A2F06">
              <w:rPr>
                <w:rFonts w:ascii="Aptos" w:eastAsia="Aptos" w:hAnsi="Aptos" w:cs="Aptos"/>
                <w:color w:val="000000" w:themeColor="text1"/>
                <w:sz w:val="20"/>
                <w:szCs w:val="20"/>
              </w:rPr>
              <w:t xml:space="preserve"> </w:t>
            </w:r>
            <w:r w:rsidRPr="285A2F06">
              <w:rPr>
                <w:rFonts w:ascii="Aptos" w:eastAsia="Aptos" w:hAnsi="Aptos" w:cs="Aptos"/>
                <w:b/>
                <w:bCs/>
                <w:color w:val="000000" w:themeColor="text1"/>
                <w:sz w:val="20"/>
                <w:szCs w:val="20"/>
              </w:rPr>
              <w:t>rebate for industrial abatement</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821379" w14:textId="77777777" w:rsidR="00DD7A43" w:rsidRDefault="00DD7A43" w:rsidP="00566287">
            <w:pPr>
              <w:spacing w:after="0"/>
              <w:jc w:val="center"/>
              <w:rPr>
                <w:rFonts w:ascii="Aptos" w:eastAsia="Aptos" w:hAnsi="Aptos" w:cs="Aptos"/>
                <w:color w:val="000000" w:themeColor="text1"/>
                <w:sz w:val="20"/>
                <w:szCs w:val="20"/>
              </w:rPr>
            </w:pPr>
            <w:r w:rsidRPr="285A2F06">
              <w:rPr>
                <w:rFonts w:ascii="Aptos" w:eastAsia="Aptos" w:hAnsi="Aptos" w:cs="Aptos"/>
                <w:color w:val="000000" w:themeColor="text1"/>
                <w:sz w:val="20"/>
                <w:szCs w:val="20"/>
              </w:rPr>
              <w:t>621</w:t>
            </w:r>
          </w:p>
        </w:tc>
      </w:tr>
    </w:tbl>
    <w:p w14:paraId="59B11F76" w14:textId="77777777" w:rsidR="00DD7A43" w:rsidRDefault="00DD7A43" w:rsidP="00DD7A43">
      <w:pPr>
        <w:rPr>
          <w:rFonts w:cs="Times New Roman"/>
        </w:rPr>
      </w:pPr>
    </w:p>
    <w:p w14:paraId="7B10DA77" w14:textId="77777777" w:rsidR="00DD7A43" w:rsidRDefault="00DD7A43" w:rsidP="00DD7A43">
      <w:r>
        <w:rPr>
          <w:rFonts w:cs="Times New Roman"/>
        </w:rPr>
        <w:t xml:space="preserve">CPAT modeling results focus on the mortality benefits from reduced air pollution. Across the scenarios, </w:t>
      </w:r>
      <w:r>
        <w:rPr>
          <w:rFonts w:eastAsia="Segoe UI" w:cs="Segoe UI"/>
        </w:rPr>
        <w:t>t</w:t>
      </w:r>
      <w:r w:rsidRPr="285A2F06">
        <w:rPr>
          <w:rFonts w:eastAsia="Segoe UI" w:cs="Segoe UI"/>
        </w:rPr>
        <w:t xml:space="preserve">he </w:t>
      </w:r>
      <w:r>
        <w:rPr>
          <w:rFonts w:eastAsia="Segoe UI" w:cs="Segoe UI"/>
        </w:rPr>
        <w:t xml:space="preserve">carbon pricing </w:t>
      </w:r>
      <w:r w:rsidRPr="285A2F06">
        <w:rPr>
          <w:rFonts w:eastAsia="Segoe UI" w:cs="Segoe UI"/>
        </w:rPr>
        <w:t>bundles deliver substantial air pollution co-benefits, avoiding between 345 and 1,656 premature deaths annually, broadly in line with the breadth of fuel combustion each option covers. The comprehensive carbon levy (1A) yields the largest health gain, with 1,656 deaths avoided, reflecting its wide coverage of fossil fuel combustion across the economy. The two upstream levies follow closely: the household-recycling variant (2B) avoids 1,631 deaths and the public-investment variant (2A) 1,564, the difference tracking their slightly different effects on energy demand. The downstream options on heavy industry deliver markedly smaller health benefits, since they leave most combustion sources—notably in transport and buildings—unpriced: the rebate for industrial abatement (3C) avoids 621 deaths, the household-recycling design (3A) 546, and the free-allocation design (3B) the fewest at 345. These co-benefits accrue domestically and in the near term, independent of global mitigation outcomes, and typically constitute a significant share of the overall welfare case for carbon pricing.</w:t>
      </w:r>
    </w:p>
    <w:p w14:paraId="5099F6F3" w14:textId="77777777" w:rsidR="00DD7A43" w:rsidRPr="001E3733" w:rsidRDefault="00DD7A43" w:rsidP="00DD7A43">
      <w:pPr>
        <w:pStyle w:val="Heading3"/>
      </w:pPr>
      <w:r>
        <w:t>Summary of tradeoffs and implications for Egypt</w:t>
      </w:r>
    </w:p>
    <w:p w14:paraId="3DA39B86" w14:textId="77777777" w:rsidR="00DD7A43" w:rsidRDefault="00DD7A43" w:rsidP="00DD7A43">
      <w:pPr>
        <w:rPr>
          <w:rFonts w:eastAsia="Segoe UI" w:cs="Segoe UI"/>
        </w:rPr>
      </w:pPr>
      <w:r w:rsidRPr="285A2F06">
        <w:rPr>
          <w:rFonts w:eastAsia="Segoe UI" w:cs="Segoe UI"/>
        </w:rPr>
        <w:t xml:space="preserve">Taken together, the six bundles illustrate a central tension in carbon policy design: </w:t>
      </w:r>
      <w:r w:rsidRPr="006D67BD">
        <w:rPr>
          <w:rFonts w:eastAsia="Segoe UI" w:cs="Segoe UI"/>
          <w:b/>
          <w:bCs/>
        </w:rPr>
        <w:t>the choices that maximize domestic fiscal and health returns are not the same as those that most reduce CBAM exposure, and no single option dominates on every dimension</w:t>
      </w:r>
      <w:r w:rsidRPr="285A2F06">
        <w:rPr>
          <w:rFonts w:eastAsia="Segoe UI" w:cs="Segoe UI"/>
        </w:rPr>
        <w:t xml:space="preserve">. The comprehensive carbon levy (1A) emerges as the most balanced performer, combining the broadest emissions coverage with the largest emissions reductions (41.6 MtCO₂), the highest carbon revenues ($5.8 billion), and the greatest air pollution co-benefits (1,656 deaths avoided), while also delivering a substantial cut in CBAM obligations (26.1 percent). The upstream levies (2A and 2B) achieve nearly comparable mitigation, revenue, and health outcomes, but their narrower reach into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w:t>
      </w:r>
    </w:p>
    <w:p w14:paraId="489235F3" w14:textId="77777777" w:rsidR="00DD7A43" w:rsidRDefault="00DD7A43" w:rsidP="00DD7A43">
      <w:pPr>
        <w:rPr>
          <w:rFonts w:eastAsia="Segoe UI" w:cs="Segoe UI"/>
        </w:rPr>
      </w:pPr>
      <w:r w:rsidRPr="285A2F06">
        <w:rPr>
          <w:rFonts w:eastAsia="Segoe UI" w:cs="Segoe UI"/>
        </w:rPr>
        <w:t xml:space="preserve">The principal trade-offs cluster around three levers. </w:t>
      </w:r>
    </w:p>
    <w:p w14:paraId="2C2C960D" w14:textId="77777777" w:rsidR="00DD7A43" w:rsidRDefault="00DD7A43" w:rsidP="00DD7A43">
      <w:pPr>
        <w:rPr>
          <w:rFonts w:eastAsia="Segoe UI" w:cs="Segoe UI"/>
        </w:rPr>
      </w:pPr>
      <w:r w:rsidRPr="285A2F06">
        <w:rPr>
          <w:rFonts w:eastAsia="Segoe UI" w:cs="Segoe UI"/>
        </w:rPr>
        <w:t xml:space="preserve">The first is the point of imposition: </w:t>
      </w:r>
      <w:r w:rsidRPr="00510C9D">
        <w:rPr>
          <w:rFonts w:eastAsia="Segoe UI" w:cs="Segoe UI"/>
          <w:b/>
          <w:bCs/>
        </w:rPr>
        <w:t>broad-based upstream and comprehensive pricing maximizes economy-wide gains</w:t>
      </w:r>
      <w:r w:rsidRPr="005A707C">
        <w:rPr>
          <w:rFonts w:eastAsia="Segoe UI" w:cs="Segoe UI"/>
        </w:rPr>
        <w:t>—emissions, revenue, and health—because it reaches transport, buildings, and power, whereas downstream industrial pricing concentrates effort on a narrow base and forgoes most of those co-benefits.</w:t>
      </w:r>
      <w:r w:rsidRPr="285A2F06">
        <w:rPr>
          <w:rFonts w:eastAsia="Segoe UI" w:cs="Segoe UI"/>
        </w:rPr>
        <w:t xml:space="preserve"> </w:t>
      </w:r>
    </w:p>
    <w:p w14:paraId="45854458" w14:textId="77777777" w:rsidR="00DD7A43" w:rsidRDefault="00DD7A43" w:rsidP="00DD7A43">
      <w:pPr>
        <w:rPr>
          <w:rFonts w:eastAsia="Segoe UI" w:cs="Segoe UI"/>
        </w:rPr>
      </w:pPr>
      <w:r w:rsidRPr="285A2F06">
        <w:rPr>
          <w:rFonts w:eastAsia="Segoe UI" w:cs="Segoe UI"/>
        </w:rPr>
        <w:t xml:space="preserve">The second is revenue recycling: </w:t>
      </w:r>
      <w:r w:rsidRPr="005A707C">
        <w:rPr>
          <w:rFonts w:eastAsia="Segoe UI" w:cs="Segoe UI"/>
          <w:b/>
          <w:bCs/>
        </w:rPr>
        <w:t xml:space="preserve">directing proceeds to public investment or households preserves measured carbon revenues, while returning value to firms through free allocation </w:t>
      </w:r>
      <w:r w:rsidRPr="005A707C">
        <w:rPr>
          <w:rFonts w:eastAsia="Segoe UI" w:cs="Segoe UI"/>
          <w:b/>
          <w:bCs/>
        </w:rPr>
        <w:lastRenderedPageBreak/>
        <w:t>(3B) or rebates (3C) sacrifices fiscal yield</w:t>
      </w:r>
      <w:r w:rsidRPr="285A2F06">
        <w:rPr>
          <w:rFonts w:eastAsia="Segoe UI" w:cs="Segoe UI"/>
        </w:rPr>
        <w:t xml:space="preserve">. </w:t>
      </w:r>
      <w:r>
        <w:rPr>
          <w:rFonts w:eastAsia="Segoe UI" w:cs="Segoe UI"/>
        </w:rPr>
        <w:t>Additional modeling including trade and industrial structure details would be helpful to understand the tradeoffs in terms of competitiveness impacts on domestic and non-EU foreign markets.</w:t>
      </w:r>
    </w:p>
    <w:p w14:paraId="249BB2B8" w14:textId="77777777" w:rsidR="00DD7A43" w:rsidRDefault="00DD7A43" w:rsidP="00DD7A43">
      <w:r w:rsidRPr="285A2F06">
        <w:rPr>
          <w:rFonts w:eastAsia="Segoe UI" w:cs="Segoe UI"/>
        </w:rPr>
        <w:t xml:space="preserve">The third is CBAM optimization, where </w:t>
      </w:r>
      <w:r w:rsidRPr="00520A7E">
        <w:rPr>
          <w:rFonts w:eastAsia="Segoe UI" w:cs="Segoe UI"/>
          <w:b/>
          <w:bCs/>
        </w:rPr>
        <w:t>the rebate-for-</w:t>
      </w:r>
      <w:r>
        <w:rPr>
          <w:rFonts w:eastAsia="Segoe UI" w:cs="Segoe UI"/>
          <w:b/>
          <w:bCs/>
        </w:rPr>
        <w:t>industrial-</w:t>
      </w:r>
      <w:r w:rsidRPr="00520A7E">
        <w:rPr>
          <w:rFonts w:eastAsia="Segoe UI" w:cs="Segoe UI"/>
          <w:b/>
          <w:bCs/>
        </w:rPr>
        <w:t>abatement design (3C) stands apart—achieving the deepest cut in CBAM obligations (30.4 percent)</w:t>
      </w:r>
      <w:r w:rsidRPr="285A2F06">
        <w:rPr>
          <w:rFonts w:eastAsia="Segoe UI" w:cs="Segoe UI"/>
        </w:rPr>
        <w:t xml:space="preserve"> precisely because it rewards abatement without blunting the marginal price signal, unlike free allocation (3B), which protects competitiveness but undermines both revenue and CBAM relief.</w:t>
      </w:r>
    </w:p>
    <w:p w14:paraId="04241304" w14:textId="77777777" w:rsidR="00DD7A43" w:rsidRPr="00D8053D" w:rsidRDefault="00DD7A43" w:rsidP="00DD7A43">
      <w:r w:rsidRPr="000F2B3D">
        <w:rPr>
          <w:rFonts w:eastAsia="Segoe UI" w:cs="Segoe UI"/>
          <w:b/>
          <w:bCs/>
        </w:rPr>
        <w:t>The implication for Egypt is that the "best" bundle depends on which objective is weighted most heavily.</w:t>
      </w:r>
      <w:r w:rsidRPr="285A2F06">
        <w:rPr>
          <w:rFonts w:eastAsia="Segoe UI" w:cs="Segoe UI"/>
        </w:rPr>
        <w:t xml:space="preserve"> If the priority is raising revenue and maximizing domestic welfare, comprehensive or upstream pricing is clearly preferable. If the overriding concern is shielding exporters from CBAM costs while maintaining abatement incentives, the rebate-based industrial design is most effective, albeit at the cost of forgone revenue and health benefits. Free allocation, by contrast, performs weakly across nearly all metrics and offers competitiveness protection only by suppressing the very price signal that drives mitigation. A sequenced strategy—beginning with a broad-based price and complementing it with well-designed, abatement-linked support for CBAM-exposed industry—would capture most of the economy-wide benefits while managing trade exposure</w:t>
      </w:r>
      <w:r>
        <w:rPr>
          <w:rFonts w:eastAsia="Segoe UI" w:cs="Segoe UI"/>
        </w:rPr>
        <w:t>. P</w:t>
      </w:r>
      <w:r w:rsidRPr="285A2F06">
        <w:rPr>
          <w:rFonts w:eastAsia="Segoe UI" w:cs="Segoe UI"/>
        </w:rPr>
        <w:t>airing any of these options with fossil fuel subsidy reform would further strengthen both the price signal and the fiscal return.</w:t>
      </w:r>
    </w:p>
    <w:p w14:paraId="55C59121" w14:textId="77777777" w:rsidR="00E445EB" w:rsidRDefault="00E445EB"/>
    <w:sectPr w:rsidR="00E445EB">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guel Eduardo Sanchez Martin" w:date="2026-07-02T16:20:00Z" w:initials="MS">
    <w:p w14:paraId="613C0B15" w14:textId="77777777" w:rsidR="00DD7A43" w:rsidRDefault="00DD7A43" w:rsidP="00DD7A43">
      <w:pPr>
        <w:pStyle w:val="CommentText"/>
        <w:jc w:val="left"/>
      </w:pPr>
      <w:r>
        <w:rPr>
          <w:rStyle w:val="CommentReference"/>
        </w:rPr>
        <w:annotationRef/>
      </w:r>
      <w:r>
        <w:t>$20 per what? Per crude oil barrel? Maybe we would need to specify the unit of measure.</w:t>
      </w:r>
    </w:p>
    <w:p w14:paraId="57820390" w14:textId="77777777" w:rsidR="00DD7A43" w:rsidRDefault="00DD7A43" w:rsidP="00DD7A43">
      <w:pPr>
        <w:pStyle w:val="CommentText"/>
        <w:jc w:val="left"/>
      </w:pPr>
    </w:p>
    <w:p w14:paraId="31CF8A79" w14:textId="77777777" w:rsidR="00DD7A43" w:rsidRDefault="00DD7A43" w:rsidP="00DD7A43">
      <w:pPr>
        <w:pStyle w:val="CommentText"/>
        <w:jc w:val="left"/>
      </w:pPr>
      <w:r>
        <w:t xml:space="preserve">I understand we are just simulating an upstream tax on imports of fossil fuel, not further levies in the fuel station (as that would only affect the transport sector). </w:t>
      </w:r>
    </w:p>
  </w:comment>
  <w:comment w:id="2" w:author="Carolyn Fischer" w:date="2026-06-28T20:46:00Z" w:initials="CF">
    <w:p w14:paraId="020011A9" w14:textId="77777777" w:rsidR="00DD7A43" w:rsidRDefault="00DD7A43" w:rsidP="00626247">
      <w:pPr>
        <w:pStyle w:val="CommentText"/>
        <w:jc w:val="left"/>
      </w:pPr>
      <w:r>
        <w:rPr>
          <w:rStyle w:val="CommentReference"/>
        </w:rPr>
        <w:annotationRef/>
      </w:r>
      <w:r>
        <w:t>Stephen, I think you should report changes in industrial output. This seems like quite a large difference. There should be some discussion and caveats about the assumed output elasticities, lack of trade, leakage, etc.</w:t>
      </w:r>
    </w:p>
  </w:comment>
  <w:comment w:id="3" w:author="Miguel Eduardo Sanchez Martin" w:date="2026-07-02T16:31:00Z" w:initials="MS">
    <w:p w14:paraId="57B241BB" w14:textId="77777777" w:rsidR="00DD7A43" w:rsidRDefault="00DD7A43" w:rsidP="005D5F88">
      <w:pPr>
        <w:pStyle w:val="CommentText"/>
        <w:jc w:val="left"/>
      </w:pPr>
      <w:r>
        <w:rPr>
          <w:rStyle w:val="CommentReference"/>
        </w:rPr>
        <w:annotationRef/>
      </w:r>
      <w:r>
        <w:t xml:space="preserve">Very good point, I agree. One of the experts in the High-Level Committee, the Ambassador, reiterated the need to understand how the different options would affect the economy and the sectors/ output. </w:t>
      </w:r>
    </w:p>
  </w:comment>
  <w:comment w:id="4" w:author="Carolyn Fischer" w:date="2026-07-13T13:23:00Z" w:initials="CF">
    <w:p w14:paraId="6C908BC2" w14:textId="77777777" w:rsidR="00DD7A43" w:rsidRDefault="00DD7A43" w:rsidP="006A77DE">
      <w:pPr>
        <w:pStyle w:val="CommentText"/>
        <w:jc w:val="left"/>
      </w:pPr>
      <w:r>
        <w:rPr>
          <w:rStyle w:val="CommentReference"/>
        </w:rPr>
        <w:annotationRef/>
      </w:r>
      <w:r>
        <w:t>References are missing for these citations</w:t>
      </w:r>
    </w:p>
  </w:comment>
  <w:comment w:id="5" w:author="Carolyn Fischer" w:date="2026-06-28T20:55:00Z" w:initials="CF">
    <w:p w14:paraId="004E86BE" w14:textId="77777777" w:rsidR="00DD7A43" w:rsidRDefault="00DD7A43" w:rsidP="00DD7A43">
      <w:pPr>
        <w:pStyle w:val="CommentText"/>
        <w:jc w:val="left"/>
      </w:pPr>
      <w:r>
        <w:rPr>
          <w:rStyle w:val="CommentReference"/>
        </w:rPr>
        <w:annotationRef/>
      </w:r>
      <w:r>
        <w:t>Govinda R. Timilsina, Samuel Sebsibie,</w:t>
      </w:r>
    </w:p>
    <w:p w14:paraId="5F93E4D6" w14:textId="77777777" w:rsidR="00DD7A43" w:rsidRDefault="00DD7A43" w:rsidP="00DD7A43">
      <w:pPr>
        <w:pStyle w:val="CommentText"/>
        <w:jc w:val="left"/>
      </w:pPr>
      <w:r>
        <w:t>Energy subsidy removal and carbon taxation in Egypt: Economic and distributional impacts,</w:t>
      </w:r>
    </w:p>
    <w:p w14:paraId="47BEE054" w14:textId="77777777" w:rsidR="00DD7A43" w:rsidRDefault="00DD7A43" w:rsidP="00DD7A43">
      <w:pPr>
        <w:pStyle w:val="CommentText"/>
        <w:jc w:val="left"/>
      </w:pPr>
      <w:r>
        <w:t>Energy Economics,</w:t>
      </w:r>
    </w:p>
    <w:p w14:paraId="00B0BEAD" w14:textId="77777777" w:rsidR="00DD7A43" w:rsidRDefault="00DD7A43" w:rsidP="00DD7A43">
      <w:pPr>
        <w:pStyle w:val="CommentText"/>
        <w:jc w:val="left"/>
      </w:pPr>
      <w:r>
        <w:t>Volume 160,</w:t>
      </w:r>
    </w:p>
    <w:p w14:paraId="178FA341" w14:textId="77777777" w:rsidR="00DD7A43" w:rsidRDefault="00DD7A43" w:rsidP="00DD7A43">
      <w:pPr>
        <w:pStyle w:val="CommentText"/>
        <w:jc w:val="left"/>
      </w:pPr>
      <w:r>
        <w:t>2026,</w:t>
      </w:r>
    </w:p>
    <w:p w14:paraId="7C76B520" w14:textId="77777777" w:rsidR="00DD7A43" w:rsidRDefault="00DD7A43" w:rsidP="00DD7A43">
      <w:pPr>
        <w:pStyle w:val="CommentText"/>
        <w:jc w:val="left"/>
      </w:pPr>
      <w:r>
        <w:t>109470,</w:t>
      </w:r>
    </w:p>
    <w:p w14:paraId="710F8106" w14:textId="77777777" w:rsidR="00DD7A43" w:rsidRDefault="00DD7A43" w:rsidP="00DD7A43">
      <w:pPr>
        <w:pStyle w:val="CommentText"/>
        <w:jc w:val="left"/>
      </w:pPr>
      <w:r>
        <w:t>ISSN 0140-9883,</w:t>
      </w:r>
    </w:p>
    <w:p w14:paraId="7AD5B717" w14:textId="77777777" w:rsidR="00DD7A43" w:rsidRDefault="00DD7A43" w:rsidP="00DD7A43">
      <w:pPr>
        <w:pStyle w:val="CommentText"/>
        <w:jc w:val="left"/>
      </w:pPr>
      <w:hyperlink r:id="rId1" w:history="1">
        <w:r w:rsidRPr="00BA4A1A">
          <w:rPr>
            <w:rStyle w:val="Hyperlink"/>
          </w:rPr>
          <w:t>https://doi.org/10.1016/j.eneco.2026.109470</w:t>
        </w:r>
      </w:hyperlink>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CF8A79" w15:done="1"/>
  <w15:commentEx w15:paraId="020011A9" w15:done="0"/>
  <w15:commentEx w15:paraId="57B241BB" w15:paraIdParent="020011A9" w15:done="0"/>
  <w15:commentEx w15:paraId="6C908BC2" w15:done="0"/>
  <w15:commentEx w15:paraId="7AD5B7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C800FF" w16cex:dateUtc="2026-07-02T13:20:00Z"/>
  <w16cex:commentExtensible w16cex:durableId="570A37DF" w16cex:dateUtc="2026-06-28T18:46:00Z">
    <w16cex:extLst>
      <w16:ext w16:uri="{CE6994B0-6A32-4C9F-8C6B-6E91EDA988CE}">
        <cr:reactions xmlns:cr="http://schemas.microsoft.com/office/comments/2020/reactions">
          <cr:reaction reactionType="1">
            <cr:reactionInfo dateUtc="2026-07-16T19:34:12Z">
              <cr:user userId="S::sstretton@worldbank.org::da8c780b-1aa2-4e36-94fb-871dc8111504" userProvider="AD" userName="Stephen John Stretton"/>
            </cr:reactionInfo>
          </cr:reaction>
        </cr:reactions>
      </w16:ext>
    </w16cex:extLst>
  </w16cex:commentExtensible>
  <w16cex:commentExtensible w16cex:durableId="0BDBF9AD" w16cex:dateUtc="2026-07-02T13:31:00Z"/>
  <w16cex:commentExtensible w16cex:durableId="267D68C1" w16cex:dateUtc="2026-07-13T17:23:00Z"/>
  <w16cex:commentExtensible w16cex:durableId="5D6F8742" w16cex:dateUtc="2026-06-28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CF8A79" w16cid:durableId="23C800FF"/>
  <w16cid:commentId w16cid:paraId="020011A9" w16cid:durableId="570A37DF"/>
  <w16cid:commentId w16cid:paraId="57B241BB" w16cid:durableId="0BDBF9AD"/>
  <w16cid:commentId w16cid:paraId="6C908BC2" w16cid:durableId="267D68C1"/>
  <w16cid:commentId w16cid:paraId="7AD5B717" w16cid:durableId="5D6F87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3D2B" w14:textId="77777777" w:rsidR="00726A54" w:rsidRDefault="00726A54" w:rsidP="00DD7A43">
      <w:pPr>
        <w:spacing w:after="0" w:line="240" w:lineRule="auto"/>
      </w:pPr>
      <w:r>
        <w:separator/>
      </w:r>
    </w:p>
  </w:endnote>
  <w:endnote w:type="continuationSeparator" w:id="0">
    <w:p w14:paraId="18A7EE0E" w14:textId="77777777" w:rsidR="00726A54" w:rsidRDefault="00726A54" w:rsidP="00DD7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2A5A" w14:textId="1626E2A5" w:rsidR="00DD7A43" w:rsidRDefault="00DD7A43">
    <w:pPr>
      <w:pStyle w:val="Footer"/>
    </w:pPr>
    <w:r>
      <w:rPr>
        <w:noProof/>
        <w14:ligatures w14:val="standardContextual"/>
      </w:rPr>
      <mc:AlternateContent>
        <mc:Choice Requires="wps">
          <w:drawing>
            <wp:anchor distT="0" distB="0" distL="0" distR="0" simplePos="0" relativeHeight="251659264" behindDoc="0" locked="0" layoutInCell="1" allowOverlap="1" wp14:anchorId="6CD18D42" wp14:editId="384B8534">
              <wp:simplePos x="635" y="635"/>
              <wp:positionH relativeFrom="page">
                <wp:align>right</wp:align>
              </wp:positionH>
              <wp:positionV relativeFrom="page">
                <wp:align>bottom</wp:align>
              </wp:positionV>
              <wp:extent cx="1172210" cy="357505"/>
              <wp:effectExtent l="0" t="0" r="0" b="0"/>
              <wp:wrapNone/>
              <wp:docPr id="832151668"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4A81E881" w14:textId="74C188D5" w:rsidR="00DD7A43" w:rsidRPr="00DD7A43" w:rsidRDefault="00DD7A43" w:rsidP="00DD7A43">
                          <w:pPr>
                            <w:spacing w:after="0"/>
                            <w:rPr>
                              <w:rFonts w:ascii="Aptos" w:eastAsia="Aptos" w:hAnsi="Aptos" w:cs="Aptos"/>
                              <w:noProof/>
                              <w:color w:val="000000"/>
                              <w:sz w:val="20"/>
                              <w:szCs w:val="20"/>
                            </w:rPr>
                          </w:pPr>
                          <w:r w:rsidRPr="00DD7A43">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CD18D42" id="_x0000_t202" coordsize="21600,21600" o:spt="202" path="m,l,21600r21600,l21600,xe">
              <v:stroke joinstyle="miter"/>
              <v:path gradientshapeok="t" o:connecttype="rect"/>
            </v:shapetype>
            <v:shape id="Text Box 2" o:spid="_x0000_s1027"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fill o:detectmouseclick="t"/>
              <v:textbox style="mso-fit-shape-to-text:t" inset="0,0,20pt,15pt">
                <w:txbxContent>
                  <w:p w14:paraId="4A81E881" w14:textId="74C188D5" w:rsidR="00DD7A43" w:rsidRPr="00DD7A43" w:rsidRDefault="00DD7A43" w:rsidP="00DD7A43">
                    <w:pPr>
                      <w:spacing w:after="0"/>
                      <w:rPr>
                        <w:rFonts w:ascii="Aptos" w:eastAsia="Aptos" w:hAnsi="Aptos" w:cs="Aptos"/>
                        <w:noProof/>
                        <w:color w:val="000000"/>
                        <w:sz w:val="20"/>
                        <w:szCs w:val="20"/>
                      </w:rPr>
                    </w:pPr>
                    <w:r w:rsidRPr="00DD7A43">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1F68" w14:textId="304386B4" w:rsidR="00DD7A43" w:rsidRDefault="00DD7A43">
    <w:pPr>
      <w:pStyle w:val="Footer"/>
    </w:pPr>
    <w:r>
      <w:rPr>
        <w:noProof/>
        <w14:ligatures w14:val="standardContextual"/>
      </w:rPr>
      <mc:AlternateContent>
        <mc:Choice Requires="wps">
          <w:drawing>
            <wp:anchor distT="0" distB="0" distL="0" distR="0" simplePos="0" relativeHeight="251660288" behindDoc="0" locked="0" layoutInCell="1" allowOverlap="1" wp14:anchorId="2993759E" wp14:editId="19BF6916">
              <wp:simplePos x="914400" y="9415463"/>
              <wp:positionH relativeFrom="page">
                <wp:align>right</wp:align>
              </wp:positionH>
              <wp:positionV relativeFrom="page">
                <wp:align>bottom</wp:align>
              </wp:positionV>
              <wp:extent cx="1172210" cy="357505"/>
              <wp:effectExtent l="0" t="0" r="0" b="0"/>
              <wp:wrapNone/>
              <wp:docPr id="8337211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2B714A53" w14:textId="343D26AC" w:rsidR="00DD7A43" w:rsidRPr="00DD7A43" w:rsidRDefault="00DD7A43" w:rsidP="00DD7A43">
                          <w:pPr>
                            <w:spacing w:after="0"/>
                            <w:rPr>
                              <w:rFonts w:ascii="Aptos" w:eastAsia="Aptos" w:hAnsi="Aptos" w:cs="Aptos"/>
                              <w:noProof/>
                              <w:color w:val="000000"/>
                              <w:sz w:val="20"/>
                              <w:szCs w:val="20"/>
                            </w:rPr>
                          </w:pPr>
                          <w:r w:rsidRPr="00DD7A43">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993759E" id="_x0000_t202" coordsize="21600,21600" o:spt="202" path="m,l,21600r21600,l21600,xe">
              <v:stroke joinstyle="miter"/>
              <v:path gradientshapeok="t" o:connecttype="rect"/>
            </v:shapetype>
            <v:shape id="Text Box 3" o:spid="_x0000_s1028"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fill o:detectmouseclick="t"/>
              <v:textbox style="mso-fit-shape-to-text:t" inset="0,0,20pt,15pt">
                <w:txbxContent>
                  <w:p w14:paraId="2B714A53" w14:textId="343D26AC" w:rsidR="00DD7A43" w:rsidRPr="00DD7A43" w:rsidRDefault="00DD7A43" w:rsidP="00DD7A43">
                    <w:pPr>
                      <w:spacing w:after="0"/>
                      <w:rPr>
                        <w:rFonts w:ascii="Aptos" w:eastAsia="Aptos" w:hAnsi="Aptos" w:cs="Aptos"/>
                        <w:noProof/>
                        <w:color w:val="000000"/>
                        <w:sz w:val="20"/>
                        <w:szCs w:val="20"/>
                      </w:rPr>
                    </w:pPr>
                    <w:r w:rsidRPr="00DD7A43">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DF5F" w14:textId="49D819B2" w:rsidR="00DD7A43" w:rsidRDefault="00DD7A43">
    <w:pPr>
      <w:pStyle w:val="Footer"/>
    </w:pPr>
    <w:r>
      <w:rPr>
        <w:noProof/>
        <w14:ligatures w14:val="standardContextual"/>
      </w:rPr>
      <mc:AlternateContent>
        <mc:Choice Requires="wps">
          <w:drawing>
            <wp:anchor distT="0" distB="0" distL="0" distR="0" simplePos="0" relativeHeight="251658240" behindDoc="0" locked="0" layoutInCell="1" allowOverlap="1" wp14:anchorId="025E8E05" wp14:editId="127EFA42">
              <wp:simplePos x="635" y="635"/>
              <wp:positionH relativeFrom="page">
                <wp:align>right</wp:align>
              </wp:positionH>
              <wp:positionV relativeFrom="page">
                <wp:align>bottom</wp:align>
              </wp:positionV>
              <wp:extent cx="1172210" cy="357505"/>
              <wp:effectExtent l="0" t="0" r="0" b="0"/>
              <wp:wrapNone/>
              <wp:docPr id="1658912777"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312DBF9F" w14:textId="431CFA67" w:rsidR="00DD7A43" w:rsidRPr="00DD7A43" w:rsidRDefault="00DD7A43" w:rsidP="00DD7A43">
                          <w:pPr>
                            <w:spacing w:after="0"/>
                            <w:rPr>
                              <w:rFonts w:ascii="Aptos" w:eastAsia="Aptos" w:hAnsi="Aptos" w:cs="Aptos"/>
                              <w:noProof/>
                              <w:color w:val="000000"/>
                              <w:sz w:val="20"/>
                              <w:szCs w:val="20"/>
                            </w:rPr>
                          </w:pPr>
                          <w:r w:rsidRPr="00DD7A43">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25E8E05" id="_x0000_t202" coordsize="21600,21600" o:spt="202" path="m,l,21600r21600,l21600,xe">
              <v:stroke joinstyle="miter"/>
              <v:path gradientshapeok="t" o:connecttype="rect"/>
            </v:shapetype>
            <v:shape id="Text Box 1" o:spid="_x0000_s1029"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fill o:detectmouseclick="t"/>
              <v:textbox style="mso-fit-shape-to-text:t" inset="0,0,20pt,15pt">
                <w:txbxContent>
                  <w:p w14:paraId="312DBF9F" w14:textId="431CFA67" w:rsidR="00DD7A43" w:rsidRPr="00DD7A43" w:rsidRDefault="00DD7A43" w:rsidP="00DD7A43">
                    <w:pPr>
                      <w:spacing w:after="0"/>
                      <w:rPr>
                        <w:rFonts w:ascii="Aptos" w:eastAsia="Aptos" w:hAnsi="Aptos" w:cs="Aptos"/>
                        <w:noProof/>
                        <w:color w:val="000000"/>
                        <w:sz w:val="20"/>
                        <w:szCs w:val="20"/>
                      </w:rPr>
                    </w:pPr>
                    <w:r w:rsidRPr="00DD7A43">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79A1" w14:textId="77777777" w:rsidR="00726A54" w:rsidRDefault="00726A54" w:rsidP="00DD7A43">
      <w:pPr>
        <w:spacing w:after="0" w:line="240" w:lineRule="auto"/>
      </w:pPr>
      <w:r>
        <w:separator/>
      </w:r>
    </w:p>
  </w:footnote>
  <w:footnote w:type="continuationSeparator" w:id="0">
    <w:p w14:paraId="7CFEDAE9" w14:textId="77777777" w:rsidR="00726A54" w:rsidRDefault="00726A54" w:rsidP="00DD7A43">
      <w:pPr>
        <w:spacing w:after="0" w:line="240" w:lineRule="auto"/>
      </w:pPr>
      <w:r>
        <w:continuationSeparator/>
      </w:r>
    </w:p>
  </w:footnote>
  <w:footnote w:id="1">
    <w:p w14:paraId="73DDED8E" w14:textId="77777777" w:rsidR="00DD7A43" w:rsidRPr="000A00BF" w:rsidRDefault="00DD7A43" w:rsidP="00DD7A43">
      <w:pPr>
        <w:pStyle w:val="FootnoteText"/>
      </w:pPr>
      <w:r w:rsidRPr="002E0D6F">
        <w:rPr>
          <w:rStyle w:val="FootnoteReference"/>
          <w:rFonts w:ascii="Segoe UI" w:hAnsi="Segoe UI" w:cs="Segoe UI"/>
        </w:rPr>
        <w:footnoteRef/>
      </w:r>
      <w:r w:rsidRPr="002E0D6F">
        <w:t xml:space="preserve"> See, for example, evidence for Cote d’Ivoire (Timilsina et al., 2023), Ghana (Elmaleh et al., 2021, p. 154f ), Pakistan (Burns et al., 2021), China and India (Carson et al., 2021), Iran (Mirhosseini et al., 2017), Spain (Markandya et al., 2013), Eastern Europe (Skrok et al., 2022, p. 48f), the EU (Barrios et al., 2013), and globally (Bento et al., 2018, Schoder, 2023).</w:t>
      </w:r>
    </w:p>
  </w:footnote>
  <w:footnote w:id="2">
    <w:p w14:paraId="23EF58B3" w14:textId="77777777" w:rsidR="00DD7A43" w:rsidRPr="00233B8A" w:rsidRDefault="00DD7A43" w:rsidP="00DD7A43">
      <w:pPr>
        <w:pStyle w:val="FootnoteText"/>
      </w:pPr>
      <w:r w:rsidRPr="00233B8A">
        <w:rPr>
          <w:rStyle w:val="FootnoteReference"/>
          <w:rFonts w:ascii="Segoe UI" w:hAnsi="Segoe UI" w:cs="Segoe UI"/>
        </w:rPr>
        <w:footnoteRef/>
      </w:r>
      <w:r w:rsidRPr="00233B8A">
        <w:rPr>
          <w:lang w:val="sv-SE"/>
        </w:rPr>
        <w:t xml:space="preserve"> Schoder (2021), Elmaleh et al. (2021), Skrok et al. </w:t>
      </w:r>
      <w:r w:rsidRPr="00233B8A">
        <w:t>(2022), Metcalf and Stock (2023).</w:t>
      </w:r>
    </w:p>
  </w:footnote>
  <w:footnote w:id="3">
    <w:p w14:paraId="302A8519" w14:textId="77777777" w:rsidR="00DD7A43" w:rsidRPr="00233B8A" w:rsidRDefault="00DD7A43" w:rsidP="00DD7A43">
      <w:pPr>
        <w:pStyle w:val="FootnoteText"/>
      </w:pPr>
      <w:r w:rsidRPr="00233B8A">
        <w:rPr>
          <w:rStyle w:val="FootnoteReference"/>
          <w:rFonts w:ascii="Segoe UI" w:hAnsi="Segoe UI" w:cs="Segoe UI"/>
        </w:rPr>
        <w:footnoteRef/>
      </w:r>
      <w:r w:rsidRPr="00233B8A">
        <w:t xml:space="preserve"> ILO and IDB (2020), Hille &amp; Moebius (2019), Moszoro (2021), Malerba and Wiebe (2021).</w:t>
      </w:r>
    </w:p>
  </w:footnote>
  <w:footnote w:id="4">
    <w:p w14:paraId="6A40E127" w14:textId="77777777" w:rsidR="00DD7A43" w:rsidRDefault="00DD7A43" w:rsidP="00DD7A43">
      <w:pPr>
        <w:pStyle w:val="FootnoteText"/>
      </w:pPr>
      <w:r>
        <w:rPr>
          <w:rStyle w:val="FootnoteReference"/>
        </w:rPr>
        <w:footnoteRef/>
      </w:r>
      <w:r>
        <w:t xml:space="preserve"> </w:t>
      </w:r>
      <w:r w:rsidRPr="00FE6664">
        <w:t>Timilsina</w:t>
      </w:r>
      <w:r>
        <w:t xml:space="preserve"> and </w:t>
      </w:r>
      <w:r w:rsidRPr="001B09F0">
        <w:t>Sebsibie</w:t>
      </w:r>
      <w:r>
        <w:t xml:space="preserve"> (2026) </w:t>
      </w:r>
    </w:p>
  </w:footnote>
  <w:footnote w:id="5">
    <w:p w14:paraId="560A8389" w14:textId="77777777" w:rsidR="00DD7A43" w:rsidRPr="000D3921" w:rsidRDefault="00DD7A43" w:rsidP="00DD7A43">
      <w:pPr>
        <w:pStyle w:val="FootnoteText"/>
      </w:pPr>
      <w:r w:rsidRPr="000D3921">
        <w:rPr>
          <w:rStyle w:val="FootnoteReference"/>
          <w:rFonts w:ascii="Segoe Fluent Icons" w:hAnsi="Segoe Fluent Icons" w:cs="Segoe UI"/>
        </w:rPr>
        <w:footnoteRef/>
      </w:r>
      <w:r w:rsidRPr="000D3921">
        <w:rPr>
          <w:lang w:val="sv-SE"/>
        </w:rPr>
        <w:t xml:space="preserve"> </w:t>
      </w:r>
      <w:r w:rsidRPr="00FE6664">
        <w:t>Vandyck</w:t>
      </w:r>
      <w:r w:rsidRPr="000D3921">
        <w:rPr>
          <w:lang w:val="fr-FR"/>
        </w:rPr>
        <w:t xml:space="preserve"> et al. (2018); Markandya et al. (2019); Scovronick et al. (2019); Weitzel et al. </w:t>
      </w:r>
      <w:r w:rsidRPr="000D3921">
        <w:t>(2019); Rauner et al. (2020).</w:t>
      </w:r>
    </w:p>
  </w:footnote>
  <w:footnote w:id="6">
    <w:p w14:paraId="6C650DF6" w14:textId="77777777" w:rsidR="00DD7A43" w:rsidRPr="00FE6664" w:rsidRDefault="00DD7A43" w:rsidP="00DD7A43">
      <w:pPr>
        <w:pStyle w:val="FootnoteText"/>
      </w:pPr>
      <w:r w:rsidRPr="000D3921">
        <w:rPr>
          <w:rStyle w:val="FootnoteReference"/>
          <w:rFonts w:ascii="Segoe Fluent Icons" w:hAnsi="Segoe Fluent Icons" w:cs="Segoe UI"/>
        </w:rPr>
        <w:footnoteRef/>
      </w:r>
      <w:r w:rsidRPr="000D3921">
        <w:t xml:space="preserve"> Heine &amp; Black (2019).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guel Eduardo Sanchez Martin">
    <w15:presenceInfo w15:providerId="AD" w15:userId="S::msanchezmartin@worldbank.org::731f49e9-e6bd-40e4-857d-e785d981aa8c"/>
  </w15:person>
  <w15:person w15:author="Carolyn Fischer">
    <w15:presenceInfo w15:providerId="AD" w15:userId="S::cfischer2@worldbank.org::113d740a-95fb-4f4c-8943-c249892752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43"/>
    <w:rsid w:val="003C3D19"/>
    <w:rsid w:val="00726A54"/>
    <w:rsid w:val="00AD2EE4"/>
    <w:rsid w:val="00DD7A43"/>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E9AA9"/>
  <w15:chartTrackingRefBased/>
  <w15:docId w15:val="{F2DB9E10-6386-4AA3-862F-6AD7C52E4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A43"/>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DD7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7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7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7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A43"/>
    <w:rPr>
      <w:rFonts w:eastAsiaTheme="majorEastAsia" w:cstheme="majorBidi"/>
      <w:color w:val="272727" w:themeColor="text1" w:themeTint="D8"/>
    </w:rPr>
  </w:style>
  <w:style w:type="paragraph" w:styleId="Title">
    <w:name w:val="Title"/>
    <w:basedOn w:val="Normal"/>
    <w:next w:val="Normal"/>
    <w:link w:val="TitleChar"/>
    <w:uiPriority w:val="10"/>
    <w:qFormat/>
    <w:rsid w:val="00DD7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A43"/>
    <w:pPr>
      <w:spacing w:before="160"/>
      <w:jc w:val="center"/>
    </w:pPr>
    <w:rPr>
      <w:i/>
      <w:iCs/>
      <w:color w:val="404040" w:themeColor="text1" w:themeTint="BF"/>
    </w:rPr>
  </w:style>
  <w:style w:type="character" w:customStyle="1" w:styleId="QuoteChar">
    <w:name w:val="Quote Char"/>
    <w:basedOn w:val="DefaultParagraphFont"/>
    <w:link w:val="Quote"/>
    <w:uiPriority w:val="29"/>
    <w:rsid w:val="00DD7A43"/>
    <w:rPr>
      <w:i/>
      <w:iCs/>
      <w:color w:val="404040" w:themeColor="text1" w:themeTint="BF"/>
    </w:rPr>
  </w:style>
  <w:style w:type="paragraph" w:styleId="ListParagraph">
    <w:name w:val="List Paragraph"/>
    <w:basedOn w:val="Normal"/>
    <w:uiPriority w:val="34"/>
    <w:qFormat/>
    <w:rsid w:val="00DD7A43"/>
    <w:pPr>
      <w:ind w:left="720"/>
      <w:contextualSpacing/>
    </w:pPr>
  </w:style>
  <w:style w:type="character" w:styleId="IntenseEmphasis">
    <w:name w:val="Intense Emphasis"/>
    <w:basedOn w:val="DefaultParagraphFont"/>
    <w:uiPriority w:val="21"/>
    <w:qFormat/>
    <w:rsid w:val="00DD7A43"/>
    <w:rPr>
      <w:i/>
      <w:iCs/>
      <w:color w:val="0F4761" w:themeColor="accent1" w:themeShade="BF"/>
    </w:rPr>
  </w:style>
  <w:style w:type="paragraph" w:styleId="IntenseQuote">
    <w:name w:val="Intense Quote"/>
    <w:basedOn w:val="Normal"/>
    <w:next w:val="Normal"/>
    <w:link w:val="IntenseQuoteChar"/>
    <w:uiPriority w:val="30"/>
    <w:qFormat/>
    <w:rsid w:val="00DD7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A43"/>
    <w:rPr>
      <w:i/>
      <w:iCs/>
      <w:color w:val="0F4761" w:themeColor="accent1" w:themeShade="BF"/>
    </w:rPr>
  </w:style>
  <w:style w:type="character" w:styleId="IntenseReference">
    <w:name w:val="Intense Reference"/>
    <w:basedOn w:val="DefaultParagraphFont"/>
    <w:uiPriority w:val="32"/>
    <w:qFormat/>
    <w:rsid w:val="00DD7A43"/>
    <w:rPr>
      <w:b/>
      <w:bCs/>
      <w:smallCaps/>
      <w:color w:val="0F4761" w:themeColor="accent1" w:themeShade="BF"/>
      <w:spacing w:val="5"/>
    </w:rPr>
  </w:style>
  <w:style w:type="character" w:styleId="Hyperlink">
    <w:name w:val="Hyperlink"/>
    <w:basedOn w:val="DefaultParagraphFont"/>
    <w:uiPriority w:val="99"/>
    <w:unhideWhenUsed/>
    <w:rsid w:val="00DD7A43"/>
    <w:rPr>
      <w:color w:val="467886" w:themeColor="hyperlink"/>
      <w:u w:val="single"/>
    </w:rPr>
  </w:style>
  <w:style w:type="paragraph" w:styleId="CommentText">
    <w:name w:val="annotation text"/>
    <w:basedOn w:val="Normal"/>
    <w:link w:val="CommentTextChar"/>
    <w:uiPriority w:val="99"/>
    <w:unhideWhenUsed/>
    <w:rsid w:val="00DD7A43"/>
    <w:pPr>
      <w:spacing w:line="240" w:lineRule="auto"/>
    </w:pPr>
    <w:rPr>
      <w:rFonts w:eastAsiaTheme="minorHAnsi"/>
      <w:kern w:val="2"/>
      <w:szCs w:val="20"/>
      <w14:ligatures w14:val="standardContextual"/>
    </w:rPr>
  </w:style>
  <w:style w:type="character" w:customStyle="1" w:styleId="CommentTextChar">
    <w:name w:val="Comment Text Char"/>
    <w:basedOn w:val="DefaultParagraphFont"/>
    <w:link w:val="CommentText"/>
    <w:uiPriority w:val="99"/>
    <w:rsid w:val="00DD7A43"/>
    <w:rPr>
      <w:rFonts w:ascii="Segoe UI" w:hAnsi="Segoe UI"/>
      <w:sz w:val="22"/>
      <w:szCs w:val="20"/>
    </w:rPr>
  </w:style>
  <w:style w:type="character" w:styleId="CommentReference">
    <w:name w:val="annotation reference"/>
    <w:basedOn w:val="DefaultParagraphFont"/>
    <w:uiPriority w:val="99"/>
    <w:semiHidden/>
    <w:unhideWhenUsed/>
    <w:rsid w:val="00DD7A43"/>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DD7A43"/>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DD7A43"/>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DD7A43"/>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DD7A43"/>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DD7A43"/>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DD7A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A43"/>
    <w:rPr>
      <w:rFonts w:ascii="Segoe UI" w:eastAsiaTheme="minorEastAsia" w:hAnsi="Segoe U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16/j.eneco.2026.109470"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cpmodel.github.io/cpat_public/"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pmodel.github.io/cpat_public/" TargetMode="Externa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oter" Target="footer3.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2601</Words>
  <Characters>14826</Characters>
  <Application>Microsoft Office Word</Application>
  <DocSecurity>0</DocSecurity>
  <Lines>123</Lines>
  <Paragraphs>34</Paragraphs>
  <ScaleCrop>false</ScaleCrop>
  <Company>WBG</Company>
  <LinksUpToDate>false</LinksUpToDate>
  <CharactersWithSpaces>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1</cp:revision>
  <dcterms:created xsi:type="dcterms:W3CDTF">2026-08-24T18:53:00Z</dcterms:created>
  <dcterms:modified xsi:type="dcterms:W3CDTF">2026-08-24T18:53:00Z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62e10009,3199a074,4f82855</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2026-08-24T18:53:08Z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9a4b88dc-3b30-477f-a7c0-765dcd3f3177</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