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Note: How the change in CBAM obligations is calculated</w:t>
      </w:r>
    </w:p>
    <w:p>
      <w:pPr>
        <w:pStyle w:val="Author"/>
      </w:pPr>
      <w:r>
        <w:t xml:space="preserve">Stephen Stretton</w:t>
      </w:r>
    </w:p>
    <w:p>
      <w:pPr>
        <w:pStyle w:val="FirstParagraph"/>
      </w:pPr>
      <w:r>
        <w:t xml:space="preserve">The CBAM obligation is what Egyptian exporters of steel, cement, fertilisers and aluminium would pay at the EU border for the emissions embedded in their exports. Table 2 reports the change in this obligation per tonne exported in 2030, compared with a baseline without an Egyptian carbon price. The EU export mix and export volumes are held at base-year levels. The figure therefore captures only two things: the policy’s effect on emission intensity, and the carbon price actually paid in Egypt.</w:t>
      </w:r>
    </w:p>
    <w:p>
      <w:pPr>
        <w:pStyle w:val="BodyText"/>
      </w:pPr>
      <w:r>
        <w:rPr>
          <w:b/>
          <w:bCs/>
        </w:rPr>
        <w:t xml:space="preserve">Obligation per tonne.</w:t>
      </w:r>
      <w:r>
        <w:t xml:space="preserve"> </w:t>
      </w:r>
      <w:r>
        <w:t xml:space="preserve">For each CBAM product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obl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CBF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E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⋅</m:t>
          </m:r>
          <m:r>
            <m:t>E</m:t>
          </m:r>
          <m:sSubSup>
            <m:e>
              <m:r>
                <m:t>I</m:t>
              </m:r>
            </m:e>
            <m:sub>
              <m:r>
                <m:t>i</m:t>
              </m:r>
            </m:sub>
            <m:sup>
              <m:r>
                <m:t> </m:t>
              </m:r>
              <m:r>
                <m:t>c</m:t>
              </m:r>
              <m:r>
                <m:t>o</m:t>
              </m:r>
              <m:r>
                <m:t>v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E</m:t>
            </m:r>
            <m:r>
              <m:t>U</m:t>
            </m:r>
          </m:sub>
        </m:sSub>
      </m:oMath>
      <w:r>
        <w:t xml:space="preserve"> </w:t>
      </w:r>
      <w:r>
        <w:t xml:space="preserve">is the EU allowance price (USD 100/tCO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m:oMath>
        <m:r>
          <m:rPr>
            <m:nor/>
            <m:sty m:val="p"/>
          </m:rPr>
          <m:t>CBF</m:t>
        </m:r>
      </m:oMath>
      <w:r>
        <w:t xml:space="preserve"> </w:t>
      </w:r>
      <w:r>
        <w:t xml:space="preserve">is the share of embedded emissions charged by the EU CBAM in the reporting year. It rises from 2.5% in 2026 to 48.5% in 2030 and 100% from 2034, as free allocation under the EU ETS is withdrawn;</w:t>
      </w:r>
    </w:p>
    <w:p>
      <w:pPr>
        <w:pStyle w:val="Compact"/>
        <w:numPr>
          <w:ilvl w:val="0"/>
          <w:numId w:val="1001"/>
        </w:numPr>
      </w:pPr>
      <m:oMath>
        <m:r>
          <m:t>E</m:t>
        </m:r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embedded emissions per tonne of product (fuel and process), after the policy;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carbon price effectively paid in Egypt per tonne of product. It equals the domestic price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(USD 20/tCO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times the priced emissions per tonne</w:t>
      </w:r>
      <w:r>
        <w:t xml:space="preserve"> </w:t>
      </w:r>
      <m:oMath>
        <m:r>
          <m:t>E</m:t>
        </m:r>
        <m:sSubSup>
          <m:e>
            <m:r>
              <m:t>I</m:t>
            </m:r>
          </m:e>
          <m:sub>
            <m:r>
              <m:t>i</m:t>
            </m:r>
          </m:sub>
          <m:sup>
            <m:r>
              <m:t> </m:t>
            </m:r>
            <m:r>
              <m:t>c</m:t>
            </m:r>
            <m:r>
              <m:t>o</m:t>
            </m:r>
            <m:r>
              <m:t>v</m:t>
            </m:r>
          </m:sup>
        </m:sSubSup>
      </m:oMath>
      <w:r>
        <w:t xml:space="preserve">, less any rebate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returned to the producer per tonne of output. The EU CBAM allows this amount to be deducted.</w:t>
      </w:r>
    </w:p>
    <w:p>
      <w:pPr>
        <w:pStyle w:val="FirstParagraph"/>
      </w:pPr>
      <w:r>
        <w:rPr>
          <w:b/>
          <w:bCs/>
        </w:rPr>
        <w:t xml:space="preserve">Reported change.</w:t>
      </w:r>
      <w:r>
        <w:t xml:space="preserve"> </w:t>
      </w:r>
      <w:r>
        <w:t xml:space="preserve">The change is weighted by base-year EU exports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rPr>
                      <m:nor/>
                      <m:sty m:val="p"/>
                    </m:rPr>
                    <m:t>obl</m:t>
                  </m:r>
                </m:e>
                <m:sub>
                  <m:r>
                    <m:t>i</m:t>
                  </m:r>
                </m:sub>
                <m:sup>
                  <m:r>
                    <m:t> </m:t>
                  </m:r>
                  <m:r>
                    <m:t>p</m:t>
                  </m:r>
                  <m:r>
                    <m:t>o</m:t>
                  </m:r>
                  <m:r>
                    <m:t>l</m:t>
                  </m:r>
                  <m:r>
                    <m:t>i</m:t>
                  </m:r>
                  <m:r>
                    <m:t>c</m:t>
                  </m:r>
                  <m:r>
                    <m:t>y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rPr>
                      <m:nor/>
                      <m:sty m:val="p"/>
                    </m:rPr>
                    <m:t>obl</m:t>
                  </m:r>
                </m:e>
                <m:sub>
                  <m:r>
                    <m:t>i</m:t>
                  </m:r>
                </m:sub>
                <m:sup>
                  <m:r>
                    <m:t> </m:t>
                  </m:r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p>
              </m:sSubSup>
            </m:den>
          </m:f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What drives the result.</w:t>
      </w:r>
      <w:r>
        <w:t xml:space="preserve"> </w:t>
      </w:r>
      <w:r>
        <w:t xml:space="preserve">For a product priced in full, with no rebate, the formula reduces to: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O</m:t>
          </m:r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CBF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τ</m:t>
              </m:r>
            </m:num>
            <m:den>
              <m:r>
                <m:rPr>
                  <m:nor/>
                  <m:sty m:val="p"/>
                </m:rPr>
                <m:t>CBF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U</m:t>
                  </m:r>
                </m:sub>
              </m:sSub>
            </m:den>
          </m:f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change in CBAM-sector emission intensity. Two effects lower the obligation: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Deduction effect:</w:t>
      </w:r>
      <w:r>
        <w:t xml:space="preserve"> </w:t>
      </w:r>
      <w:r>
        <w:t xml:space="preserve">the domestic price offsets a share</w:t>
      </w:r>
      <w:r>
        <w:t xml:space="preserve"> </w:t>
      </w:r>
      <m:oMath>
        <m:r>
          <m:t>τ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CBF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E</m:t>
            </m:r>
            <m:r>
              <m:t>U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obligation;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Intensity effect:</w:t>
      </w:r>
      <w:r>
        <w:t xml:space="preserve"> </w:t>
      </w:r>
      <w:r>
        <w:t xml:space="preserve">lower emissions per tonne reduce the remaining obligation in proportion.</w:t>
      </w:r>
    </w:p>
    <w:p>
      <w:pPr>
        <w:pStyle w:val="FirstParagraph"/>
      </w:pPr>
      <w:r>
        <w:t xml:space="preserve">The size of the deduction effect depends on the convention for CBF: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CBF</w:t>
            </w:r>
          </w:p>
        </w:tc>
        <w:tc>
          <w:tcPr/>
          <w:p>
            <w:pPr>
              <w:pStyle w:val="Compact"/>
            </w:pPr>
            <w:r>
              <w:t xml:space="preserve">Share offset by USD 20</w:t>
            </w:r>
          </w:p>
        </w:tc>
        <w:tc>
          <w:tcPr/>
          <w:p>
            <w:pPr>
              <w:pStyle w:val="Compact"/>
            </w:pPr>
            <w:r>
              <w:t xml:space="preserve">1A example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5.8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implementation (initial table)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20/100 = 20%</w:t>
            </w:r>
          </w:p>
        </w:tc>
        <w:tc>
          <w:tcPr/>
          <w:p>
            <w:pPr>
              <w:pStyle w:val="Compact"/>
            </w:pPr>
            <m:oMath>
              <m:r>
                <m:t>0.80</m:t>
              </m:r>
              <m:r>
                <m:rPr>
                  <m:sty m:val="p"/>
                </m:rPr>
                <m:t>×</m:t>
              </m:r>
              <m:r>
                <m:t>0.942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2030 phase-in (current final table)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20/48.5 = 41%</w:t>
            </w:r>
          </w:p>
        </w:tc>
        <w:tc>
          <w:tcPr/>
          <w:p>
            <w:pPr>
              <w:pStyle w:val="Compact"/>
            </w:pPr>
            <m:oMath>
              <m:r>
                <m:t>0.59</m:t>
              </m:r>
              <m:r>
                <m:rPr>
                  <m:sty m:val="p"/>
                </m:rPr>
                <m:t>×</m:t>
              </m:r>
              <m:r>
                <m:t>0.942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44</m:t>
              </m:r>
              <m:r>
                <m:rPr>
                  <m:sty m:val="p"/>
                </m:rPr>
                <m:t>%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Why the scenarios differ: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2A and 2B:</w:t>
      </w:r>
      <w:r>
        <w:t xml:space="preserve"> </w:t>
      </w:r>
      <w:r>
        <w:t xml:space="preserve">the upstream price covers fuel emissions only (44% of embedded emissions), so the deduction is smaller.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3B:</w:t>
      </w:r>
      <w:r>
        <w:t xml:space="preserve"> </w:t>
      </w:r>
      <w:r>
        <w:t xml:space="preserve">the output-based rebate returns the carbon payment to producers (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τ</m:t>
        </m:r>
        <m:r>
          <m:rPr>
            <m:sty m:val="p"/>
          </m:rPr>
          <m:t>⋅</m:t>
        </m:r>
        <m:r>
          <m:t>E</m:t>
        </m:r>
        <m:sSubSup>
          <m:e>
            <m:r>
              <m:t>I</m:t>
            </m:r>
          </m:e>
          <m:sub>
            <m:r>
              <m:t>i</m:t>
            </m:r>
          </m:sub>
          <m:sup>
            <m:r>
              <m:t> </m:t>
            </m:r>
            <m:r>
              <m:t>c</m:t>
            </m:r>
            <m:r>
              <m:t>o</m:t>
            </m:r>
            <m:r>
              <m:t>v</m:t>
            </m:r>
          </m:sup>
        </m:sSubSup>
      </m:oMath>
      <w:r>
        <w:t xml:space="preserve">), so almost nothing can be deducted. The obligation falls only with intensity.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3C:</w:t>
      </w:r>
      <w:r>
        <w:t xml:space="preserve"> </w:t>
      </w:r>
      <w:r>
        <w:t xml:space="preserve">the abatement rebate cuts intensity most (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%</m:t>
        </m:r>
      </m:oMath>
      <w:r>
        <w:t xml:space="preserve">). As in the initial table, the abatement fund is not netted off the deductible price.</w:t>
      </w:r>
    </w:p>
    <w:p>
      <w:pPr>
        <w:pStyle w:val="FirstParagraph"/>
      </w:pPr>
      <w:r>
        <w:rPr>
          <w:b/>
          <w:bCs/>
        </w:rPr>
        <w:t xml:space="preserve">Results, 2030 (% change in CBAM obligation per tonne exported):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3C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table (full implementation)</w:t>
            </w:r>
          </w:p>
        </w:tc>
        <w:tc>
          <w:tcPr/>
          <w:p>
            <w:pPr>
              <w:pStyle w:val="Compact"/>
            </w:pPr>
            <w:r>
              <w:t xml:space="preserve">−26.1</w:t>
            </w:r>
          </w:p>
        </w:tc>
        <w:tc>
          <w:tcPr/>
          <w:p>
            <w:pPr>
              <w:pStyle w:val="Compact"/>
            </w:pPr>
            <w:r>
              <w:t xml:space="preserve">−13.9</w:t>
            </w:r>
          </w:p>
        </w:tc>
        <w:tc>
          <w:tcPr/>
          <w:p>
            <w:pPr>
              <w:pStyle w:val="Compact"/>
            </w:pPr>
            <w:r>
              <w:t xml:space="preserve">−13.9</w:t>
            </w:r>
          </w:p>
        </w:tc>
        <w:tc>
          <w:tcPr/>
          <w:p>
            <w:pPr>
              <w:pStyle w:val="Compact"/>
            </w:pPr>
            <w:r>
              <w:t xml:space="preserve">−26.1</w:t>
            </w:r>
          </w:p>
        </w:tc>
        <w:tc>
          <w:tcPr/>
          <w:p>
            <w:pPr>
              <w:pStyle w:val="Compact"/>
            </w:pPr>
            <w:r>
              <w:t xml:space="preserve">−7.6</w:t>
            </w:r>
          </w:p>
        </w:tc>
        <w:tc>
          <w:tcPr/>
          <w:p>
            <w:pPr>
              <w:pStyle w:val="Compact"/>
            </w:pPr>
            <w:r>
              <w:t xml:space="preserve">−30.4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Updated, full implementation</w:t>
            </w:r>
          </w:p>
        </w:tc>
        <w:tc>
          <w:tcPr/>
          <w:p>
            <w:pPr>
              <w:pStyle w:val="Compact"/>
            </w:pPr>
            <w:r>
              <w:t xml:space="preserve">−24.0</w:t>
            </w:r>
          </w:p>
        </w:tc>
        <w:tc>
          <w:tcPr/>
          <w:p>
            <w:pPr>
              <w:pStyle w:val="Compact"/>
            </w:pPr>
            <w:r>
              <w:t xml:space="preserve">−12.2</w:t>
            </w:r>
          </w:p>
        </w:tc>
        <w:tc>
          <w:tcPr/>
          <w:p>
            <w:pPr>
              <w:pStyle w:val="Compact"/>
            </w:pPr>
            <w:r>
              <w:t xml:space="preserve">−12.3</w:t>
            </w:r>
          </w:p>
        </w:tc>
        <w:tc>
          <w:tcPr/>
          <w:p>
            <w:pPr>
              <w:pStyle w:val="Compact"/>
            </w:pPr>
            <w:r>
              <w:t xml:space="preserve">−24.0</w:t>
            </w:r>
          </w:p>
        </w:tc>
        <w:tc>
          <w:tcPr/>
          <w:p>
            <w:pPr>
              <w:pStyle w:val="Compact"/>
            </w:pPr>
            <w:r>
              <w:t xml:space="preserve">−5.1</w:t>
            </w:r>
          </w:p>
        </w:tc>
        <w:tc>
          <w:tcPr/>
          <w:p>
            <w:pPr>
              <w:pStyle w:val="Compact"/>
            </w:pPr>
            <w:r>
              <w:t xml:space="preserve">−36.2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Updated, 2030 phase-in (current Table 2)</w:t>
            </w:r>
          </w:p>
        </w:tc>
        <w:tc>
          <w:tcPr/>
          <w:p>
            <w:pPr>
              <w:pStyle w:val="Compact"/>
            </w:pPr>
            <w:r>
              <w:t xml:space="preserve">−44.2</w:t>
            </w:r>
          </w:p>
        </w:tc>
        <w:tc>
          <w:tcPr/>
          <w:p>
            <w:pPr>
              <w:pStyle w:val="Compact"/>
            </w:pPr>
            <w:r>
              <w:t xml:space="preserve">−22.9</w:t>
            </w:r>
          </w:p>
        </w:tc>
        <w:tc>
          <w:tcPr/>
          <w:p>
            <w:pPr>
              <w:pStyle w:val="Compact"/>
            </w:pPr>
            <w:r>
              <w:t xml:space="preserve">−23.0</w:t>
            </w:r>
          </w:p>
        </w:tc>
        <w:tc>
          <w:tcPr/>
          <w:p>
            <w:pPr>
              <w:pStyle w:val="Compact"/>
            </w:pPr>
            <w:r>
              <w:t xml:space="preserve">−44.2</w:t>
            </w:r>
          </w:p>
        </w:tc>
        <w:tc>
          <w:tcPr/>
          <w:p>
            <w:pPr>
              <w:pStyle w:val="Compact"/>
            </w:pPr>
            <w:r>
              <w:t xml:space="preserve">−5.0</w:t>
            </w:r>
          </w:p>
        </w:tc>
        <w:tc>
          <w:tcPr/>
          <w:p>
            <w:pPr>
              <w:pStyle w:val="Compact"/>
            </w:pPr>
            <w:r>
              <w:t xml:space="preserve">−53.1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Note: How the change in CBAM obligations is calculated</dc:title>
  <dc:creator>Stephen Stretton</dc:creator>
  <cp:keywords/>
  <dcterms:created xsi:type="dcterms:W3CDTF">2026-10-03T02:10:29Z</dcterms:created>
  <dcterms:modified xsi:type="dcterms:W3CDTF">2026-10-03T02:10:29Z</dcterms:modified>
  <cp:lastModifiedBy>Stephen Stretton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