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5C99"/>
          <w:sz w:val="52"/>
          <w:szCs w:val="52"/>
        </w:rPr>
        <w:t xml:space="preserve">Price Elasticities of Energy Demand</w:t>
      </w:r>
    </w:p>
    <w:p>
      <w:pPr>
        <w:spacing w:after="80"/>
      </w:pPr>
      <w:r>
        <w:rPr>
          <w:rFonts w:ascii="Arial" w:cs="Arial" w:eastAsia="Arial" w:hAnsi="Arial"/>
          <w:i/>
          <w:iCs/>
          <w:color w:val="2E75B6"/>
          <w:sz w:val="30"/>
          <w:szCs w:val="30"/>
        </w:rPr>
        <w:t xml:space="preserve">Natural Experiment Evidence Across Income Groups and Fuel Types,</w:t>
      </w:r>
    </w:p>
    <w:p>
      <w:pPr>
        <w:spacing w:after="400"/>
      </w:pPr>
      <w:r>
        <w:rPr>
          <w:rFonts w:ascii="Arial" w:cs="Arial" w:eastAsia="Arial" w:hAnsi="Arial"/>
          <w:i/>
          <w:iCs/>
          <w:color w:val="2E75B6"/>
          <w:sz w:val="30"/>
          <w:szCs w:val="30"/>
        </w:rPr>
        <w:t xml:space="preserve">with Comparison to CPAT Default Parameters</w:t>
      </w:r>
    </w:p>
    <w:p>
      <w:pPr>
        <w:pBdr>
          <w:top w:val="single" w:color="2E75B6" w:sz="4" w:space="1"/>
        </w:pBdr>
        <w:spacing w:after="80"/>
      </w:pPr>
      <w:r>
        <w:rPr>
          <w:rFonts w:ascii="Arial" w:cs="Arial" w:eastAsia="Arial" w:hAnsi="Arial"/>
          <w:color w:val="555555"/>
          <w:sz w:val="22"/>
          <w:szCs w:val="22"/>
        </w:rPr>
        <w:t xml:space="preserve">Working Paper</w:t>
      </w:r>
    </w:p>
    <w:p>
      <w:pPr>
        <w:spacing w:after="600"/>
      </w:pPr>
      <w:r>
        <w:rPr>
          <w:rFonts w:ascii="Arial" w:cs="Arial" w:eastAsia="Arial" w:hAnsi="Arial"/>
          <w:color w:val="555555"/>
          <w:sz w:val="22"/>
          <w:szCs w:val="22"/>
        </w:rPr>
        <w:t xml:space="preserve">World Bank, Climate Fiscal and Finance Practice  ·  June 2026</w:t>
      </w:r>
    </w:p>
    <w:p>
      <w:pPr>
        <w:spacing w:after="120"/>
      </w:pPr>
      <w:r>
        <w:rPr>
          <w:rFonts w:ascii="Arial" w:cs="Arial" w:eastAsia="Arial" w:hAnsi="Arial"/>
          <w:b/>
          <w:bCs/>
          <w:color w:val="1F5C99"/>
          <w:sz w:val="24"/>
          <w:szCs w:val="24"/>
        </w:rPr>
        <w:t xml:space="preserve">Abstract</w:t>
      </w:r>
    </w:p>
    <w:p>
      <w:pPr>
        <w:spacing w:after="160"/>
      </w:pPr>
      <w:r>
        <w:rPr>
          <w:rFonts w:ascii="Arial" w:cs="Arial" w:eastAsia="Arial" w:hAnsi="Arial"/>
          <w:sz w:val="22"/>
          <w:szCs w:val="22"/>
        </w:rPr>
        <w:t xml:space="preserve">This paper provides a systematic review of price elasticities of energy demand derived from natural and quasi-natural experiments, organised by fuel type, end-use sector, and country income group. We compile evidence from twelve major episodes including three Iranian subsidy reform shocks, Indonesia's 2005 and 2014–15 reforms, India's diesel decontrol and kerosene phase-out, South Africa's Eskom tariff doubling, and Bangladesh's VAT shock instrument, among others. For each fuel-sector-income cell we report midpoint elasticity estimates at one-year and five-year horizons, alongside ranges drawn from the empirical literature.</w:t>
      </w:r>
    </w:p>
    <w:p>
      <w:pPr>
        <w:spacing w:after="160"/>
      </w:pPr>
      <w:r>
        <w:rPr>
          <w:rFonts w:ascii="Arial" w:cs="Arial" w:eastAsia="Arial" w:hAnsi="Arial"/>
          <w:sz w:val="22"/>
          <w:szCs w:val="22"/>
        </w:rPr>
        <w:t xml:space="preserve">We compare these evidence-based estimates to the single long-run elasticities used by the World Bank / IMF Climate Policy Assessment Tool (CPAT), drawing on the actual parameter values in CPAT's implementation (liquid fuels −0.58; electricity −0.36; natural gas −0.70; coal −0.58). The CPAT documentation explicitly notes that the distinction between short-run and long-run elasticities was removed in version 1.0 and applied as a single annual multiplier, flagging this as a known limitation. Our analysis shows that CPAT systematically overstates near-term demand responses in low-income settings — by factors of 4–6x for natural gas and coal in LICs, and 2–4x for electricity residential in LMICs. These discrepancies matter most for fiscal impact assessment, short-run revenue projections, and distributional analysis of subsidy reform in developing countries.</w:t>
      </w:r>
    </w:p>
    <w:p>
      <w:pPr>
        <w:spacing w:after="8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5C99"/>
          <w:sz w:val="32"/>
          <w:szCs w:val="32"/>
        </w:rPr>
        <w:t xml:space="preserve">1  Introduction</w:t>
      </w:r>
    </w:p>
    <w:p>
      <w:pPr>
        <w:spacing w:after="160"/>
      </w:pPr>
      <w:r>
        <w:rPr>
          <w:rFonts w:ascii="Arial" w:cs="Arial" w:eastAsia="Arial" w:hAnsi="Arial"/>
          <w:sz w:val="22"/>
          <w:szCs w:val="22"/>
        </w:rPr>
        <w:t xml:space="preserve">The price elasticity of energy demand is a foundational parameter in climate and fiscal policy modelling. It determines how much fuel consumption falls in response to a carbon price or subsidy removal, which in turn drives projections of emissions reductions, fiscal revenues, and household welfare impacts. Yet standard policy tools — including CPAT, the World Bank / IMF's joint Climate Policy Assessment Tool — apply single, globally uniform elasticities that do not vary by income group or distinguish between short-run and long-run adjustment.</w:t>
      </w:r>
    </w:p>
    <w:p>
      <w:pPr>
        <w:spacing w:after="160"/>
      </w:pPr>
      <w:r>
        <w:rPr>
          <w:rFonts w:ascii="Arial" w:cs="Arial" w:eastAsia="Arial" w:hAnsi="Arial"/>
          <w:sz w:val="22"/>
          <w:szCs w:val="22"/>
        </w:rPr>
        <w:t xml:space="preserve">This matters because the evidence strongly suggests that elasticities vary substantially across income groups, time horizons, and fuel types. The short-run response to a fuel price shock is governed primarily by changes in the intensity of use of existing capital — how much a car is driven, how often a factory runs. The long-run response additionally incorporates capital stock replacement — fleet turnover, appliance upgrades, energy efficiency investment, and in some cases fuel switching. In low-income countries, the short-run response is particularly muted because substitution options are limited and energy services may be near-necessities. The 5-year elasticity can be two to four times larger than the 1-year figure, even in the same country.</w:t>
      </w:r>
    </w:p>
    <w:p>
      <w:pPr>
        <w:spacing w:after="160"/>
      </w:pPr>
      <w:r>
        <w:rPr>
          <w:rFonts w:ascii="Arial" w:cs="Arial" w:eastAsia="Arial" w:hAnsi="Arial"/>
          <w:sz w:val="22"/>
          <w:szCs w:val="22"/>
        </w:rPr>
        <w:t xml:space="preserve">Natural and quasi-natural experiments provide the cleanest identification of these elasticities because they exploit sudden, exogenous price changes that households and firms had not anticipated and could not easily avoid in the short run. The natural experiment literature has expanded significantly since 2010, with particularly rich evidence from large energy subsidy reform programmes in Iran, Indonesia, India, and South Africa. This paper synthesises that evidence systematically.</w:t>
      </w:r>
    </w:p>
    <w:p>
      <w:pPr>
        <w:spacing w:after="160"/>
      </w:pPr>
      <w:r>
        <w:rPr>
          <w:rFonts w:ascii="Arial" w:cs="Arial" w:eastAsia="Arial" w:hAnsi="Arial"/>
          <w:sz w:val="22"/>
          <w:szCs w:val="22"/>
        </w:rPr>
        <w:t xml:space="preserve">Section 2 describes our methodology for identifying and aggregating natural experiment evidence. Section 3 presents the main findings in a summary table covering twelve fuel-sector-income combinations. Section 4 discusses the comparison with CPAT default parameters. Section 5 discusses key cross-cutting patterns and policy implications. </w:t>
      </w:r>
      <w:r>
        <w:rPr>
          <w:rFonts w:ascii="Arial" w:cs="Arial" w:eastAsia="Arial" w:hAnsi="Arial"/>
          <w:b/>
          <w:bCs/>
          <w:sz w:val="22"/>
          <w:szCs w:val="22"/>
        </w:rPr>
        <w:t xml:space="preserve">Appendix A</w:t>
      </w:r>
      <w:r>
        <w:rPr>
          <w:rFonts w:ascii="Arial" w:cs="Arial" w:eastAsia="Arial" w:hAnsi="Arial"/>
          <w:sz w:val="22"/>
          <w:szCs w:val="22"/>
        </w:rPr>
        <w:t xml:space="preserve"> provides detailed descriptions of each natural experiment including identification strategy and demand versus counterfactual.</w:t>
      </w:r>
    </w:p>
    <w:p>
      <w:pPr>
        <w:spacing w:after="80"/>
      </w:pPr>
    </w:p>
    <w:p>
      <w:pPr>
        <w:pStyle w:val="Heading1"/>
        <w:spacing w:after="160" w:before="320"/>
      </w:pPr>
      <w:r>
        <w:rPr>
          <w:rFonts w:ascii="Arial" w:cs="Arial" w:eastAsia="Arial" w:hAnsi="Arial"/>
          <w:b/>
          <w:bCs/>
          <w:color w:val="1F5C99"/>
          <w:sz w:val="32"/>
          <w:szCs w:val="32"/>
        </w:rPr>
        <w:t xml:space="preserve">2  Methodology</w:t>
      </w:r>
    </w:p>
    <w:p>
      <w:pPr>
        <w:pStyle w:val="Heading2"/>
        <w:spacing w:after="120" w:before="240"/>
      </w:pPr>
      <w:r>
        <w:rPr>
          <w:rFonts w:ascii="Arial" w:cs="Arial" w:eastAsia="Arial" w:hAnsi="Arial"/>
          <w:b/>
          <w:bCs/>
          <w:color w:val="2E75B6"/>
          <w:sz w:val="26"/>
          <w:szCs w:val="26"/>
        </w:rPr>
        <w:t xml:space="preserve">2.1  Selection of natural experiments</w:t>
      </w:r>
    </w:p>
    <w:p>
      <w:pPr>
        <w:spacing w:after="160"/>
      </w:pPr>
      <w:r>
        <w:rPr>
          <w:rFonts w:ascii="Arial" w:cs="Arial" w:eastAsia="Arial" w:hAnsi="Arial"/>
          <w:sz w:val="22"/>
          <w:szCs w:val="22"/>
        </w:rPr>
        <w:t xml:space="preserve">We restrict attention to studies that exploit exogenous variation in fuel prices to identify demand responses, following the taxonomy of natural and quasi-natural experiments in econometrics. This includes: (i) sudden, unanticipated subsidy removal or price liberalisation events; (ii) differential reform timing across administrative units (provinces, states) within a country; (iii) instrumental variable strategies using administrative shocks (VAT changes, regulatory interventions) as instruments for observed prices; and (iv) interrupted time-series designs exploiting clear before/after regime changes.</w:t>
      </w:r>
    </w:p>
    <w:p>
      <w:pPr>
        <w:spacing w:after="160"/>
      </w:pPr>
      <w:r>
        <w:rPr>
          <w:rFonts w:ascii="Arial" w:cs="Arial" w:eastAsia="Arial" w:hAnsi="Arial"/>
          <w:sz w:val="22"/>
          <w:szCs w:val="22"/>
        </w:rPr>
        <w:t xml:space="preserve">We exclude studies relying solely on time-series cointegration without a clear source of exogenous price variation, since these conflate supply and demand responses and are subject to endogeneity bias. We also exclude calibrated model estimates (e.g., CGE studies) that do not report reduced-form elasticities traceable to observed behavioural responses.</w:t>
      </w:r>
    </w:p>
    <w:p>
      <w:pPr>
        <w:spacing w:after="160"/>
      </w:pPr>
      <w:r>
        <w:rPr>
          <w:rFonts w:ascii="Arial" w:cs="Arial" w:eastAsia="Arial" w:hAnsi="Arial"/>
          <w:sz w:val="22"/>
          <w:szCs w:val="22"/>
        </w:rPr>
        <w:t xml:space="preserve">The resulting set of twelve primary natural experiments spans Iran (three gasoline/diesel reforms and one residential gas reform), Indonesia (two reform episodes), India (diesel decontrol and kerosene phase-out), South Africa (electricity tariff doubling), Bangladesh (electricity VAT shock), Nigeria (petroleum product demand system), Ghana (2022 fuel price spike), China (coal provincial panel), and Cameroon (LPG time series).</w:t>
      </w:r>
    </w:p>
    <w:p>
      <w:pPr>
        <w:pStyle w:val="Heading2"/>
        <w:spacing w:after="120" w:before="240"/>
      </w:pPr>
      <w:r>
        <w:rPr>
          <w:rFonts w:ascii="Arial" w:cs="Arial" w:eastAsia="Arial" w:hAnsi="Arial"/>
          <w:b/>
          <w:bCs/>
          <w:color w:val="2E75B6"/>
          <w:sz w:val="26"/>
          <w:szCs w:val="26"/>
        </w:rPr>
        <w:t xml:space="preserve">2.2  Horizon mapping</w:t>
      </w:r>
    </w:p>
    <w:p>
      <w:pPr>
        <w:spacing w:after="160"/>
      </w:pPr>
      <w:r>
        <w:rPr>
          <w:rFonts w:ascii="Arial" w:cs="Arial" w:eastAsia="Arial" w:hAnsi="Arial"/>
          <w:sz w:val="22"/>
          <w:szCs w:val="22"/>
        </w:rPr>
        <w:t xml:space="preserve">We map empirical estimates to two horizon benchmarks: a 1-year elasticity representing the short-to-medium run response (reflecting primarily intensive-margin adjustments), and a 5-year elasticity representing the long-run response after capital stock adjustment. Where studies report only a single long-run estimate, we apply a ratio derived from the cross-study pattern — typically 2.5–4x the short-run value — to construct the missing horizon estimate, flagging these with wider ranges.</w:t>
      </w:r>
    </w:p>
    <w:p>
      <w:pPr>
        <w:spacing w:after="160"/>
      </w:pPr>
      <w:r>
        <w:rPr>
          <w:rFonts w:ascii="Arial" w:cs="Arial" w:eastAsia="Arial" w:hAnsi="Arial"/>
          <w:sz w:val="22"/>
          <w:szCs w:val="22"/>
        </w:rPr>
        <w:t xml:space="preserve">We report midpoint estimates and ranges rather than point estimates, reflecting genuine uncertainty in the empirical literature. The ranges span the plausible evidence base rather than formal confidence intervals from a single study.</w:t>
      </w:r>
    </w:p>
    <w:p>
      <w:pPr>
        <w:pStyle w:val="Heading2"/>
        <w:spacing w:after="120" w:before="240"/>
      </w:pPr>
      <w:r>
        <w:rPr>
          <w:rFonts w:ascii="Arial" w:cs="Arial" w:eastAsia="Arial" w:hAnsi="Arial"/>
          <w:b/>
          <w:bCs/>
          <w:color w:val="2E75B6"/>
          <w:sz w:val="26"/>
          <w:szCs w:val="26"/>
        </w:rPr>
        <w:t xml:space="preserve">2.3  Income group classification</w:t>
      </w:r>
    </w:p>
    <w:p>
      <w:pPr>
        <w:spacing w:after="160"/>
      </w:pPr>
      <w:r>
        <w:rPr>
          <w:rFonts w:ascii="Arial" w:cs="Arial" w:eastAsia="Arial" w:hAnsi="Arial"/>
          <w:sz w:val="22"/>
          <w:szCs w:val="22"/>
        </w:rPr>
        <w:t xml:space="preserve">We follow World Bank income group classifications: Low Income Countries (LICs, GNI per capita below $1,145); Lower Middle Income Countries (LMICs, $1,145–$4,515); Upper Middle Income Countries (UMICs, $4,516–$14,005); and High Income Countries (HICs, above $14,005). Where a country has transitioned across income groups over the study period (e.g., Indonesia from LMIC to UMIC), we classify it according to its status at the time of the reform event.</w:t>
      </w:r>
    </w:p>
    <w:p>
      <w:pPr>
        <w:pStyle w:val="Heading2"/>
        <w:spacing w:after="120" w:before="240"/>
      </w:pPr>
      <w:r>
        <w:rPr>
          <w:rFonts w:ascii="Arial" w:cs="Arial" w:eastAsia="Arial" w:hAnsi="Arial"/>
          <w:b/>
          <w:bCs/>
          <w:color w:val="2E75B6"/>
          <w:sz w:val="26"/>
          <w:szCs w:val="26"/>
        </w:rPr>
        <w:t xml:space="preserve">2.4  CPAT parameter comparison</w:t>
      </w:r>
    </w:p>
    <w:p>
      <w:pPr>
        <w:spacing w:after="160"/>
      </w:pPr>
      <w:r>
        <w:rPr>
          <w:rFonts w:ascii="Arial" w:cs="Arial" w:eastAsia="Arial" w:hAnsi="Arial"/>
          <w:sz w:val="22"/>
          <w:szCs w:val="22"/>
        </w:rPr>
        <w:t xml:space="preserve">CPAT default price elasticities are drawn from the file </w:t>
      </w:r>
      <w:r>
        <w:rPr>
          <w:rFonts w:ascii="Arial" w:cs="Arial" w:eastAsia="Arial" w:hAnsi="Arial"/>
          <w:i/>
          <w:iCs/>
          <w:sz w:val="22"/>
          <w:szCs w:val="22"/>
        </w:rPr>
        <w:t xml:space="preserve">CPATPriceElasticities.xlsx</w:t>
      </w:r>
      <w:r>
        <w:rPr>
          <w:rFonts w:ascii="Arial" w:cs="Arial" w:eastAsia="Arial" w:hAnsi="Arial"/>
          <w:sz w:val="22"/>
          <w:szCs w:val="22"/>
        </w:rPr>
        <w:t xml:space="preserve"> and confirmed against Section 3.3.5.3 of the CPAT documentation (version January 2024).</w:t>
      </w:r>
      <w:r>
        <w:rPr>
          <w:rFonts w:ascii="Arial" w:cs="Arial" w:eastAsia="Arial" w:hAnsi="Arial"/>
          <w:sz w:val="22"/>
          <w:szCs w:val="22"/>
        </w:rPr>
      </w:r>
      <w:r>
        <w:rPr>
          <w:rFonts w:ascii="Arial" w:cs="Arial" w:eastAsia="Arial" w:hAnsi="Arial"/>
          <w:sz w:val="22"/>
          <w:szCs w:val="22"/>
        </w:rPr>
        <w:t xml:space="preserve"> The parameters are: liquid fuels −0.58 (covering gasoline, diesel, LPG, and kerosene uniformly); electricity −0.36; natural gas −0.70; coal −0.58; biomass −0.44. These are applied uniformly across all income groups and countries. The CPAT documentation states that all elasticities are long-run elasticities, and explicitly notes that the short/long-run distinction was removed from version 1.0 but is planned for reinstatement in version 2.0.</w:t>
      </w:r>
    </w:p>
    <w:p>
      <w:pPr>
        <w:spacing w:after="80"/>
      </w:pPr>
    </w:p>
    <w:p>
      <w:pPr>
        <w:pStyle w:val="Heading1"/>
        <w:spacing w:after="160" w:before="320"/>
      </w:pPr>
      <w:r>
        <w:rPr>
          <w:rFonts w:ascii="Arial" w:cs="Arial" w:eastAsia="Arial" w:hAnsi="Arial"/>
          <w:b/>
          <w:bCs/>
          <w:color w:val="1F5C99"/>
          <w:sz w:val="32"/>
          <w:szCs w:val="32"/>
        </w:rPr>
        <w:t xml:space="preserve">3  Summary Table</w:t>
      </w:r>
    </w:p>
    <w:p>
      <w:pPr>
        <w:spacing w:after="160"/>
      </w:pPr>
      <w:r>
        <w:rPr>
          <w:rFonts w:ascii="Arial" w:cs="Arial" w:eastAsia="Arial" w:hAnsi="Arial"/>
          <w:sz w:val="22"/>
          <w:szCs w:val="22"/>
        </w:rPr>
        <w:t xml:space="preserve">Table 1 presents midpoint elasticity estimates at 1-year and 5-year horizons for each fuel type, sector, and income group, alongside CPAT's single long-run default parameter. Ranges are shown in parentheses beneath each midpoint. Cells marked n/a indicate that the fuel is not materially used in that income group context; cells marked † indicate that the evidence base is thin and estimates should be treated with caution.</w:t>
      </w:r>
    </w:p>
    <w:p>
      <w:pPr>
        <w:spacing w:after="80"/>
      </w:pPr>
    </w:p>
    <w:p>
      <w:pPr>
        <w:spacing w:after="120"/>
      </w:pPr>
      <w:r>
        <w:rPr>
          <w:rFonts w:ascii="Arial" w:cs="Arial" w:eastAsia="Arial" w:hAnsi="Arial"/>
          <w:b/>
          <w:bCs/>
          <w:i/>
          <w:iCs/>
          <w:color w:val="555555"/>
          <w:sz w:val="20"/>
          <w:szCs w:val="20"/>
        </w:rPr>
        <w:t xml:space="preserve">Table 1: Price elasticities of energy demand — 1yr and 5yr midpoints by income group, compared to CPAT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900"/>
        <w:gridCol w:w="900"/>
        <w:gridCol w:w="900"/>
        <w:gridCol w:w="900"/>
        <w:gridCol w:w="900"/>
        <w:gridCol w:w="960"/>
      </w:tblGrid>
      <w:tr>
        <w:trPr>
          <w:tblHeader/>
        </w:trPr>
        <w:tc>
          <w:tcPr>
            <w:tcW w:type="dxa" w:w="1200"/>
            <w:vMerge w:val="restart"/>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Fuel / sector</w:t>
            </w:r>
          </w:p>
        </w:tc>
        <w:tc>
          <w:tcPr>
            <w:tcW w:type="dxa" w:w="1800"/>
            <w:gridSpan w:val="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LIC</w:t>
            </w:r>
          </w:p>
        </w:tc>
        <w:tc>
          <w:tcPr>
            <w:tcW w:type="dxa" w:w="1800"/>
            <w:gridSpan w:val="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LMIC</w:t>
            </w:r>
          </w:p>
        </w:tc>
        <w:tc>
          <w:tcPr>
            <w:tcW w:type="dxa" w:w="1800"/>
            <w:gridSpan w:val="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UMIC</w:t>
            </w:r>
          </w:p>
        </w:tc>
        <w:tc>
          <w:tcPr>
            <w:tcW w:type="dxa" w:w="1800"/>
            <w:gridSpan w:val="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HIC</w:t>
            </w:r>
          </w:p>
        </w:tc>
        <w:tc>
          <w:tcPr>
            <w:tcW w:type="dxa" w:w="960"/>
            <w:vMerge w:val="restart"/>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CPAT default</w:t>
            </w:r>
          </w:p>
        </w:tc>
      </w:tr>
      <w:tr>
        <w:trPr>
          <w:tblHeader/>
        </w:trPr>
        <w:tc>
          <w:tcPr>
            <w:vMerge w:val="continue"/>
            <w:tcBorders>
              <w:top w:val="single" w:color="AAAAAA" w:sz="1"/>
              <w:left w:val="single" w:color="AAAAAA" w:sz="1"/>
              <w:bottom w:val="single" w:color="AAAAAA" w:sz="1"/>
              <w:right w:val="single" w:color="AAAAAA" w:sz="1"/>
            </w:tcBorders>
          </w:tcPr>
          <w:p/>
        </w:tc>
        <w:tc>
          <w:tcPr>
            <w:tcW w:type="dxa" w:w="9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1yr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5yr</w:t>
            </w:r>
          </w:p>
        </w:tc>
        <w:tc>
          <w:tcPr>
            <w:tcW w:type="dxa" w:w="9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1yr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5yr</w:t>
            </w:r>
          </w:p>
        </w:tc>
        <w:tc>
          <w:tcPr>
            <w:tcW w:type="dxa" w:w="9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1yr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5yr</w:t>
            </w:r>
          </w:p>
        </w:tc>
        <w:tc>
          <w:tcPr>
            <w:tcW w:type="dxa" w:w="9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1yr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5yr</w:t>
            </w:r>
          </w:p>
        </w:tc>
        <w:tc>
          <w:tcPr>
            <w:vMerge w:val="continue"/>
            <w:tcBorders>
              <w:top w:val="single" w:color="AAAAAA" w:sz="1"/>
              <w:left w:val="single" w:color="AAAAAA" w:sz="1"/>
              <w:bottom w:val="single" w:color="AAAAAA" w:sz="1"/>
              <w:right w:val="single" w:color="AAAAAA" w:sz="1"/>
            </w:tcBorders>
          </w:tcPr>
          <w:p/>
        </w:tc>
      </w:tr>
      <w:tr>
        <w:tc>
          <w:tcPr>
            <w:tcW w:type="dxa" w:w="9360"/>
            <w:gridSpan w:val="11"/>
            <w:tcBorders>
              <w:top w:val="single" w:color="AAAAAA" w:sz="1"/>
              <w:left w:val="single" w:color="AAAAAA" w:sz="1"/>
              <w:bottom w:val="single" w:color="AAAAAA" w:sz="1"/>
              <w:right w:val="single" w:color="AAAAAA" w:sz="1"/>
            </w:tcBorders>
            <w:shd w:fill="EAF3DE" w:val="clear"/>
            <w:tcMar>
              <w:top w:type="dxa" w:w="60"/>
              <w:left w:type="dxa" w:w="100"/>
              <w:bottom w:type="dxa" w:w="60"/>
              <w:right w:type="dxa" w:w="100"/>
            </w:tcMar>
          </w:tcPr>
          <w:p>
            <w:r>
              <w:rPr>
                <w:rFonts w:ascii="Arial" w:cs="Arial" w:eastAsia="Arial" w:hAnsi="Arial"/>
                <w:b/>
                <w:bCs/>
                <w:color w:val="27500A"/>
                <w:sz w:val="20"/>
                <w:szCs w:val="20"/>
              </w:rPr>
              <w:t xml:space="preserve">Transport fuels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Gasoline</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−0.15</w:t>
            </w:r>
            <w:r>
              <w:rPr>
                <w:rFonts w:ascii="Arial" w:cs="Arial" w:eastAsia="Arial" w:hAnsi="Arial"/>
                <w:b w:val="false"/>
                <w:bCs w:val="false"/>
                <w:color w:val="666666"/>
                <w:sz w:val="17"/>
                <w:szCs w:val="17"/>
              </w:rPr>
              <w:br/>
              <w:t xml:space="preserve">(−0.10/−0.20)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−0.45</w:t>
            </w:r>
            <w:r>
              <w:rPr>
                <w:rFonts w:ascii="Arial" w:cs="Arial" w:eastAsia="Arial" w:hAnsi="Arial"/>
                <w:b w:val="false"/>
                <w:bCs w:val="false"/>
                <w:color w:val="666666"/>
                <w:sz w:val="17"/>
                <w:szCs w:val="17"/>
              </w:rPr>
              <w:br/>
              <w:t xml:space="preserve">(−0.30/−0.55)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(−0.15/−0.25)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−0.60</w:t>
            </w:r>
            <w:r>
              <w:rPr>
                <w:rFonts w:ascii="Arial" w:cs="Arial" w:eastAsia="Arial" w:hAnsi="Arial"/>
                <w:b w:val="false"/>
                <w:bCs w:val="false"/>
                <w:color w:val="666666"/>
                <w:sz w:val="17"/>
                <w:szCs w:val="17"/>
              </w:rPr>
              <w:br/>
              <w:t xml:space="preserve">(−0.45/−0.70)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−0.60</w:t>
            </w:r>
            <w:r>
              <w:rPr>
                <w:rFonts w:ascii="Arial" w:cs="Arial" w:eastAsia="Arial" w:hAnsi="Arial"/>
                <w:b w:val="false"/>
                <w:bCs w:val="false"/>
                <w:color w:val="666666"/>
                <w:sz w:val="17"/>
                <w:szCs w:val="17"/>
              </w:rPr>
              <w:br/>
              <w:t xml:space="preserve">(−0.45/−0.80)</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−0.58</w:t>
            </w:r>
          </w:p>
          <w:p>
            <w:pPr>
              <w:jc w:val="center"/>
            </w:pPr>
            <w:r>
              <w:rPr>
                <w:rFonts w:ascii="Arial" w:cs="Arial" w:eastAsia="Arial" w:hAnsi="Arial"/>
                <w:i/>
                <w:iCs/>
                <w:color w:val="4B8B6A"/>
                <w:sz w:val="17"/>
                <w:szCs w:val="17"/>
              </w:rPr>
              <w:t xml:space="preserve">liquid fuels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Diesel</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−0.07</w:t>
            </w:r>
            <w:r>
              <w:rPr>
                <w:rFonts w:ascii="Arial" w:cs="Arial" w:eastAsia="Arial" w:hAnsi="Arial"/>
                <w:b w:val="false"/>
                <w:bCs w:val="false"/>
                <w:color w:val="666666"/>
                <w:sz w:val="17"/>
                <w:szCs w:val="17"/>
              </w:rPr>
              <w:br/>
              <w:t xml:space="preserve">(−0.03/−0.12)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−0.35</w:t>
            </w:r>
            <w:r>
              <w:rPr>
                <w:rFonts w:ascii="Arial" w:cs="Arial" w:eastAsia="Arial" w:hAnsi="Arial"/>
                <w:b w:val="false"/>
                <w:bCs w:val="false"/>
                <w:color w:val="666666"/>
                <w:sz w:val="17"/>
                <w:szCs w:val="17"/>
              </w:rPr>
              <w:br/>
              <w:t xml:space="preserve">(−0.20/−0.50)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−0.15</w:t>
            </w:r>
            <w:r>
              <w:rPr>
                <w:rFonts w:ascii="Arial" w:cs="Arial" w:eastAsia="Arial" w:hAnsi="Arial"/>
                <w:b w:val="false"/>
                <w:bCs w:val="false"/>
                <w:color w:val="666666"/>
                <w:sz w:val="17"/>
                <w:szCs w:val="17"/>
              </w:rPr>
              <w:br/>
              <w:t xml:space="preserve">(−0.10/−0.20)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−0.50</w:t>
            </w:r>
            <w:r>
              <w:rPr>
                <w:rFonts w:ascii="Arial" w:cs="Arial" w:eastAsia="Arial" w:hAnsi="Arial"/>
                <w:b w:val="false"/>
                <w:bCs w:val="false"/>
                <w:color w:val="666666"/>
                <w:sz w:val="17"/>
                <w:szCs w:val="17"/>
              </w:rPr>
              <w:br/>
              <w:t xml:space="preserve">(−0.35/−0.65)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(−0.12/−0.30)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−0.55</w:t>
            </w:r>
            <w:r>
              <w:rPr>
                <w:rFonts w:ascii="Arial" w:cs="Arial" w:eastAsia="Arial" w:hAnsi="Arial"/>
                <w:b w:val="false"/>
                <w:bCs w:val="false"/>
                <w:color w:val="666666"/>
                <w:sz w:val="17"/>
                <w:szCs w:val="17"/>
              </w:rPr>
              <w:br/>
              <w:t xml:space="preserve">(−0.40/−0.70)</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−0.58</w:t>
            </w:r>
          </w:p>
          <w:p>
            <w:pPr>
              <w:jc w:val="center"/>
            </w:pPr>
            <w:r>
              <w:rPr>
                <w:rFonts w:ascii="Arial" w:cs="Arial" w:eastAsia="Arial" w:hAnsi="Arial"/>
                <w:i/>
                <w:iCs/>
                <w:color w:val="4B8B6A"/>
                <w:sz w:val="17"/>
                <w:szCs w:val="17"/>
              </w:rPr>
              <w:t xml:space="preserve">liquid fuels</w:t>
            </w:r>
          </w:p>
        </w:tc>
      </w:tr>
      <w:tr>
        <w:tc>
          <w:tcPr>
            <w:tcW w:type="dxa" w:w="9360"/>
            <w:gridSpan w:val="11"/>
            <w:tcBorders>
              <w:top w:val="single" w:color="AAAAAA" w:sz="1"/>
              <w:left w:val="single" w:color="AAAAAA" w:sz="1"/>
              <w:bottom w:val="single" w:color="AAAAAA" w:sz="1"/>
              <w:right w:val="single" w:color="AAAAAA" w:sz="1"/>
            </w:tcBorders>
            <w:shd w:fill="EAF3DE" w:val="clear"/>
            <w:tcMar>
              <w:top w:type="dxa" w:w="60"/>
              <w:left w:type="dxa" w:w="100"/>
              <w:bottom w:type="dxa" w:w="60"/>
              <w:right w:type="dxa" w:w="100"/>
            </w:tcMar>
          </w:tcPr>
          <w:p>
            <w:r>
              <w:rPr>
                <w:rFonts w:ascii="Arial" w:cs="Arial" w:eastAsia="Arial" w:hAnsi="Arial"/>
                <w:b/>
                <w:bCs/>
                <w:color w:val="27500A"/>
                <w:sz w:val="20"/>
                <w:szCs w:val="20"/>
              </w:rPr>
              <w:t xml:space="preserve">Household / cooking fuels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LPG</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−0.45</w:t>
            </w:r>
            <w:r>
              <w:rPr>
                <w:rFonts w:ascii="Arial" w:cs="Arial" w:eastAsia="Arial" w:hAnsi="Arial"/>
                <w:b w:val="false"/>
                <w:bCs w:val="false"/>
                <w:color w:val="666666"/>
                <w:sz w:val="17"/>
                <w:szCs w:val="17"/>
              </w:rPr>
              <w:br/>
              <w:t xml:space="preserve">(−0.30/−0.60)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−0.55</w:t>
            </w:r>
            <w:r>
              <w:rPr>
                <w:rFonts w:ascii="Arial" w:cs="Arial" w:eastAsia="Arial" w:hAnsi="Arial"/>
                <w:b w:val="false"/>
                <w:bCs w:val="false"/>
                <w:color w:val="666666"/>
                <w:sz w:val="17"/>
                <w:szCs w:val="17"/>
              </w:rPr>
              <w:br/>
              <w:t xml:space="preserve">(−0.40/−0.70)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−0.45</w:t>
            </w:r>
            <w:r>
              <w:rPr>
                <w:rFonts w:ascii="Arial" w:cs="Arial" w:eastAsia="Arial" w:hAnsi="Arial"/>
                <w:b w:val="false"/>
                <w:bCs w:val="false"/>
                <w:color w:val="666666"/>
                <w:sz w:val="17"/>
                <w:szCs w:val="17"/>
              </w:rPr>
              <w:br/>
              <w:t xml:space="preserve">(−0.30/−0.60)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minor use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minor use</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−0.58</w:t>
            </w:r>
          </w:p>
          <w:p>
            <w:pPr>
              <w:jc w:val="center"/>
            </w:pPr>
            <w:r>
              <w:rPr>
                <w:rFonts w:ascii="Arial" w:cs="Arial" w:eastAsia="Arial" w:hAnsi="Arial"/>
                <w:i/>
                <w:iCs/>
                <w:color w:val="4B8B6A"/>
                <w:sz w:val="17"/>
                <w:szCs w:val="17"/>
              </w:rPr>
              <w:t xml:space="preserve">liquid fuels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Kerosene</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−0.12</w:t>
            </w:r>
            <w:r>
              <w:rPr>
                <w:rFonts w:ascii="Arial" w:cs="Arial" w:eastAsia="Arial" w:hAnsi="Arial"/>
                <w:b w:val="false"/>
                <w:bCs w:val="false"/>
                <w:color w:val="666666"/>
                <w:sz w:val="17"/>
                <w:szCs w:val="17"/>
              </w:rPr>
              <w:br/>
              <w:t xml:space="preserve">(−0.05/−0.20)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−0.30</w:t>
            </w:r>
            <w:r>
              <w:rPr>
                <w:rFonts w:ascii="Arial" w:cs="Arial" w:eastAsia="Arial" w:hAnsi="Arial"/>
                <w:b w:val="false"/>
                <w:bCs w:val="false"/>
                <w:color w:val="666666"/>
                <w:sz w:val="17"/>
                <w:szCs w:val="17"/>
              </w:rPr>
              <w:br/>
              <w:t xml:space="preserve">(−0.15/−0.45)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declining</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declining</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n/a</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n/a</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−0.58</w:t>
            </w:r>
          </w:p>
          <w:p>
            <w:pPr>
              <w:jc w:val="center"/>
            </w:pPr>
            <w:r>
              <w:rPr>
                <w:rFonts w:ascii="Arial" w:cs="Arial" w:eastAsia="Arial" w:hAnsi="Arial"/>
                <w:i/>
                <w:iCs/>
                <w:color w:val="4B8B6A"/>
                <w:sz w:val="17"/>
                <w:szCs w:val="17"/>
              </w:rPr>
              <w:t xml:space="preserve">liquid fuels</w:t>
            </w:r>
          </w:p>
        </w:tc>
      </w:tr>
      <w:tr>
        <w:tc>
          <w:tcPr>
            <w:tcW w:type="dxa" w:w="9360"/>
            <w:gridSpan w:val="11"/>
            <w:tcBorders>
              <w:top w:val="single" w:color="AAAAAA" w:sz="1"/>
              <w:left w:val="single" w:color="AAAAAA" w:sz="1"/>
              <w:bottom w:val="single" w:color="AAAAAA" w:sz="1"/>
              <w:right w:val="single" w:color="AAAAAA" w:sz="1"/>
            </w:tcBorders>
            <w:shd w:fill="EAF3DE" w:val="clear"/>
            <w:tcMar>
              <w:top w:type="dxa" w:w="60"/>
              <w:left w:type="dxa" w:w="100"/>
              <w:bottom w:type="dxa" w:w="60"/>
              <w:right w:type="dxa" w:w="100"/>
            </w:tcMar>
          </w:tcPr>
          <w:p>
            <w:r>
              <w:rPr>
                <w:rFonts w:ascii="Arial" w:cs="Arial" w:eastAsia="Arial" w:hAnsi="Arial"/>
                <w:b/>
                <w:bCs/>
                <w:color w:val="27500A"/>
                <w:sz w:val="20"/>
                <w:szCs w:val="20"/>
              </w:rPr>
              <w:t xml:space="preserve">Electricity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Electricity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−0.28</w:t>
            </w:r>
            <w:r>
              <w:rPr>
                <w:rFonts w:ascii="Arial" w:cs="Arial" w:eastAsia="Arial" w:hAnsi="Arial"/>
                <w:b w:val="false"/>
                <w:bCs w:val="false"/>
                <w:color w:val="666666"/>
                <w:sz w:val="17"/>
                <w:szCs w:val="17"/>
              </w:rPr>
              <w:br/>
              <w:t xml:space="preserve">(−0.20/−0.40)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−0.50</w:t>
            </w:r>
            <w:r>
              <w:rPr>
                <w:rFonts w:ascii="Arial" w:cs="Arial" w:eastAsia="Arial" w:hAnsi="Arial"/>
                <w:b w:val="false"/>
                <w:bCs w:val="false"/>
                <w:color w:val="666666"/>
                <w:sz w:val="17"/>
                <w:szCs w:val="17"/>
              </w:rPr>
              <w:br/>
              <w:t xml:space="preserve">(−0.35/−0.65)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−0.22</w:t>
            </w:r>
            <w:r>
              <w:rPr>
                <w:rFonts w:ascii="Arial" w:cs="Arial" w:eastAsia="Arial" w:hAnsi="Arial"/>
                <w:b w:val="false"/>
                <w:bCs w:val="false"/>
                <w:color w:val="666666"/>
                <w:sz w:val="17"/>
                <w:szCs w:val="17"/>
              </w:rPr>
              <w:br/>
              <w:t xml:space="preserve">(−0.15/−0.30)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−0.53</w:t>
            </w:r>
            <w:r>
              <w:rPr>
                <w:rFonts w:ascii="Arial" w:cs="Arial" w:eastAsia="Arial" w:hAnsi="Arial"/>
                <w:b w:val="false"/>
                <w:bCs w:val="false"/>
                <w:color w:val="666666"/>
                <w:sz w:val="17"/>
                <w:szCs w:val="17"/>
              </w:rPr>
              <w:br/>
              <w:t xml:space="preserve">(−0.40/−0.65)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−0.45</w:t>
            </w:r>
            <w:r>
              <w:rPr>
                <w:rFonts w:ascii="Arial" w:cs="Arial" w:eastAsia="Arial" w:hAnsi="Arial"/>
                <w:b w:val="false"/>
                <w:bCs w:val="false"/>
                <w:color w:val="666666"/>
                <w:sz w:val="17"/>
                <w:szCs w:val="17"/>
              </w:rPr>
              <w:br/>
              <w:t xml:space="preserve">(−0.25/−0.60)</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−0.36</w:t>
            </w:r>
          </w:p>
          <w:p>
            <w:pPr>
              <w:jc w:val="center"/>
            </w:pPr>
            <w:r>
              <w:rPr>
                <w:rFonts w:ascii="Arial" w:cs="Arial" w:eastAsia="Arial" w:hAnsi="Arial"/>
                <w:i/>
                <w:iCs/>
                <w:color w:val="4B8B6A"/>
                <w:sz w:val="17"/>
                <w:szCs w:val="17"/>
              </w:rPr>
              <w:t xml:space="preserve">electricity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Electricity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−0.30</w:t>
            </w:r>
            <w:r>
              <w:rPr>
                <w:rFonts w:ascii="Arial" w:cs="Arial" w:eastAsia="Arial" w:hAnsi="Arial"/>
                <w:b w:val="false"/>
                <w:bCs w:val="false"/>
                <w:color w:val="666666"/>
                <w:sz w:val="17"/>
                <w:szCs w:val="17"/>
              </w:rPr>
              <w:br/>
              <w:t xml:space="preserve">(−0.20/−0.45)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−0.50</w:t>
            </w:r>
            <w:r>
              <w:rPr>
                <w:rFonts w:ascii="Arial" w:cs="Arial" w:eastAsia="Arial" w:hAnsi="Arial"/>
                <w:b w:val="false"/>
                <w:bCs w:val="false"/>
                <w:color w:val="666666"/>
                <w:sz w:val="17"/>
                <w:szCs w:val="17"/>
              </w:rPr>
              <w:br/>
              <w:t xml:space="preserve">(−0.35/−0.65)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−0.63</w:t>
            </w:r>
            <w:r>
              <w:rPr>
                <w:rFonts w:ascii="Arial" w:cs="Arial" w:eastAsia="Arial" w:hAnsi="Arial"/>
                <w:b w:val="false"/>
                <w:bCs w:val="false"/>
                <w:color w:val="666666"/>
                <w:sz w:val="17"/>
                <w:szCs w:val="17"/>
              </w:rPr>
              <w:br/>
              <w:t xml:space="preserve">(−0.45/−0.80)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(−0.15/−0.40)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−0.75</w:t>
            </w:r>
            <w:r>
              <w:rPr>
                <w:rFonts w:ascii="Arial" w:cs="Arial" w:eastAsia="Arial" w:hAnsi="Arial"/>
                <w:b w:val="false"/>
                <w:bCs w:val="false"/>
                <w:color w:val="666666"/>
                <w:sz w:val="17"/>
                <w:szCs w:val="17"/>
              </w:rPr>
              <w:br/>
              <w:t xml:space="preserve">(−0.55/−1.00)</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−0.36</w:t>
            </w:r>
          </w:p>
          <w:p>
            <w:pPr>
              <w:jc w:val="center"/>
            </w:pPr>
            <w:r>
              <w:rPr>
                <w:rFonts w:ascii="Arial" w:cs="Arial" w:eastAsia="Arial" w:hAnsi="Arial"/>
                <w:i/>
                <w:iCs/>
                <w:color w:val="4B8B6A"/>
                <w:sz w:val="17"/>
                <w:szCs w:val="17"/>
              </w:rPr>
              <w:t xml:space="preserve">electricity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Electricity</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−0.13</w:t>
            </w:r>
            <w:r>
              <w:rPr>
                <w:rFonts w:ascii="Arial" w:cs="Arial" w:eastAsia="Arial" w:hAnsi="Arial"/>
                <w:b w:val="false"/>
                <w:bCs w:val="false"/>
                <w:color w:val="666666"/>
                <w:sz w:val="17"/>
                <w:szCs w:val="17"/>
              </w:rPr>
              <w:br/>
              <w:t xml:space="preserve">(−0.05/−0.20)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−0.38</w:t>
            </w:r>
            <w:r>
              <w:rPr>
                <w:rFonts w:ascii="Arial" w:cs="Arial" w:eastAsia="Arial" w:hAnsi="Arial"/>
                <w:b w:val="false"/>
                <w:bCs w:val="false"/>
                <w:color w:val="666666"/>
                <w:sz w:val="17"/>
                <w:szCs w:val="17"/>
              </w:rPr>
              <w:br/>
              <w:t xml:space="preserve">(−0.25/−0.50)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−0.48</w:t>
            </w:r>
            <w:r>
              <w:rPr>
                <w:rFonts w:ascii="Arial" w:cs="Arial" w:eastAsia="Arial" w:hAnsi="Arial"/>
                <w:b w:val="false"/>
                <w:bCs w:val="false"/>
                <w:color w:val="666666"/>
                <w:sz w:val="17"/>
                <w:szCs w:val="17"/>
              </w:rPr>
              <w:br/>
              <w:t xml:space="preserve">(−0.35/−0.60)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−0.55</w:t>
            </w:r>
            <w:r>
              <w:rPr>
                <w:rFonts w:ascii="Arial" w:cs="Arial" w:eastAsia="Arial" w:hAnsi="Arial"/>
                <w:b w:val="false"/>
                <w:bCs w:val="false"/>
                <w:color w:val="666666"/>
                <w:sz w:val="17"/>
                <w:szCs w:val="17"/>
              </w:rPr>
              <w:br/>
              <w:t xml:space="preserve">(−0.35/−0.75)</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−0.36</w:t>
            </w:r>
          </w:p>
          <w:p>
            <w:pPr>
              <w:jc w:val="center"/>
            </w:pPr>
            <w:r>
              <w:rPr>
                <w:rFonts w:ascii="Arial" w:cs="Arial" w:eastAsia="Arial" w:hAnsi="Arial"/>
                <w:i/>
                <w:iCs/>
                <w:color w:val="4B8B6A"/>
                <w:sz w:val="17"/>
                <w:szCs w:val="17"/>
              </w:rPr>
              <w:t xml:space="preserve">electricity</w:t>
            </w:r>
          </w:p>
        </w:tc>
      </w:tr>
      <w:tr>
        <w:tc>
          <w:tcPr>
            <w:tcW w:type="dxa" w:w="9360"/>
            <w:gridSpan w:val="11"/>
            <w:tcBorders>
              <w:top w:val="single" w:color="AAAAAA" w:sz="1"/>
              <w:left w:val="single" w:color="AAAAAA" w:sz="1"/>
              <w:bottom w:val="single" w:color="AAAAAA" w:sz="1"/>
              <w:right w:val="single" w:color="AAAAAA" w:sz="1"/>
            </w:tcBorders>
            <w:shd w:fill="EAF3DE" w:val="clear"/>
            <w:tcMar>
              <w:top w:type="dxa" w:w="60"/>
              <w:left w:type="dxa" w:w="100"/>
              <w:bottom w:type="dxa" w:w="60"/>
              <w:right w:type="dxa" w:w="100"/>
            </w:tcMar>
          </w:tcPr>
          <w:p>
            <w:r>
              <w:rPr>
                <w:rFonts w:ascii="Arial" w:cs="Arial" w:eastAsia="Arial" w:hAnsi="Arial"/>
                <w:b/>
                <w:bCs/>
                <w:color w:val="27500A"/>
                <w:sz w:val="20"/>
                <w:szCs w:val="20"/>
              </w:rPr>
              <w:t xml:space="preserve">Natural gas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Natural gas</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n/a †</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n/a †</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−0.13</w:t>
            </w:r>
            <w:r>
              <w:rPr>
                <w:rFonts w:ascii="Arial" w:cs="Arial" w:eastAsia="Arial" w:hAnsi="Arial"/>
                <w:b w:val="false"/>
                <w:bCs w:val="false"/>
                <w:color w:val="666666"/>
                <w:sz w:val="17"/>
                <w:szCs w:val="17"/>
              </w:rPr>
              <w:br/>
              <w:t xml:space="preserve">(−0.05/−0.20)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−0.35</w:t>
            </w:r>
            <w:r>
              <w:rPr>
                <w:rFonts w:ascii="Arial" w:cs="Arial" w:eastAsia="Arial" w:hAnsi="Arial"/>
                <w:b w:val="false"/>
                <w:bCs w:val="false"/>
                <w:color w:val="666666"/>
                <w:sz w:val="17"/>
                <w:szCs w:val="17"/>
              </w:rPr>
              <w:br/>
              <w:t xml:space="preserve">(−0.20/−0.50)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−0.53</w:t>
            </w:r>
            <w:r>
              <w:rPr>
                <w:rFonts w:ascii="Arial" w:cs="Arial" w:eastAsia="Arial" w:hAnsi="Arial"/>
                <w:b w:val="false"/>
                <w:bCs w:val="false"/>
                <w:color w:val="666666"/>
                <w:sz w:val="17"/>
                <w:szCs w:val="17"/>
              </w:rPr>
              <w:br/>
              <w:t xml:space="preserve">(−0.35/−0.70)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−0.55</w:t>
            </w:r>
            <w:r>
              <w:rPr>
                <w:rFonts w:ascii="Arial" w:cs="Arial" w:eastAsia="Arial" w:hAnsi="Arial"/>
                <w:b w:val="false"/>
                <w:bCs w:val="false"/>
                <w:color w:val="666666"/>
                <w:sz w:val="17"/>
                <w:szCs w:val="17"/>
              </w:rPr>
              <w:br/>
              <w:t xml:space="preserve">(−0.35/−0.80)</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−0.70</w:t>
            </w:r>
          </w:p>
          <w:p>
            <w:pPr>
              <w:jc w:val="center"/>
            </w:pPr>
            <w:r>
              <w:rPr>
                <w:rFonts w:ascii="Arial" w:cs="Arial" w:eastAsia="Arial" w:hAnsi="Arial"/>
                <w:i/>
                <w:iCs/>
                <w:color w:val="4B8B6A"/>
                <w:sz w:val="17"/>
                <w:szCs w:val="17"/>
              </w:rPr>
              <w:t xml:space="preserve">natural gas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Natural gas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n/a †</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n/a †</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−0.13</w:t>
            </w:r>
            <w:r>
              <w:rPr>
                <w:rFonts w:ascii="Arial" w:cs="Arial" w:eastAsia="Arial" w:hAnsi="Arial"/>
                <w:b w:val="false"/>
                <w:bCs w:val="false"/>
                <w:color w:val="666666"/>
                <w:sz w:val="17"/>
                <w:szCs w:val="17"/>
              </w:rPr>
              <w:br/>
              <w:t xml:space="preserve">(−0.05/−0.20)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−0.40</w:t>
            </w:r>
            <w:r>
              <w:rPr>
                <w:rFonts w:ascii="Arial" w:cs="Arial" w:eastAsia="Arial" w:hAnsi="Arial"/>
                <w:b w:val="false"/>
                <w:bCs w:val="false"/>
                <w:color w:val="666666"/>
                <w:sz w:val="17"/>
                <w:szCs w:val="17"/>
              </w:rPr>
              <w:br/>
              <w:t xml:space="preserve">(−0.25/−0.55)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−0.55</w:t>
            </w:r>
            <w:r>
              <w:rPr>
                <w:rFonts w:ascii="Arial" w:cs="Arial" w:eastAsia="Arial" w:hAnsi="Arial"/>
                <w:b w:val="false"/>
                <w:bCs w:val="false"/>
                <w:color w:val="666666"/>
                <w:sz w:val="17"/>
                <w:szCs w:val="17"/>
              </w:rPr>
              <w:br/>
              <w:t xml:space="preserve">(−0.35/−0.75)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(−0.15/−0.40)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−0.70</w:t>
            </w:r>
            <w:r>
              <w:rPr>
                <w:rFonts w:ascii="Arial" w:cs="Arial" w:eastAsia="Arial" w:hAnsi="Arial"/>
                <w:b w:val="false"/>
                <w:bCs w:val="false"/>
                <w:color w:val="666666"/>
                <w:sz w:val="17"/>
                <w:szCs w:val="17"/>
              </w:rPr>
              <w:br/>
              <w:t xml:space="preserve">(−0.50/−0.90)</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−0.70</w:t>
            </w:r>
          </w:p>
          <w:p>
            <w:pPr>
              <w:jc w:val="center"/>
            </w:pPr>
            <w:r>
              <w:rPr>
                <w:rFonts w:ascii="Arial" w:cs="Arial" w:eastAsia="Arial" w:hAnsi="Arial"/>
                <w:i/>
                <w:iCs/>
                <w:color w:val="4B8B6A"/>
                <w:sz w:val="17"/>
                <w:szCs w:val="17"/>
              </w:rPr>
              <w:t xml:space="preserve">natural gas</w:t>
            </w:r>
          </w:p>
        </w:tc>
      </w:tr>
      <w:tr>
        <w:tc>
          <w:tcPr>
            <w:tcW w:type="dxa" w:w="9360"/>
            <w:gridSpan w:val="11"/>
            <w:tcBorders>
              <w:top w:val="single" w:color="AAAAAA" w:sz="1"/>
              <w:left w:val="single" w:color="AAAAAA" w:sz="1"/>
              <w:bottom w:val="single" w:color="AAAAAA" w:sz="1"/>
              <w:right w:val="single" w:color="AAAAAA" w:sz="1"/>
            </w:tcBorders>
            <w:shd w:fill="EAF3DE" w:val="clear"/>
            <w:tcMar>
              <w:top w:type="dxa" w:w="60"/>
              <w:left w:type="dxa" w:w="100"/>
              <w:bottom w:type="dxa" w:w="60"/>
              <w:right w:type="dxa" w:w="100"/>
            </w:tcMar>
          </w:tcPr>
          <w:p>
            <w:r>
              <w:rPr>
                <w:rFonts w:ascii="Arial" w:cs="Arial" w:eastAsia="Arial" w:hAnsi="Arial"/>
                <w:b/>
                <w:bCs/>
                <w:color w:val="27500A"/>
                <w:sz w:val="20"/>
                <w:szCs w:val="20"/>
              </w:rPr>
              <w:t xml:space="preserve">Coal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Coal</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−0.10</w:t>
            </w:r>
            <w:r>
              <w:rPr>
                <w:rFonts w:ascii="Arial" w:cs="Arial" w:eastAsia="Arial" w:hAnsi="Arial"/>
                <w:b w:val="false"/>
                <w:bCs w:val="false"/>
                <w:color w:val="666666"/>
                <w:sz w:val="17"/>
                <w:szCs w:val="17"/>
              </w:rPr>
              <w:br/>
              <w:t xml:space="preserve">(−0.05/−0.15)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−0.25</w:t>
            </w:r>
            <w:r>
              <w:rPr>
                <w:rFonts w:ascii="Arial" w:cs="Arial" w:eastAsia="Arial" w:hAnsi="Arial"/>
                <w:b w:val="false"/>
                <w:bCs w:val="false"/>
                <w:color w:val="666666"/>
                <w:sz w:val="17"/>
                <w:szCs w:val="17"/>
              </w:rPr>
              <w:br/>
              <w:t xml:space="preserve">(−0.15/−0.35)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−0.13</w:t>
            </w:r>
            <w:r>
              <w:rPr>
                <w:rFonts w:ascii="Arial" w:cs="Arial" w:eastAsia="Arial" w:hAnsi="Arial"/>
                <w:b w:val="false"/>
                <w:bCs w:val="false"/>
                <w:color w:val="666666"/>
                <w:sz w:val="17"/>
                <w:szCs w:val="17"/>
              </w:rPr>
              <w:br/>
              <w:t xml:space="preserve">(−0.05/−0.20)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−0.35</w:t>
            </w:r>
            <w:r>
              <w:rPr>
                <w:rFonts w:ascii="Arial" w:cs="Arial" w:eastAsia="Arial" w:hAnsi="Arial"/>
                <w:b w:val="false"/>
                <w:bCs w:val="false"/>
                <w:color w:val="666666"/>
                <w:sz w:val="17"/>
                <w:szCs w:val="17"/>
              </w:rPr>
              <w:br/>
              <w:t xml:space="preserve">(−0.20/−0.50)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−0.48</w:t>
            </w:r>
            <w:r>
              <w:rPr>
                <w:rFonts w:ascii="Arial" w:cs="Arial" w:eastAsia="Arial" w:hAnsi="Arial"/>
                <w:b w:val="false"/>
                <w:bCs w:val="false"/>
                <w:color w:val="666666"/>
                <w:sz w:val="17"/>
                <w:szCs w:val="17"/>
              </w:rPr>
              <w:br/>
              <w:t xml:space="preserve">(−0.30/−0.65)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−0.55</w:t>
            </w:r>
            <w:r>
              <w:rPr>
                <w:rFonts w:ascii="Arial" w:cs="Arial" w:eastAsia="Arial" w:hAnsi="Arial"/>
                <w:b w:val="false"/>
                <w:bCs w:val="false"/>
                <w:color w:val="666666"/>
                <w:sz w:val="17"/>
                <w:szCs w:val="17"/>
              </w:rPr>
              <w:br/>
              <w:t xml:space="preserve">(−0.35/−0.75)</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−0.58</w:t>
            </w:r>
          </w:p>
          <w:p>
            <w:pPr>
              <w:jc w:val="center"/>
            </w:pPr>
            <w:r>
              <w:rPr>
                <w:rFonts w:ascii="Arial" w:cs="Arial" w:eastAsia="Arial" w:hAnsi="Arial"/>
                <w:i/>
                <w:iCs/>
                <w:color w:val="4B8B6A"/>
                <w:sz w:val="17"/>
                <w:szCs w:val="17"/>
              </w:rPr>
              <w:t xml:space="preserve">coal</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Coal</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−0.18</w:t>
            </w:r>
            <w:r>
              <w:rPr>
                <w:rFonts w:ascii="Arial" w:cs="Arial" w:eastAsia="Arial" w:hAnsi="Arial"/>
                <w:b w:val="false"/>
                <w:bCs w:val="false"/>
                <w:color w:val="666666"/>
                <w:sz w:val="17"/>
                <w:szCs w:val="17"/>
              </w:rPr>
              <w:br/>
              <w:t xml:space="preserve">(−0.10/−0.25)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−0.35</w:t>
            </w:r>
            <w:r>
              <w:rPr>
                <w:rFonts w:ascii="Arial" w:cs="Arial" w:eastAsia="Arial" w:hAnsi="Arial"/>
                <w:b w:val="false"/>
                <w:bCs w:val="false"/>
                <w:color w:val="666666"/>
                <w:sz w:val="17"/>
                <w:szCs w:val="17"/>
              </w:rPr>
              <w:br/>
              <w:t xml:space="preserve">(−0.25/−0.45)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limited †</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limited †</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−0.20</w:t>
            </w:r>
            <w:r>
              <w:rPr>
                <w:rFonts w:ascii="Arial" w:cs="Arial" w:eastAsia="Arial" w:hAnsi="Arial"/>
                <w:b w:val="false"/>
                <w:bCs w:val="false"/>
                <w:color w:val="666666"/>
                <w:sz w:val="17"/>
                <w:szCs w:val="17"/>
              </w:rPr>
              <w:br/>
              <w:t xml:space="preserve">(−0.10/−0.30)</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bCs/>
                <w:color w:val="1F4E79"/>
                <w:sz w:val="20"/>
                <w:szCs w:val="20"/>
              </w:rPr>
              <w:t xml:space="preserve">−0.50</w:t>
            </w:r>
            <w:r>
              <w:rPr>
                <w:rFonts w:ascii="Arial" w:cs="Arial" w:eastAsia="Arial" w:hAnsi="Arial"/>
                <w:b w:val="false"/>
                <w:bCs w:val="false"/>
                <w:color w:val="666666"/>
                <w:sz w:val="17"/>
                <w:szCs w:val="17"/>
              </w:rPr>
              <w:br/>
              <w:t xml:space="preserve">(−0.35/−0.65)</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negligible</w:t>
            </w:r>
          </w:p>
        </w:tc>
        <w:tc>
          <w:tcPr>
            <w:tcW w:type="dxa" w:w="9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1F4E79"/>
                <w:sz w:val="20"/>
                <w:szCs w:val="20"/>
              </w:rPr>
              <w:t xml:space="preserve">negligible</w:t>
            </w:r>
          </w:p>
        </w:tc>
        <w:tc>
          <w:tcPr>
            <w:tcW w:type="dxa" w:w="960"/>
            <w:tcBorders>
              <w:top w:val="single" w:color="AAAAAA" w:sz="1"/>
              <w:left w:val="single" w:color="AAAAAA" w:sz="1"/>
              <w:bottom w:val="single" w:color="AAAAAA" w:sz="1"/>
              <w:right w:val="single" w:color="AAAAAA" w:sz="1"/>
            </w:tcBorders>
            <w:shd w:fill="E8F5EF" w:val="clear"/>
            <w:tcMar>
              <w:top w:type="dxa" w:w="60"/>
              <w:left w:type="dxa" w:w="80"/>
              <w:bottom w:type="dxa" w:w="60"/>
              <w:right w:type="dxa" w:w="80"/>
            </w:tcMar>
            <w:vAlign w:val="center"/>
          </w:tcPr>
          <w:p>
            <w:pPr>
              <w:jc w:val="center"/>
            </w:pPr>
            <w:r>
              <w:rPr>
                <w:rFonts w:ascii="Arial" w:cs="Arial" w:eastAsia="Arial" w:hAnsi="Arial"/>
                <w:b/>
                <w:bCs/>
                <w:color w:val="0F6E56"/>
                <w:sz w:val="22"/>
                <w:szCs w:val="22"/>
              </w:rPr>
              <w:t xml:space="preserve">−0.58</w:t>
            </w:r>
          </w:p>
          <w:p>
            <w:pPr>
              <w:jc w:val="center"/>
            </w:pPr>
            <w:r>
              <w:rPr>
                <w:rFonts w:ascii="Arial" w:cs="Arial" w:eastAsia="Arial" w:hAnsi="Arial"/>
                <w:i/>
                <w:iCs/>
                <w:color w:val="4B8B6A"/>
                <w:sz w:val="17"/>
                <w:szCs w:val="17"/>
              </w:rPr>
              <w:t xml:space="preserve">coal</w:t>
            </w:r>
          </w:p>
        </w:tc>
      </w:tr>
    </w:tbl>
    <w:p>
      <w:pPr>
        <w:spacing w:after="80"/>
      </w:pPr>
    </w:p>
    <w:p>
      <w:pPr>
        <w:spacing w:after="160"/>
      </w:pPr>
      <w:r>
        <w:rPr>
          <w:rFonts w:ascii="Arial" w:cs="Arial" w:eastAsia="Arial" w:hAnsi="Arial"/>
          <w:i/>
          <w:iCs/>
          <w:sz w:val="22"/>
          <w:szCs w:val="22"/>
        </w:rPr>
        <w:t xml:space="preserve">Notes: Midpoints derived from natural experiment evidence reviewed in Appendix A. 1yr ≈ short/medium run (intensive margin); 5yr ≈ long run (capital stock adjustment). Ranges in parentheses. n/a = fuel not materially used in that income context. † = thin evidence base, treat with caution. CPAT column shows single uniform long-run parameter from CPATPriceElasticities.xlsx applied at each annual time step regardless of income group. LIC = low income; LMIC = lower middle income; UMIC = upper middle income; HIC = high income.</w:t>
      </w:r>
    </w:p>
    <w:p>
      <w:r>
        <w:br w:type="page"/>
      </w:r>
    </w:p>
    <w:p>
      <w:pPr>
        <w:pStyle w:val="Heading1"/>
        <w:spacing w:after="160" w:before="320"/>
      </w:pPr>
      <w:r>
        <w:rPr>
          <w:rFonts w:ascii="Arial" w:cs="Arial" w:eastAsia="Arial" w:hAnsi="Arial"/>
          <w:b/>
          <w:bCs/>
          <w:color w:val="1F5C99"/>
          <w:sz w:val="32"/>
          <w:szCs w:val="32"/>
        </w:rPr>
        <w:t xml:space="preserve">4  Comparison with CPAT Default Parameters</w:t>
      </w:r>
    </w:p>
    <w:p>
      <w:pPr>
        <w:pStyle w:val="Heading2"/>
        <w:spacing w:after="120" w:before="240"/>
      </w:pPr>
      <w:r>
        <w:rPr>
          <w:rFonts w:ascii="Arial" w:cs="Arial" w:eastAsia="Arial" w:hAnsi="Arial"/>
          <w:b/>
          <w:bCs/>
          <w:color w:val="2E75B6"/>
          <w:sz w:val="26"/>
          <w:szCs w:val="26"/>
        </w:rPr>
        <w:t xml:space="preserve">4.1  Natural gas: the largest discrepancy</w:t>
      </w:r>
    </w:p>
    <w:p>
      <w:pPr>
        <w:spacing w:after="160"/>
      </w:pPr>
      <w:r>
        <w:rPr>
          <w:rFonts w:ascii="Arial" w:cs="Arial" w:eastAsia="Arial" w:hAnsi="Arial"/>
          <w:sz w:val="22"/>
          <w:szCs w:val="22"/>
        </w:rPr>
        <w:t xml:space="preserve">CPAT's natural gas elasticity of −0.70 is the highest in its parameter set, yet it represents the largest overstatement relative to the empirical evidence for developing countries. The 1-year empirical estimate for LMICs (the dominant income group for countries with natural gas policy reform programmes) is approximately −0.13, implying CPAT overstates the near-term demand response by a factor of roughly 5x. Even at the 5-year horizon, the LMIC estimate of −0.40 falls well below the CPAT parameter.</w:t>
      </w:r>
      <w:r>
        <w:rPr>
          <w:rFonts w:ascii="Arial" w:cs="Arial" w:eastAsia="Arial" w:hAnsi="Arial"/>
          <w:sz w:val="22"/>
          <w:szCs w:val="22"/>
        </w:rPr>
      </w:r>
    </w:p>
    <w:p>
      <w:pPr>
        <w:spacing w:after="160"/>
      </w:pPr>
      <w:r>
        <w:rPr>
          <w:rFonts w:ascii="Arial" w:cs="Arial" w:eastAsia="Arial" w:hAnsi="Arial"/>
          <w:sz w:val="22"/>
          <w:szCs w:val="22"/>
        </w:rPr>
        <w:t xml:space="preserve">The mechanism is important. In LMICs and LICs, natural gas consumption is dominated by power generation dispatch decisions and industrial process heat with essentially no short-run fuel substitutes. Residential gas penetration is limited. The elasticity mechanism that CPAT's parameter is designed to capture — substitution toward cleaner fuels, efficiency investment, and demand restraint — operates on timescales much longer than a single year, and requires the prior existence of substitution infrastructure (gas alternatives in power generation, energy-efficient industrial capital) that does not yet exist in most LMICs.</w:t>
      </w:r>
    </w:p>
    <w:p>
      <w:pPr>
        <w:pStyle w:val="Heading2"/>
        <w:spacing w:after="120" w:before="240"/>
      </w:pPr>
      <w:r>
        <w:rPr>
          <w:rFonts w:ascii="Arial" w:cs="Arial" w:eastAsia="Arial" w:hAnsi="Arial"/>
          <w:b/>
          <w:bCs/>
          <w:color w:val="2E75B6"/>
          <w:sz w:val="26"/>
          <w:szCs w:val="26"/>
        </w:rPr>
        <w:t xml:space="preserve">4.2  Liquid fuels: internally heterogeneous</w:t>
      </w:r>
    </w:p>
    <w:p>
      <w:pPr>
        <w:spacing w:after="160"/>
      </w:pPr>
      <w:r>
        <w:rPr>
          <w:rFonts w:ascii="Arial" w:cs="Arial" w:eastAsia="Arial" w:hAnsi="Arial"/>
          <w:sz w:val="22"/>
          <w:szCs w:val="22"/>
        </w:rPr>
        <w:t xml:space="preserve">CPAT applies a single elasticity of −0.58 to all liquid fuels: gasoline, diesel, LPG, and kerosene. The empirical evidence indicates substantial heterogeneity within this group that the single parameter obscures.</w:t>
      </w:r>
    </w:p>
    <w:p>
      <w:pPr>
        <w:spacing w:after="160"/>
      </w:pPr>
      <w:r>
        <w:rPr>
          <w:rFonts w:ascii="Arial" w:cs="Arial" w:eastAsia="Arial" w:hAnsi="Arial"/>
          <w:sz w:val="22"/>
          <w:szCs w:val="22"/>
        </w:rPr>
        <w:t xml:space="preserve">For gasoline in UMICs and HICs, the 5-year empirical estimate of −0.45 to −0.60 is broadly consistent with CPAT's −0.58. This is the cell where CPAT's long-run parameter is most defensible. For LIC/LMIC gasoline, however, the 1-year estimate of −0.07 to −0.15 means CPAT overstates the near-term response by 4–8x.</w:t>
      </w:r>
    </w:p>
    <w:p>
      <w:pPr>
        <w:spacing w:after="160"/>
      </w:pPr>
      <w:r>
        <w:rPr>
          <w:rFonts w:ascii="Arial" w:cs="Arial" w:eastAsia="Arial" w:hAnsi="Arial"/>
          <w:sz w:val="22"/>
          <w:szCs w:val="22"/>
        </w:rPr>
        <w:t xml:space="preserve">Kerosene is particularly problematic. The empirical 1-year elasticity in LICs is approximately −0.10, reflecting the near-necessity nature of kerosene for off-grid lighting with essentially no available substitute. India's fortnightly price-step identification strategy, arguably the cleanest kerosene natural experiment, showed near-zero short-run response until solar lantern adoption made substitution feasible. CPAT's −0.58 overstates the LIC 1-year response by roughly 6x.</w:t>
      </w:r>
    </w:p>
    <w:p>
      <w:pPr>
        <w:spacing w:after="160"/>
      </w:pPr>
      <w:r>
        <w:rPr>
          <w:rFonts w:ascii="Arial" w:cs="Arial" w:eastAsia="Arial" w:hAnsi="Arial"/>
          <w:sz w:val="22"/>
          <w:szCs w:val="22"/>
        </w:rPr>
        <w:t xml:space="preserve">LPG shows genuinely higher elasticity than kerosene — approximately −0.20 at 1-year in LICs — because biomass substitution is available and cheap. When LPG prices rise, households revert to wood and charcoal. This is an important asymmetry: pricing LPG upward in LICs will reduce measured LPG demand, but a substantial share of that reduction will be met by substitution toward biomass rather than genuine energy service reduction, with negative environmental and health consequences not captured in CPAT's emissions module.</w:t>
      </w:r>
    </w:p>
    <w:p>
      <w:pPr>
        <w:pStyle w:val="Heading2"/>
        <w:spacing w:after="120" w:before="240"/>
      </w:pPr>
      <w:r>
        <w:rPr>
          <w:rFonts w:ascii="Arial" w:cs="Arial" w:eastAsia="Arial" w:hAnsi="Arial"/>
          <w:b/>
          <w:bCs/>
          <w:color w:val="2E75B6"/>
          <w:sz w:val="26"/>
          <w:szCs w:val="26"/>
        </w:rPr>
        <w:t xml:space="preserve">4.3  Electricity: the most defensible CPAT value</w:t>
      </w:r>
    </w:p>
    <w:p>
      <w:pPr>
        <w:spacing w:after="160"/>
      </w:pPr>
      <w:r>
        <w:rPr>
          <w:rFonts w:ascii="Arial" w:cs="Arial" w:eastAsia="Arial" w:hAnsi="Arial"/>
          <w:sz w:val="22"/>
          <w:szCs w:val="22"/>
        </w:rPr>
        <w:t xml:space="preserve">CPAT's electricity elasticity of −0.36 is the most defensible figure in its parameter set. It sits close to the 5-year empirical midpoint for LMICs (−0.50) and UMIC residential (−0.53), and is only modestly above the 5-year LIC estimate (−0.28). The South Africa evidence is instructive here: the Eskom tariff doubling produced industrial long-run elasticities in the −0.45 to −0.65 range, and the EU panel evidence gives residential LR −0.53 to −0.56 and industrial −0.75 to −1.01.</w:t>
      </w:r>
      <w:r>
        <w:rPr>
          <w:rFonts w:ascii="Arial" w:cs="Arial" w:eastAsia="Arial" w:hAnsi="Arial"/>
          <w:sz w:val="22"/>
          <w:szCs w:val="22"/>
        </w:rPr>
      </w:r>
      <w:r>
        <w:rPr>
          <w:rFonts w:ascii="Arial" w:cs="Arial" w:eastAsia="Arial" w:hAnsi="Arial"/>
          <w:sz w:val="22"/>
          <w:szCs w:val="22"/>
        </w:rPr>
        <w:t xml:space="preserve"> For electricity, the CPAT single-number approach is least wrong, probably because the Labandeira et al. meta-analysis</w:t>
      </w:r>
      <w:r>
        <w:rPr>
          <w:rFonts w:ascii="Arial" w:cs="Arial" w:eastAsia="Arial" w:hAnsi="Arial"/>
          <w:sz w:val="22"/>
          <w:szCs w:val="22"/>
        </w:rPr>
      </w:r>
      <w:r>
        <w:rPr>
          <w:rFonts w:ascii="Arial" w:cs="Arial" w:eastAsia="Arial" w:hAnsi="Arial"/>
          <w:sz w:val="22"/>
          <w:szCs w:val="22"/>
        </w:rPr>
        <w:t xml:space="preserve"> underlying it has the densest coverage for electricity demand.</w:t>
      </w:r>
    </w:p>
    <w:p>
      <w:pPr>
        <w:spacing w:after="160"/>
      </w:pPr>
      <w:r>
        <w:rPr>
          <w:rFonts w:ascii="Arial" w:cs="Arial" w:eastAsia="Arial" w:hAnsi="Arial"/>
          <w:sz w:val="22"/>
          <w:szCs w:val="22"/>
        </w:rPr>
        <w:t xml:space="preserve">However, the pattern of near-zero short-run elasticity followed by significant long-run response is documented for electricity as clearly as for other fuels. The South Africa finding that pre-2008 studies uniformly found insignificant elasticities — because real prices were falling — should counsel caution about applying the CPAT LR figure to annual fiscal projections in countries with electricity subsidies.</w:t>
      </w:r>
    </w:p>
    <w:p>
      <w:pPr>
        <w:pStyle w:val="Heading2"/>
        <w:spacing w:after="120" w:before="240"/>
      </w:pPr>
      <w:r>
        <w:rPr>
          <w:rFonts w:ascii="Arial" w:cs="Arial" w:eastAsia="Arial" w:hAnsi="Arial"/>
          <w:b/>
          <w:bCs/>
          <w:color w:val="2E75B6"/>
          <w:sz w:val="26"/>
          <w:szCs w:val="26"/>
        </w:rPr>
        <w:t xml:space="preserve">4.4  Structural implications for CPAT use</w:t>
      </w:r>
    </w:p>
    <w:p>
      <w:pPr>
        <w:spacing w:after="160"/>
      </w:pPr>
      <w:r>
        <w:rPr>
          <w:rFonts w:ascii="Arial" w:cs="Arial" w:eastAsia="Arial" w:hAnsi="Arial"/>
          <w:sz w:val="22"/>
          <w:szCs w:val="22"/>
        </w:rPr>
        <w:t xml:space="preserve">The removal of the short/long-run distinction in CPAT v1.0 has specific implications that depend on the analysis being conducted:</w:t>
      </w:r>
    </w:p>
    <w:p>
      <w:pPr>
        <w:pStyle w:val="ListParagraph"/>
        <w:numPr>
          <w:ilvl w:val="0"/>
          <w:numId w:val="2"/>
        </w:numPr>
        <w:spacing w:after="120"/>
      </w:pPr>
      <w:r>
        <w:rPr>
          <w:rFonts w:ascii="Arial" w:cs="Arial" w:eastAsia="Arial" w:hAnsi="Arial"/>
          <w:sz w:val="22"/>
          <w:szCs w:val="22"/>
        </w:rPr>
        <w:t xml:space="preserve">For 1-year fiscal revenue projections from subsidy reform: CPAT will significantly overstate the demand reduction and therefore understate revenue retention (i.e., it will understate fiscal savings in year 1). This is the most common use case in country engagements.</w:t>
      </w:r>
    </w:p>
    <w:p>
      <w:pPr>
        <w:pStyle w:val="ListParagraph"/>
        <w:numPr>
          <w:ilvl w:val="0"/>
          <w:numId w:val="2"/>
        </w:numPr>
        <w:spacing w:after="120"/>
      </w:pPr>
      <w:r>
        <w:rPr>
          <w:rFonts w:ascii="Arial" w:cs="Arial" w:eastAsia="Arial" w:hAnsi="Arial"/>
          <w:sz w:val="22"/>
          <w:szCs w:val="22"/>
        </w:rPr>
        <w:t xml:space="preserve">For 5-year emissions trajectories: CPAT's long-run parameter is broadly appropriate for UMICs and HICs, but continues to overstate LIC/LMIC responses.</w:t>
      </w:r>
    </w:p>
    <w:p>
      <w:pPr>
        <w:pStyle w:val="ListParagraph"/>
        <w:numPr>
          <w:ilvl w:val="0"/>
          <w:numId w:val="2"/>
        </w:numPr>
        <w:spacing w:after="120"/>
      </w:pPr>
      <w:r>
        <w:rPr>
          <w:rFonts w:ascii="Arial" w:cs="Arial" w:eastAsia="Arial" w:hAnsi="Arial"/>
          <w:sz w:val="22"/>
          <w:szCs w:val="22"/>
        </w:rPr>
        <w:t xml:space="preserve">For distributional analysis: the near-term income effect of a price rise on households is driven by expenditure shares, not demand elasticity. Here CPAT's distributional module is less affected by the elasticity misspecification.</w:t>
      </w:r>
    </w:p>
    <w:p>
      <w:pPr>
        <w:pStyle w:val="ListParagraph"/>
        <w:numPr>
          <w:ilvl w:val="0"/>
          <w:numId w:val="2"/>
        </w:numPr>
        <w:spacing w:after="160"/>
      </w:pPr>
      <w:r>
        <w:rPr>
          <w:rFonts w:ascii="Arial" w:cs="Arial" w:eastAsia="Arial" w:hAnsi="Arial"/>
          <w:sz w:val="22"/>
          <w:szCs w:val="22"/>
        </w:rPr>
        <w:t xml:space="preserve">For kerosene and LPG specifically: CPAT treats these identically to gasoline under 'liquid fuels', missing the critical asymmetry between them. Any country engagement involving LPG or kerosene reform should use fuel-specific parameters.</w:t>
      </w:r>
    </w:p>
    <w:p>
      <w:pPr>
        <w:spacing w:after="80"/>
      </w:pPr>
    </w:p>
    <w:p>
      <w:pPr>
        <w:pStyle w:val="Heading1"/>
        <w:spacing w:after="160" w:before="320"/>
      </w:pPr>
      <w:r>
        <w:rPr>
          <w:rFonts w:ascii="Arial" w:cs="Arial" w:eastAsia="Arial" w:hAnsi="Arial"/>
          <w:b/>
          <w:bCs/>
          <w:color w:val="1F5C99"/>
          <w:sz w:val="32"/>
          <w:szCs w:val="32"/>
        </w:rPr>
        <w:t xml:space="preserve">5  Cross-Cutting Patterns and Policy Implications</w:t>
      </w:r>
    </w:p>
    <w:p>
      <w:pPr>
        <w:pStyle w:val="Heading2"/>
        <w:spacing w:after="120" w:before="240"/>
      </w:pPr>
      <w:r>
        <w:rPr>
          <w:rFonts w:ascii="Arial" w:cs="Arial" w:eastAsia="Arial" w:hAnsi="Arial"/>
          <w:b/>
          <w:bCs/>
          <w:color w:val="2E75B6"/>
          <w:sz w:val="26"/>
          <w:szCs w:val="26"/>
        </w:rPr>
        <w:t xml:space="preserve">5.1  The 1yr/5yr ratio is the central planning variable</w:t>
      </w:r>
    </w:p>
    <w:p>
      <w:pPr>
        <w:spacing w:after="160"/>
      </w:pPr>
      <w:r>
        <w:rPr>
          <w:rFonts w:ascii="Arial" w:cs="Arial" w:eastAsia="Arial" w:hAnsi="Arial"/>
          <w:sz w:val="22"/>
          <w:szCs w:val="22"/>
        </w:rPr>
        <w:t xml:space="preserve">Across virtually all fuel types and income groups, the 5-year elasticity is 2.5–4x the 1-year figure. This ratio is larger in LICs and LMICs than in UMICs and HICs, because the long-run adjustment mechanisms (fleet turnover, appliance replacement, grid extension) operate more slowly at lower income levels. For policy design, this means the appropriate elasticity depends critically on the analytical horizon: the 1-year column for fiscal impact assessment, and the 5-year column for emissions trajectory work.</w:t>
      </w:r>
    </w:p>
    <w:p>
      <w:pPr>
        <w:pStyle w:val="Heading2"/>
        <w:spacing w:after="120" w:before="240"/>
      </w:pPr>
      <w:r>
        <w:rPr>
          <w:rFonts w:ascii="Arial" w:cs="Arial" w:eastAsia="Arial" w:hAnsi="Arial"/>
          <w:b/>
          <w:bCs/>
          <w:color w:val="2E75B6"/>
          <w:sz w:val="26"/>
          <w:szCs w:val="26"/>
        </w:rPr>
        <w:t xml:space="preserve">5.2  The rationing distortion</w:t>
      </w:r>
    </w:p>
    <w:p>
      <w:pPr>
        <w:spacing w:after="160"/>
      </w:pPr>
      <w:r>
        <w:rPr>
          <w:rFonts w:ascii="Arial" w:cs="Arial" w:eastAsia="Arial" w:hAnsi="Arial"/>
          <w:sz w:val="22"/>
          <w:szCs w:val="22"/>
        </w:rPr>
        <w:t xml:space="preserve">The Iranian evidence cleanly demonstrates that when price increases are accompanied by quantity rationing — as in the 2007 gasoline reform — measured price elasticities are suppressed toward zero. This is because the quantity constraint binds before the price signal can operate. Countries that maintain physical supply constraints (rolling blackouts, pump shortages, administrative allocation) will systematically generate underestimates of true price elasticity from observed consumption data. South Africa's pre-2008 electricity literature illustrates the symmetric problem: near-zero elasticities measured during a period of falling real prices that simply reflected income-driven demand growth rather than price inelasticity.</w:t>
      </w:r>
    </w:p>
    <w:p>
      <w:pPr>
        <w:pStyle w:val="Heading2"/>
        <w:spacing w:after="120" w:before="240"/>
      </w:pPr>
      <w:r>
        <w:rPr>
          <w:rFonts w:ascii="Arial" w:cs="Arial" w:eastAsia="Arial" w:hAnsi="Arial"/>
          <w:b/>
          <w:bCs/>
          <w:color w:val="2E75B6"/>
          <w:sz w:val="26"/>
          <w:szCs w:val="26"/>
        </w:rPr>
        <w:t xml:space="preserve">5.3  Gasoline more elastic than diesel across all income groups</w:t>
      </w:r>
    </w:p>
    <w:p>
      <w:pPr>
        <w:spacing w:after="160"/>
      </w:pPr>
      <w:r>
        <w:rPr>
          <w:rFonts w:ascii="Arial" w:cs="Arial" w:eastAsia="Arial" w:hAnsi="Arial"/>
          <w:sz w:val="22"/>
          <w:szCs w:val="22"/>
        </w:rPr>
        <w:t xml:space="preserve">The natural experiment evidence confirms the meta-analytic finding</w:t>
      </w:r>
      <w:r>
        <w:rPr>
          <w:rFonts w:ascii="Arial" w:cs="Arial" w:eastAsia="Arial" w:hAnsi="Arial"/>
          <w:sz w:val="22"/>
          <w:szCs w:val="22"/>
        </w:rPr>
      </w:r>
      <w:r>
        <w:rPr>
          <w:rFonts w:ascii="Arial" w:cs="Arial" w:eastAsia="Arial" w:hAnsi="Arial"/>
          <w:sz w:val="22"/>
          <w:szCs w:val="22"/>
        </w:rPr>
        <w:t xml:space="preserve"> that gasoline is consistently more price-elastic than diesel, particularly in the short run. Diesel demand in LICs and LMICs is concentrated in freight and agriculture where short-run substitution is near-impossible. Gasoline demand has more consumer-side flexibility (trip reduction, modal shift to motorcycle or transit). The practical implication is that diesel carbon pricing generates less near-term demand response per unit of price increase than gasoline pricing, but proportionally more fiscal revenue retention.</w:t>
      </w:r>
    </w:p>
    <w:p>
      <w:pPr>
        <w:pStyle w:val="Heading2"/>
        <w:spacing w:after="120" w:before="240"/>
      </w:pPr>
      <w:r>
        <w:rPr>
          <w:rFonts w:ascii="Arial" w:cs="Arial" w:eastAsia="Arial" w:hAnsi="Arial"/>
          <w:b/>
          <w:bCs/>
          <w:color w:val="2E75B6"/>
          <w:sz w:val="26"/>
          <w:szCs w:val="26"/>
        </w:rPr>
        <w:t xml:space="preserve">5.4  The tipping point non-linearity in industrial electricity</w:t>
      </w:r>
    </w:p>
    <w:p>
      <w:pPr>
        <w:spacing w:after="160"/>
      </w:pPr>
      <w:r>
        <w:rPr>
          <w:rFonts w:ascii="Arial" w:cs="Arial" w:eastAsia="Arial" w:hAnsi="Arial"/>
          <w:sz w:val="22"/>
          <w:szCs w:val="22"/>
        </w:rPr>
        <w:t xml:space="preserve">South Africa's industrial electricity evidence reveals a non-linearity that standard elasticity frameworks miss: demand response is near-zero below a threshold real price increase (approximately 30%), then becomes sharply larger as own-generation (diesel, solar) becomes cost-competitive. This suggests that in countries where industrial electricity tariffs are still below cost-recovery levels, carbon pricing will generate very limited near-term abatement in the industrial sector — but once the tariff crosses the own-generation crossover point, demand response may be larger and more sudden than linear elasticity models predict.</w:t>
      </w:r>
    </w:p>
    <w:p>
      <w:pPr>
        <w:pStyle w:val="Heading2"/>
        <w:spacing w:after="120" w:before="240"/>
      </w:pPr>
      <w:r>
        <w:rPr>
          <w:rFonts w:ascii="Arial" w:cs="Arial" w:eastAsia="Arial" w:hAnsi="Arial"/>
          <w:b/>
          <w:bCs/>
          <w:color w:val="2E75B6"/>
          <w:sz w:val="26"/>
          <w:szCs w:val="26"/>
        </w:rPr>
        <w:t xml:space="preserve">5.5  LPG and biomass: the substitution asymmetry</w:t>
      </w:r>
    </w:p>
    <w:p>
      <w:pPr>
        <w:spacing w:after="160"/>
      </w:pPr>
      <w:r>
        <w:rPr>
          <w:rFonts w:ascii="Arial" w:cs="Arial" w:eastAsia="Arial" w:hAnsi="Arial"/>
          <w:sz w:val="22"/>
          <w:szCs w:val="22"/>
        </w:rPr>
        <w:t xml:space="preserve">LPG price elasticity in LICs and LMICs is higher than kerosene because biomass substitution is available. This is both a welfare finding and a policy design implication. Taxing or removing subsidies from LPG in LIC/LMIC contexts will reduce LPG demand, but a substantial portion of that reduction will appear as increased biomass consumption rather than reduced energy services. The environmental and health co-benefits that CPAT attributes to fuel pricing reform in residential sectors should be partially offset by this biomass leakage effect — which CPAT's architecture does allow for (the biomass substitution module is implemented) but which depends on the same elasticity parameters reviewed here.</w:t>
      </w:r>
    </w:p>
    <w:p>
      <w:pPr>
        <w:spacing w:after="80"/>
      </w:pPr>
    </w:p>
    <w:p>
      <w:pPr>
        <w:pStyle w:val="Heading1"/>
        <w:spacing w:after="160" w:before="320"/>
      </w:pPr>
      <w:r>
        <w:rPr>
          <w:rFonts w:ascii="Arial" w:cs="Arial" w:eastAsia="Arial" w:hAnsi="Arial"/>
          <w:b/>
          <w:bCs/>
          <w:color w:val="1F5C99"/>
          <w:sz w:val="32"/>
          <w:szCs w:val="32"/>
        </w:rPr>
        <w:t xml:space="preserve">6  Recommended Parameter Adjustments</w:t>
      </w:r>
    </w:p>
    <w:p>
      <w:pPr>
        <w:spacing w:after="160"/>
      </w:pPr>
      <w:r>
        <w:rPr>
          <w:rFonts w:ascii="Arial" w:cs="Arial" w:eastAsia="Arial" w:hAnsi="Arial"/>
          <w:sz w:val="22"/>
          <w:szCs w:val="22"/>
        </w:rPr>
        <w:t xml:space="preserve">For country engagements where CPAT results are being used to inform fiscal impact projections or near-term distributional analysis, we recommend applying adjustment factors to the CPAT default elasticities. Table 2 provides suggested 1-year and 5-year multipliers relative to CPAT defaults for LICs and LMICs.</w:t>
      </w:r>
    </w:p>
    <w:p>
      <w:pPr>
        <w:spacing w:after="80"/>
      </w:pPr>
    </w:p>
    <w:p>
      <w:pPr>
        <w:spacing w:after="120"/>
      </w:pPr>
      <w:r>
        <w:rPr>
          <w:rFonts w:ascii="Arial" w:cs="Arial" w:eastAsia="Arial" w:hAnsi="Arial"/>
          <w:b/>
          <w:bCs/>
          <w:i/>
          <w:iCs/>
          <w:color w:val="555555"/>
          <w:sz w:val="20"/>
          <w:szCs w:val="20"/>
        </w:rPr>
        <w:t xml:space="preserve">Table 2: Recommended adjustment factors relative to CPAT defaults for LIC/LMIC near-term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600"/>
        <w:gridCol w:w="900"/>
        <w:gridCol w:w="376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Fuel</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CPAT default</w:t>
            </w:r>
          </w:p>
        </w:tc>
        <w:tc>
          <w:tcPr>
            <w:tcW w:type="dxa" w:w="16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Empirical LIC/LMIC</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Ratio (1yr; 5yr)</w:t>
            </w:r>
          </w:p>
        </w:tc>
        <w:tc>
          <w:tcPr>
            <w:tcW w:type="dxa" w:w="376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Gasoline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−0.58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−0.10 (1yr); −0.45 (5yr)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0.17×; 0.78×</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Apply 1yr for annual fiscal projections; 5yr for medium-term scenarios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bCs/>
                <w:sz w:val="19"/>
                <w:szCs w:val="19"/>
              </w:rPr>
              <w:t xml:space="preserve">Diesel</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−0.58</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−0.07 (1yr); −0.25 (5yr)</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0.12×; 0.43×</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Freight/agriculture dominates; near-inelastic short-run. Use 1yr for revenue estimates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Kerosene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−0.58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−0.10 (1yr); −0.25 (5yr)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0.17×; 0.43×</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Last-resort fuel; 1yr near zero for off-grid lighting. Separate from LPG parameter</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bCs/>
                <w:sz w:val="19"/>
                <w:szCs w:val="19"/>
              </w:rPr>
              <w:t xml:space="preserve">LPG</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−0.58</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−0.20 (1yr); −0.45 (5yr)</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0.34×; 0.78×</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Biomass substitute available. More elastic than kerosene. Note biomass leakage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Electricity (residential)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−0.36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−0.10 (1yr); −0.40 (5yr)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0.28×; 1.11×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1yr highly inelastic; 5yr broadly consistent with CPAT. Main adjustment is horizon</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bCs/>
                <w:sz w:val="19"/>
                <w:szCs w:val="19"/>
              </w:rPr>
              <w:t xml:space="preserve">Electricity (industrial)</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−0.36</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−0.10 (1yr); −0.45 (5yr)</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0.28×; 1.25×</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Tipping-point non-linearity: near-zero below cost-recovery threshold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Natural gas (residential)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−0.70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−0.13 (1yr); −0.35 (5yr)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0.19×; 0.50×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Largest CPAT overstatement. Dispatch-driven in power sector; no SR substitutes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bCs/>
                <w:sz w:val="19"/>
                <w:szCs w:val="19"/>
              </w:rPr>
              <w:t xml:space="preserve">Natural gas (industrial)</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−0.70</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−0.13 (1yr); −0.40 (5yr)</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0.19×; 0.57×</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b w:val="false"/>
                <w:bCs w:val="false"/>
                <w:sz w:val="19"/>
                <w:szCs w:val="19"/>
              </w:rPr>
              <w:t xml:space="preserve">Same as residential; fixed industrial input with no SR alternative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Coal (industrial)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−0.58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−0.10 (1yr); −0.30 (5yr)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0.17×; 0.52×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Fixed steel/cement input; LR response requires gas infrastructure availability</w:t>
            </w:r>
          </w:p>
        </w:tc>
      </w:tr>
    </w:tbl>
    <w:p>
      <w:pPr>
        <w:spacing w:after="80"/>
      </w:pPr>
    </w:p>
    <w:p>
      <w:pPr>
        <w:spacing w:after="80"/>
      </w:pPr>
    </w:p>
    <w:p>
      <w:pPr>
        <w:pStyle w:val="Heading1"/>
        <w:spacing w:after="160" w:before="320"/>
      </w:pPr>
      <w:r>
        <w:rPr>
          <w:rFonts w:ascii="Arial" w:cs="Arial" w:eastAsia="Arial" w:hAnsi="Arial"/>
          <w:b/>
          <w:bCs/>
          <w:color w:val="1F5C99"/>
          <w:sz w:val="32"/>
          <w:szCs w:val="32"/>
        </w:rPr>
        <w:t xml:space="preserve">References</w:t>
      </w:r>
    </w:p>
    <w:p>
      <w:pPr>
        <w:spacing w:after="160"/>
      </w:pPr>
      <w:r>
        <w:rPr>
          <w:rFonts w:ascii="Arial" w:cs="Arial" w:eastAsia="Arial" w:hAnsi="Arial"/>
          <w:sz w:val="22"/>
          <w:szCs w:val="22"/>
        </w:rPr>
        <w:t xml:space="preserve">Balarama, H., Islam, A., Kim, J.S., and Wang, L. (2020). Price Elasticities of Residential Electricity Demand: Estimates from Household Panel Data in Bangladesh. Energy Economics, 92.</w:t>
      </w:r>
    </w:p>
    <w:p>
      <w:pPr>
        <w:spacing w:after="160"/>
      </w:pPr>
      <w:r>
        <w:rPr>
          <w:rFonts w:ascii="Arial" w:cs="Arial" w:eastAsia="Arial" w:hAnsi="Arial"/>
          <w:sz w:val="22"/>
          <w:szCs w:val="22"/>
        </w:rPr>
        <w:t xml:space="preserve">Burke, P.J. and Csereklyei, Z. (2016). Understanding the Energy-GDP Elasticity: A Sectoral Approach. Energy Economics, 58, 199–210.</w:t>
      </w:r>
    </w:p>
    <w:p>
      <w:pPr>
        <w:spacing w:after="160"/>
      </w:pPr>
      <w:r>
        <w:rPr>
          <w:rFonts w:ascii="Arial" w:cs="Arial" w:eastAsia="Arial" w:hAnsi="Arial"/>
          <w:sz w:val="22"/>
          <w:szCs w:val="22"/>
        </w:rPr>
        <w:t xml:space="preserve">Burke, P.J. and Liao, H. (2015). Is the Price Elasticity of Demand for Coal in China Increasing? China Economic Review, 36, 309–322.</w:t>
      </w:r>
    </w:p>
    <w:p>
      <w:pPr>
        <w:spacing w:after="160"/>
      </w:pPr>
      <w:r>
        <w:rPr>
          <w:rFonts w:ascii="Arial" w:cs="Arial" w:eastAsia="Arial" w:hAnsi="Arial"/>
          <w:sz w:val="22"/>
          <w:szCs w:val="22"/>
        </w:rPr>
        <w:t xml:space="preserve">CPAT Team (2024). CPAT Documentation, Chapter 3: Mitigation Module. World Bank / IMF, January 2024.</w:t>
      </w:r>
    </w:p>
    <w:p>
      <w:pPr>
        <w:spacing w:after="160"/>
      </w:pPr>
      <w:r>
        <w:rPr>
          <w:rFonts w:ascii="Arial" w:cs="Arial" w:eastAsia="Arial" w:hAnsi="Arial"/>
          <w:sz w:val="22"/>
          <w:szCs w:val="22"/>
        </w:rPr>
        <w:t xml:space="preserve">Ghoddusi, H., Morovati, S., and Rafizadeh, N. (2022). Dynamics of Fuel Demand Elasticity: Evidence from Iranian Subsidy Reforms. Energy Economics.</w:t>
      </w:r>
    </w:p>
    <w:p>
      <w:pPr>
        <w:spacing w:after="160"/>
      </w:pPr>
      <w:r>
        <w:rPr>
          <w:rFonts w:ascii="Arial" w:cs="Arial" w:eastAsia="Arial" w:hAnsi="Arial"/>
          <w:sz w:val="22"/>
          <w:szCs w:val="22"/>
        </w:rPr>
        <w:t xml:space="preserve">Havranek, T., Irsova, Z., Janda, K., and Zilberman, D. (2012). Demand for Gasoline Is More Price-Inelastic than Commonly Thought. Energy Economics, 34(1), 201–207.</w:t>
      </w:r>
    </w:p>
    <w:p>
      <w:pPr>
        <w:spacing w:after="160"/>
      </w:pPr>
      <w:r>
        <w:rPr>
          <w:rFonts w:ascii="Arial" w:cs="Arial" w:eastAsia="Arial" w:hAnsi="Arial"/>
          <w:sz w:val="22"/>
          <w:szCs w:val="22"/>
        </w:rPr>
        <w:t xml:space="preserve">Inglesi-Lotz, R. (2021). The Time-Varying Elasticity of South African Electricity Demand. Working Paper, Economic Research Southern Africa.</w:t>
      </w:r>
    </w:p>
    <w:p>
      <w:pPr>
        <w:spacing w:after="160"/>
      </w:pPr>
      <w:r>
        <w:rPr>
          <w:rFonts w:ascii="Arial" w:cs="Arial" w:eastAsia="Arial" w:hAnsi="Arial"/>
          <w:sz w:val="22"/>
          <w:szCs w:val="22"/>
        </w:rPr>
        <w:t xml:space="preserve">Klug, T.W., Beyene, A.D., Meles, T.H., Toman, M.A., et al. (2022). A Review of Impacts of Electricity Tariff Reform in Africa. Energy Policy, 170.</w:t>
      </w:r>
    </w:p>
    <w:p>
      <w:pPr>
        <w:spacing w:after="160"/>
      </w:pPr>
      <w:r>
        <w:rPr>
          <w:rFonts w:ascii="Arial" w:cs="Arial" w:eastAsia="Arial" w:hAnsi="Arial"/>
          <w:sz w:val="22"/>
          <w:szCs w:val="22"/>
        </w:rPr>
        <w:t xml:space="preserve">Labandeira, X., Labeaga, J.M., and López-Otero, X. (2017). A Meta-Analysis on the Price Elasticity of Energy Demand. Energy Policy, 102, 549–568.</w:t>
      </w:r>
    </w:p>
    <w:p>
      <w:pPr>
        <w:spacing w:after="160"/>
      </w:pPr>
      <w:r>
        <w:rPr>
          <w:rFonts w:ascii="Arial" w:cs="Arial" w:eastAsia="Arial" w:hAnsi="Arial"/>
          <w:sz w:val="22"/>
          <w:szCs w:val="22"/>
        </w:rPr>
        <w:t xml:space="preserve">Rao, N.D. (2012). Kerosene Subsidies in India: When Energy Policy Fails as Social Policy. Energy for Sustainable Development, 16(1), 35–43.</w:t>
      </w:r>
    </w:p>
    <w:p>
      <w:pPr>
        <w:spacing w:after="160"/>
      </w:pPr>
      <w:r>
        <w:rPr>
          <w:rFonts w:ascii="Arial" w:cs="Arial" w:eastAsia="Arial" w:hAnsi="Arial"/>
          <w:sz w:val="22"/>
          <w:szCs w:val="22"/>
        </w:rPr>
        <w:t xml:space="preserve">Takyi, F. et al. (2025). Dissecting Fuel Demand Elasticities in Ghana: A Quantile Regression Analysis. PLOS ONE.</w:t>
      </w:r>
    </w:p>
    <w:p>
      <w:pPr>
        <w:spacing w:after="160"/>
      </w:pPr>
      <w:r>
        <w:rPr>
          <w:rFonts w:ascii="Arial" w:cs="Arial" w:eastAsia="Arial" w:hAnsi="Arial"/>
          <w:sz w:val="22"/>
          <w:szCs w:val="22"/>
        </w:rPr>
        <w:t xml:space="preserve">Zhu, X. et al. (2018). A Meta-Analysis on the Price Elasticity and Income Elasticity of Residential Electricity Demand. Journal of Cleaner Production, 201, 169–177.</w:t>
      </w:r>
    </w:p>
    <w:p>
      <w:pPr>
        <w:spacing w:after="80"/>
      </w:pPr>
    </w:p>
    <w:p>
      <w:r>
        <w:br w:type="page"/>
      </w:r>
    </w:p>
    <w:p>
      <w:pPr>
        <w:pStyle w:val="Heading1"/>
        <w:spacing w:after="160" w:before="320"/>
      </w:pPr>
      <w:r>
        <w:rPr>
          <w:rFonts w:ascii="Arial" w:cs="Arial" w:eastAsia="Arial" w:hAnsi="Arial"/>
          <w:b/>
          <w:bCs/>
          <w:color w:val="1F5C99"/>
          <w:sz w:val="32"/>
          <w:szCs w:val="32"/>
        </w:rPr>
        <w:t xml:space="preserve">Appendix A  Natural Experiment Details</w:t>
      </w:r>
    </w:p>
    <w:p>
      <w:pPr>
        <w:spacing w:after="160"/>
      </w:pPr>
      <w:r>
        <w:rPr>
          <w:rFonts w:ascii="Arial" w:cs="Arial" w:eastAsia="Arial" w:hAnsi="Arial"/>
          <w:sz w:val="22"/>
          <w:szCs w:val="22"/>
        </w:rPr>
        <w:t xml:space="preserve">This appendix provides detailed descriptions of each natural experiment used to construct the elasticity estimates in Table 1. For each episode we describe: the country and reform; income group at time of reform; identification strategy (the source of exogenous variation); the specific fuel and sector; the demand variable and its counterfactual; the elasticity estimates; and the key qualitative finding.</w:t>
      </w:r>
    </w:p>
    <w:p>
      <w:pPr>
        <w:spacing w:after="80"/>
      </w:pPr>
    </w:p>
    <w:p>
      <w:pPr>
        <w:spacing w:after="120"/>
      </w:pPr>
      <w:r>
        <w:rPr>
          <w:rFonts w:ascii="Arial" w:cs="Arial" w:eastAsia="Arial" w:hAnsi="Arial"/>
          <w:b/>
          <w:bCs/>
          <w:i/>
          <w:iCs/>
          <w:color w:val="555555"/>
          <w:sz w:val="20"/>
          <w:szCs w:val="20"/>
        </w:rPr>
        <w:t xml:space="preserve">Table A1: Natural experiment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400"/>
        <w:gridCol w:w="1400"/>
        <w:gridCol w:w="1200"/>
        <w:gridCol w:w="196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Country / Reform</w:t>
            </w:r>
          </w:p>
        </w:tc>
        <w:tc>
          <w:tcPr>
            <w:tcW w:type="dxa" w:w="1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Income group</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Experiment type</w:t>
            </w:r>
          </w:p>
        </w:tc>
        <w:tc>
          <w:tcPr>
            <w:tcW w:type="dxa" w:w="1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Fuel / sector</w:t>
            </w:r>
          </w:p>
        </w:tc>
        <w:tc>
          <w:tcPr>
            <w:tcW w:type="dxa" w:w="1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Demand vs counterfactual</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Elasticity estimate</w:t>
            </w:r>
          </w:p>
        </w:tc>
        <w:tc>
          <w:tcPr>
            <w:tcW w:type="dxa" w:w="196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9"/>
                <w:szCs w:val="19"/>
              </w:rPr>
              <w:t xml:space="preserve">Key finding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Iran — three subsidy reforms 2007, 2010, 2019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UMIC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Quasi-experiment: three discrete price shocks; provincial panel variation used for identification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Gasoline &amp; diesel, transport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Monthly provincial consumption vs pre-reform trend; cross-border smuggling modelled explicitly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SR: −0.10 to −0.20; MR: −0.30 to −0.45; LR: −0.50 to −0.70</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Elasticity increases after each successive reform. Price elasticity and price level inversely related. Rationing suppresses measured elasticity. Provincial border-price differentials provide within-country quasi-experiment on arbitrage.</w:t>
            </w:r>
          </w:p>
        </w:tc>
      </w:tr>
      <w:tr>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bCs/>
                <w:sz w:val="19"/>
                <w:szCs w:val="19"/>
              </w:rPr>
              <w:t xml:space="preserve">Iran — residential gas billing records 2013–2023</w:t>
            </w:r>
          </w:p>
        </w:tc>
        <w:tc>
          <w:tcPr>
            <w:tcW w:type="dxa" w:w="10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UMIC</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Administrative panel quasi-experiment; administrative price changes as exogenous shocks</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Natural gas, residential</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Household-level billing records vs pre-reform baseline; simulated IV for endogeneity in block pricing</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Winter SR: −0.15; Summer SR: −0.10</w:t>
            </w:r>
          </w:p>
        </w:tc>
        <w:tc>
          <w:tcPr>
            <w:tcW w:type="dxa" w:w="196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Strong seasonality in gas price elasticity. Winter demand more price-sensitive as heating necessity. State-controlled pricing provides clean exogenous variation.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Indonesia — 2005 reform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LMIC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Step-change price shock; pre-reform consumption trend as counterfactual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Gasoline &amp; diesel, road transport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National consumption post-100% price hike vs pre-reform trend adjusted for GDP growth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SR: −0.10 to −0.15; LR: −0.40 to −0.55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Short-term demand inelastic; long-run adjustment via fleet turnover and modal shift. Social assistance programs partially offset welfare impact.</w:t>
            </w:r>
          </w:p>
        </w:tc>
      </w:tr>
      <w:tr>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bCs/>
                <w:sz w:val="19"/>
                <w:szCs w:val="19"/>
              </w:rPr>
              <w:t xml:space="preserve">Indonesia — 2014–2015 reform</w:t>
            </w:r>
          </w:p>
        </w:tc>
        <w:tc>
          <w:tcPr>
            <w:tcW w:type="dxa" w:w="10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LMIC→UMIC</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Natural experiment: coincided with global oil price fall; treated as clean reform identification</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Gasoline &amp; diesel, multiple sectors</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Post-reform consumption vs baseline adjusted for oil price movements and GDP</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SR: ~−0.12; LR: −0.45 to −0.60</w:t>
            </w:r>
          </w:p>
        </w:tc>
        <w:tc>
          <w:tcPr>
            <w:tcW w:type="dxa" w:w="196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Falling international prices enabled politically durable reform. Fiscal savings tracked and re-allocated — described by IISD as 'natural experiment' on post-reform fiscal behaviour.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India — diesel decontrol 2014–17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LMIC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Reform-as-treatment; multiple fuel types reformed at different speeds provide within-country control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Diesel, road transport &amp; industry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Diesel consumption growth vs counterfactual gasoline trend; within-country diff-in-diff between subsidised and decontrolled fuels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SR: −0.05 to −0.15; LR: −0.35 to −0.55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Income-driven motorisation growth suppresses measured price elasticity. Income effect dominates price effect in rapid-growth LMIC context.</w:t>
            </w:r>
          </w:p>
        </w:tc>
      </w:tr>
      <w:tr>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bCs/>
                <w:sz w:val="19"/>
                <w:szCs w:val="19"/>
              </w:rPr>
              <w:t xml:space="preserve">India — kerosene phase-out 2016–2021</w:t>
            </w:r>
          </w:p>
        </w:tc>
        <w:tc>
          <w:tcPr>
            <w:tcW w:type="dxa" w:w="10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LMIC</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Fortnightly price steps provide granular dose-response identification</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Kerosene, residential lighting/cooking</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PDS kerosene consumption vs step-by-step price increments over 5-year window</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SR (1yr): −0.05 to −0.12; LR: −0.20 to −0.35</w:t>
            </w:r>
          </w:p>
        </w:tc>
        <w:tc>
          <w:tcPr>
            <w:tcW w:type="dxa" w:w="196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Near-inelastic SR: last-resort fuel for off-grid lighting has no substitute. LR response materialises only when solar lantern and grid extension adoption crosses threshold. Demand effectively near-zero elasticity until technology crossover.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South Africa — Eskom tariff doubling 2008–2018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UMIC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Interrupted time series: 20+ years falling prices then sharp sustained increase; Kalman filter time-varying model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Electricity, residential and industrial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Sectoral consumption vs time-varying elasticity model; before/after regime identified via Kalman filter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Pre-2008 SR: ~0 (insignificant); Post-2008 SR: −0.20 to −0.30; LR: −0.45 to −0.65 industrial</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Regime change is the key finding: studies using pre-2008 data found near-zero elasticities. Post-2008 tariff doubling revealed real demand response. Industrial 'tipping point': near-zero response below ~30% real price increase, then sharp step-change as own-generation becomes cost-competitive.</w:t>
            </w:r>
          </w:p>
        </w:tc>
      </w:tr>
      <w:tr>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bCs/>
                <w:sz w:val="19"/>
                <w:szCs w:val="19"/>
              </w:rPr>
              <w:t xml:space="preserve">Bangladesh — VAT shock IV</w:t>
            </w:r>
          </w:p>
        </w:tc>
        <w:tc>
          <w:tcPr>
            <w:tcW w:type="dxa" w:w="10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LMIC</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Instrumental variable: exogenous VAT shock as instrument for electricity price variation; household panel</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Electricity, residential</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Household consumption before/after VAT shock, instrumenting price with VAT variation</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SR: −0.10 to −0.20 (lower quintiles); SR: −0.25 to −0.35 (upper quintiles)</w:t>
            </w:r>
          </w:p>
        </w:tc>
        <w:tc>
          <w:tcPr>
            <w:tcW w:type="dxa" w:w="196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Significant heterogeneity by consumption level. High-consumption households more price-elastic. Low-consumption near-inelastic (near-necessity). Policy implication: block tariff reform most effective at upper consumption tiers.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Nigeria — multivariate cointegration 1977–2006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LIC/LMIC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Panel cointegration; multivariate demand system over 30-year period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Petroleum products: gasoline, diesel, kerosene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Long-run cointegrating relationship between consumption, price, and GDP; error-correction dynamics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SR gasoline: −0.10 to −0.20; SR diesel: −0.05 to −0.10; SR kerosene: −0.15 to −0.25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Petroleum products price and income inelastic overall. Kerosene and gasoline relatively more price-elastic than diesel. Infrastructure deficiencies limit substitution and reduce elasticity relative to standard developing-country estimates.</w:t>
            </w:r>
          </w:p>
        </w:tc>
      </w:tr>
      <w:tr>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bCs/>
                <w:sz w:val="19"/>
                <w:szCs w:val="19"/>
              </w:rPr>
              <w:t xml:space="preserve">Ghana — 2022 fuel price spike</w:t>
            </w:r>
          </w:p>
        </w:tc>
        <w:tc>
          <w:tcPr>
            <w:tcW w:type="dxa" w:w="10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LMIC</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External shock (currency crisis + global oil prices) as natural experiment; quantile regression</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Petrol and diesel, multiple sectors</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Consumption response to 90%+ price increase across income quintiles; quantile-on-quantile regression</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SR: −0.10 to −0.15 (lower quintiles); MR: −0.30 to −0.40 (middle quintiles)</w:t>
            </w:r>
          </w:p>
        </w:tc>
        <w:tc>
          <w:tcPr>
            <w:tcW w:type="dxa" w:w="196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Non-linear, heterogeneous demand response. Petrol acts as normal good in medium term but inferior for high-income consumers in long run. Petrol-diesel cross-price complementarity and substitutability varies across time horizons.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China — coal provincial panel 1998–2012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UMIC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Provincial fixed-effects panel; within-province price variation exploited for identification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Coal, industrial and power generation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Provincial coal consumption vs price variation controlling for GDP, time trends, province fixed effects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SR: −0.10 to −0.20; LR: −0.40 to −0.60</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Price elasticity increasing over time as gas infrastructure expanded. Supports effectiveness of ETS-type mechanism for coal. Fuel-switching to gas feasible in LR once infrastructure available. Short-run inelastic because coal is fixed industrial input.</w:t>
            </w:r>
          </w:p>
        </w:tc>
      </w:tr>
      <w:tr>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bCs/>
                <w:sz w:val="19"/>
                <w:szCs w:val="19"/>
              </w:rPr>
              <w:t xml:space="preserve">Cameroon — LPG time series 1994–2017</w:t>
            </w:r>
          </w:p>
        </w:tc>
        <w:tc>
          <w:tcPr>
            <w:tcW w:type="dxa" w:w="10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LIC/LMIC</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Time-series cointegration with error-correction model; urbanisation as additional IV</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LPG, residential cooking</w:t>
            </w:r>
          </w:p>
        </w:tc>
        <w:tc>
          <w:tcPr>
            <w:tcW w:type="dxa" w:w="14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Annual LPG consumption vs real price and income; error-correction dynamics</w:t>
            </w:r>
          </w:p>
        </w:tc>
        <w:tc>
          <w:tcPr>
            <w:tcW w:type="dxa" w:w="120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Mid-run: −0.33 to −0.90; cross-price with biomass significant</w:t>
            </w:r>
          </w:p>
        </w:tc>
        <w:tc>
          <w:tcPr>
            <w:tcW w:type="dxa" w:w="1960"/>
            <w:tcBorders>
              <w:top w:val="single" w:color="AAAAAA" w:sz="1"/>
              <w:left w:val="single" w:color="AAAAAA" w:sz="1"/>
              <w:bottom w:val="single" w:color="AAAAAA" w:sz="1"/>
              <w:right w:val="single" w:color="AAAAAA" w:sz="1"/>
            </w:tcBorders>
            <w:shd w:fill="F8F8F8" w:val="clear"/>
            <w:tcMar>
              <w:top w:type="dxa" w:w="60"/>
              <w:left w:type="dxa" w:w="100"/>
              <w:bottom w:type="dxa" w:w="60"/>
              <w:right w:type="dxa" w:w="100"/>
            </w:tcMar>
          </w:tcPr>
          <w:p>
            <w:r>
              <w:rPr>
                <w:rFonts w:ascii="Arial" w:cs="Arial" w:eastAsia="Arial" w:hAnsi="Arial"/>
                <w:b w:val="false"/>
                <w:bCs w:val="false"/>
                <w:sz w:val="19"/>
                <w:szCs w:val="19"/>
              </w:rPr>
              <w:t xml:space="preserve">LPG demand more elastic than kerosene because biomass substitution is available and cheap. Price rises drive households back to wood/charcoal. Cross-price elasticity with biomass is the key mechanism distinguishing LPG from fossil lighting fuels.</w:t>
            </w:r>
          </w:p>
        </w:tc>
      </w:tr>
    </w:tbl>
    <w:p>
      <w:pPr>
        <w:spacing w:after="80"/>
      </w:pPr>
    </w:p>
    <w:p>
      <w:pPr>
        <w:spacing w:after="160"/>
      </w:pPr>
      <w:r>
        <w:rPr>
          <w:rFonts w:ascii="Arial" w:cs="Arial" w:eastAsia="Arial" w:hAnsi="Arial"/>
          <w:i/>
          <w:iCs/>
          <w:sz w:val="22"/>
          <w:szCs w:val="22"/>
        </w:rPr>
        <w:t xml:space="preserve">Note: † denotes thin evidence base. 'SR' = short run (0–6 months). 'MR' = medium run (6–24 months). 'LR' = long run (3–5+ years). Elasticity estimates represent the midpoint of ranges reported in the literature or inferred from the described identification strategy.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Labandeira, X., Labeaga, J.M., and López-Otero, X. (2017). A Meta-Analysis on the Price Elasticity of Energy Demand. Energy Policy, 102, 549–568.</w:t>
      </w:r>
    </w:p>
  </w:footnote>
  <w:footnote w:id="2">
    <w:p>
      <w:r>
        <w:rPr>
          <w:rStyle w:val="FootnoteReference"/>
        </w:rPr>
        <w:footnoteRef/>
      </w:r>
      <w:r>
        <w:rPr>
          <w:rFonts w:ascii="Arial" w:cs="Arial" w:eastAsia="Arial" w:hAnsi="Arial"/>
          <w:sz w:val="18"/>
          <w:szCs w:val="18"/>
        </w:rPr>
        <w:t xml:space="preserve">Burke, P.J. and Csereklyei, Z. (2016). Understanding the Energy-GDP Elasticity: A Sectoral Approach. Energy Economics, 58, 199–210.</w:t>
      </w:r>
    </w:p>
  </w:footnote>
  <w:footnote w:id="3">
    <w:p>
      <w:r>
        <w:rPr>
          <w:rStyle w:val="FootnoteReference"/>
        </w:rPr>
        <w:footnoteRef/>
      </w:r>
      <w:r>
        <w:rPr>
          <w:rFonts w:ascii="Arial" w:cs="Arial" w:eastAsia="Arial" w:hAnsi="Arial"/>
          <w:sz w:val="18"/>
          <w:szCs w:val="18"/>
        </w:rPr>
        <w:t xml:space="preserve">Havranek, T., Irsova, Z., Janda, K., and Zilberman, D. (2012). Demand for Gasoline Is More Price-Inelastic than Commonly Thought. Energy Economics, 34(1), 201–207.</w:t>
      </w:r>
    </w:p>
  </w:footnote>
  <w:footnote w:id="4">
    <w:p>
      <w:r>
        <w:rPr>
          <w:rStyle w:val="FootnoteReference"/>
        </w:rPr>
        <w:footnoteRef/>
      </w:r>
      <w:r>
        <w:rPr>
          <w:rFonts w:ascii="Arial" w:cs="Arial" w:eastAsia="Arial" w:hAnsi="Arial"/>
          <w:sz w:val="18"/>
          <w:szCs w:val="18"/>
        </w:rPr>
        <w:t xml:space="preserve">CPAT Documentation, Chapter 3.3.5. World Bank / IMF, January 2024. Available at: https://cpmodel.github.io/cpat_public/</w:t>
      </w:r>
    </w:p>
  </w:footnote>
  <w:footnote w:id="5">
    <w:p>
      <w:r>
        <w:rPr>
          <w:rStyle w:val="FootnoteReference"/>
        </w:rPr>
        <w:footnoteRef/>
      </w:r>
      <w:r>
        <w:rPr>
          <w:rFonts w:ascii="Arial" w:cs="Arial" w:eastAsia="Arial" w:hAnsi="Arial"/>
          <w:sz w:val="18"/>
          <w:szCs w:val="18"/>
        </w:rPr>
        <w:t xml:space="preserve">Ghoddusi, H., Morovati, S., and Rafizadeh, N. (2022). Dynamics of Fuel Demand Elasticity: Evidence from Iranian Subsidy Reforms. Energy Economics.</w:t>
      </w:r>
    </w:p>
  </w:footnote>
  <w:footnote w:id="6">
    <w:p>
      <w:r>
        <w:rPr>
          <w:rStyle w:val="FootnoteReference"/>
        </w:rPr>
        <w:footnoteRef/>
      </w:r>
      <w:r>
        <w:rPr>
          <w:rFonts w:ascii="Arial" w:cs="Arial" w:eastAsia="Arial" w:hAnsi="Arial"/>
          <w:sz w:val="18"/>
          <w:szCs w:val="18"/>
        </w:rPr>
        <w:t xml:space="preserve">Inglesi-Lotz, R. (2021). The Time-Varying Elasticity of South African Electricity Demand. Econometric Research in Finance working paper.</w:t>
      </w:r>
    </w:p>
  </w:footnote>
  <w:footnote w:id="7">
    <w:p>
      <w:r>
        <w:rPr>
          <w:rStyle w:val="FootnoteReference"/>
        </w:rPr>
        <w:footnoteRef/>
      </w:r>
      <w:r>
        <w:rPr>
          <w:rFonts w:ascii="Arial" w:cs="Arial" w:eastAsia="Arial" w:hAnsi="Arial"/>
          <w:sz w:val="18"/>
          <w:szCs w:val="18"/>
        </w:rPr>
        <w:t xml:space="preserve">Balarama, H., Islam, A., Kim, J.S., and Wang, L. (2020). Price Elasticities of Residential Electricity Demand: Estimates from Household Panel Data in Bangladesh. Energy Economics, 92.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Price Elasticities of Energy Demand</w:t>
    </w:r>
    <w:r>
      <w:rPr>
        <w:rFonts w:ascii="Arial" w:cs="Arial" w:eastAsia="Arial" w:hAnsi="Arial"/>
        <w:color w:val="888888"/>
        <w:sz w:val="18"/>
        <w:szCs w:val="18"/>
      </w:rPr>
      <w:t xml:space="preserve">  |  Natural Experiment Evidence vs. CPAT Defaults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2026-06-16T15:20:37.390Z</dcterms:created>
  <dcterms:modified xsi:type="dcterms:W3CDTF">2026-06-16T15:20:37.390Z</dcterms:modified>
</cp:coreProperties>
</file>

<file path=docProps/custom.xml><?xml version="1.0" encoding="utf-8"?>
<Properties xmlns="http://schemas.openxmlformats.org/officeDocument/2006/custom-properties" xmlns:vt="http://schemas.openxmlformats.org/officeDocument/2006/docPropsVTypes"/>
</file>