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v9.0</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excel_ai/Tracking_Legacy_Bugs_v9.0.xlsx</w:t>
      </w:r>
      <w:r>
        <w:t xml:space="preserve"> </w:t>
      </w:r>
      <w:r>
        <w:t xml:space="preserve">(tabs Bugs and Issues, every module in the same columns); the bugs are documented in</w:t>
      </w:r>
      <w:r>
        <w:t xml:space="preserve"> </w:t>
      </w:r>
      <w:r>
        <w:rPr>
          <w:rStyle w:val="VerbatimChar"/>
        </w:rPr>
        <w:t xml:space="preserve">excel_ai/Legacy_CPAT_Bugs_v9.0.docx</w:t>
      </w:r>
      <w:r>
        <w:t xml:space="preserve">, the rest in these appendices. Codes renumbered in v8.4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222</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14</w:t>
            </w:r>
          </w:p>
        </w:tc>
        <w:tc>
          <w:tcPr/>
          <w:p>
            <w:pPr>
              <w:pStyle w:val="Compact"/>
              <w:jc w:val="left"/>
            </w:pPr>
            <w:r>
              <w:t xml:space="preserve">Prototype bug: a defect of the prototype itself, found and fixed during development.</w:t>
            </w:r>
          </w:p>
        </w:tc>
        <w:tc>
          <w:tcPr/>
          <w:p>
            <w:pPr>
              <w:pStyle w:val="Compact"/>
              <w:jc w:val="left"/>
            </w:pPr>
            <w:r>
              <w:t xml:space="preserve">Fixed.</w:t>
            </w:r>
          </w:p>
        </w:tc>
        <w:tc>
          <w:tcPr/>
          <w:p>
            <w:pPr>
              <w:pStyle w:val="Compact"/>
              <w:jc w:val="left"/>
            </w:pPr>
            <w:r>
              <w:t xml:space="preserve">Documentation, appendix</w:t>
            </w:r>
          </w:p>
        </w:tc>
      </w:tr>
      <w:tr>
        <w:tc>
          <w:tcPr/>
          <w:p>
            <w:pPr>
              <w:pStyle w:val="Compact"/>
              <w:jc w:val="left"/>
            </w:pPr>
            <w:r>
              <w:t xml:space="preserve">I</w:t>
            </w:r>
          </w:p>
        </w:tc>
        <w:tc>
          <w:tcPr/>
          <w:p>
            <w:pPr>
              <w:pStyle w:val="Compact"/>
              <w:jc w:val="left"/>
            </w:pPr>
            <w:r>
              <w:t xml:space="preserve">134</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v8.4 the prototype ended at FE fin and stayed flat (data bug DB1, which wrongly said legacy reads zero paths); v8.5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v3.7), as legacy 456, whose prices stay near their 2022 USD level; legacy 465 uses 2024 (v9.0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v9.0 (user 2026-10-29): the last historical price year is 2024, as legacy (price data through 2024, projection from 2025). v3.7-v8.5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v5.7: GDP solved (WEO NGDP_R, 2000-2040). v6.1: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v1.09.</w:t>
      </w:r>
      <w:r>
        <w:t xml:space="preserve"> </w:t>
      </w:r>
      <w:r>
        <w:t xml:space="preserve">Fuel use and revenue totals of v1.09 and later include power and are not comparable with v1.08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v5.7: I25 closed (v5.6);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v2.4.</w:t>
      </w:r>
      <w:r>
        <w:t xml:space="preserve"> </w:t>
      </w:r>
      <w:r>
        <w:t xml:space="preserve">esub, esubpu, rsub, prsub, sgap and rgap are negative from v2.4 (net existing revenue rnet = rtx + rsub, unchanged in value). Outputs stored with v2.3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v3.2).</w:t>
      </w:r>
      <w:r>
        <w:t xml:space="preserve"> </w:t>
      </w:r>
      <w:r>
        <w:t xml:space="preserve">Energy CO2 in section 14 was section 13 (IIASA EFs, no adjustment to the inventory) plus flaring: 225 Mt in 2022 against 252 Mt in the inventory. v3.2: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v3.2 (switch, off by default as legacy since v3.4).</w:t>
      </w:r>
      <w:r>
        <w:t xml:space="preserve"> </w:t>
      </w:r>
      <w:r>
        <w:rPr>
          <w:iCs/>
          <w:i/>
        </w:rPr>
        <w:t xml:space="preserve">Status:</w:t>
      </w:r>
      <w:r>
        <w:t xml:space="preserve"> </w:t>
      </w:r>
      <w:r>
        <w:t xml:space="preserve">Resolved.</w:t>
      </w:r>
    </w:p>
    <w:p>
      <w:pPr>
        <w:pStyle w:val="BodyText"/>
      </w:pPr>
      <w:r>
        <w:rPr>
          <w:bCs/>
          <w:b/>
        </w:rPr>
        <w:t xml:space="preserve">I19. Jet fuel (replicated v3.11).</w:t>
      </w:r>
      <w:r>
        <w:t xml:space="preserve"> </w:t>
      </w:r>
      <w:r>
        <w:t xml:space="preserve">Legacy domestic aviation burns jet fuel (707 ktoe in 2022). Since v3.11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v4.15).</w:t>
      </w:r>
      <w:r>
        <w:t xml:space="preserve"> </w:t>
      </w:r>
      <w:r>
        <w:t xml:space="preserve">Legacy allocates by one auctioned share path (MTInputs rows 90-92, default 0: everything allocated free), the same for every sector. The prototype had benchmarks by sector group typed on Constants (v1.02), so an MTInputs auctioned share had no effect; since v4.15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(v5.6): legacy process emissions = 2023 inventory x the year-on-year growth of industrial energy CO2 (row 6576; 2024: +16.8%, the rebound after the 2023 demand shock, so 56.9 -&gt; 66.5). The prototype floored that growth at 0 (a departure: removed in v5.6,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v3.7).</w:t>
      </w:r>
      <w:r>
        <w:t xml:space="preserve"> </w:t>
      </w:r>
      <w:r>
        <w:t xml:space="preserve">Excel 365 removed the cell formulas calling the LAMBDAs SCALE and SHARE (found by bisection with the repair log); renamed SCALEBY and SHAREOF in v3.7.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v4.15: coal and gas are averaged over power generation, residential and the 8 industry subsectors with baseline quantities (a Laspeyres index), electricity with each scenario’s own consumption, oil products are single prices. v4.15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v4.11 replicates legacy (user 2026-10-18: go with legacy); before, the prototype calibrated in 2024 and kept the switch off (user decisions v3.2, v3.4).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v4.15).</w:t>
      </w:r>
      <w:r>
        <w:t xml:space="preserve"> </w:t>
      </w:r>
      <w:r>
        <w:t xml:space="preserve">Legacy cohorts start in GDPStartYear (MTInputs row 236, Egypt 2025): revenue gained before it never acts on GDP, and the first cohort holds only the change of that year. Replicated in v4.15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v4.15).</w:t>
      </w:r>
      <w:r>
        <w:t xml:space="preserve"> </w:t>
      </w:r>
      <w:r>
        <w:t xml:space="preserve">Legacy Low / High (FmAdj) adds -/+ the standard deviation of the income group to every source, also to manual and country-estimated multipliers. Replicated in v4.15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v9.0 (user 2026-10-29). Before (v6.2-v8.5), the prototype counted it with the stored scenario-1 activity of downstream gas and biomass use (v6.2,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v9.0 (user 2026-10-29): the fiscal space counts the methane fee on the scenario’s own activity, as legacy rows 8018-8025 (fis.rev + ch4.rev). Every reference is to the same year and the GDP feedback lags one year, so there is no circular reference (checked by a full recalculation). v6.2-v8.5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(v9.0, R7): the phase-out in the supply cost (psu x psf, block row psp), the price controls absorb (1 - pass-through); the v6.2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v9.0 33.16% (sum of deciles). Replicated in v9.0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v9.0 gave “” (Settings C65; affects leakage too). Replicated in v9.0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(v0.14).</w:t>
            </w:r>
          </w:p>
        </w:tc>
        <w:tc>
          <w:tcPr/>
          <w:p>
            <w:pPr>
              <w:pStyle w:val="Compact"/>
              <w:jc w:val="left"/>
            </w:pPr>
            <w:r>
              <w:t xml:space="preserve">Legacy bug L170 (v8.5,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(v9.0; v0.8-v8.5: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(v1.06)</w:t>
            </w:r>
          </w:p>
        </w:tc>
        <w:tc>
          <w:tcPr/>
          <w:p>
            <w:pPr>
              <w:pStyle w:val="Compact"/>
              <w:jc w:val="left"/>
            </w:pPr>
            <w:r>
              <w:t xml:space="preserve">Legacy: Ten defects (CPAT-AI-Mitigation-Prototype_BugsIssuesUpgrades_v6.4.docx):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v4.14: new capacity sized for this year’s demand although it comes online next year (L67, was I8). Prototype: Fixed.</w:t>
            </w:r>
          </w:p>
        </w:tc>
        <w:tc>
          <w:tcPr/>
          <w:p>
            <w:pPr>
              <w:pStyle w:val="Compact"/>
              <w:jc w:val="left"/>
            </w:pPr>
            <w:r>
              <w:t xml:space="preserve">User request v1.06;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v5.4 PPAs, deficit to gas, renewable subsidies, rebate, electricity excise, every power input by scenario; v5.6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(v2.3; the last year is the LAMBDA year); same indices; values after 2030 not a legacy target.</w:t>
            </w:r>
          </w:p>
        </w:tc>
        <w:tc>
          <w:tcPr/>
          <w:p>
            <w:pPr>
              <w:pStyle w:val="Compact"/>
              <w:jc w:val="left"/>
            </w:pPr>
            <w:r>
              <w:t xml:space="preserve">User decisions v0.9 / v0.11 / v2.3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(v2.8), local pollutants (v2.9);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(v0.3-v0.4 / v0.5)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(v1.05 / v1.06)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(v1.05 / v1.06)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(v1.05 / v1.06)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(v1.07 build / v1.07)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(v1.05 / v1.09)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(v1.08 / v1.09)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(v1.09 / v2.2)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v1.01</w:t>
            </w:r>
          </w:p>
        </w:tc>
        <w:tc>
          <w:tcPr/>
          <w:p>
            <w:pPr>
              <w:pStyle w:val="Compact"/>
              <w:jc w:val="left"/>
            </w:pPr>
            <w:r>
              <w:t xml:space="preserve">Fixed (v1.02-v1.09 / v2.2)</w:t>
            </w:r>
          </w:p>
        </w:tc>
        <w:tc>
          <w:tcPr/>
          <w:p>
            <w:pPr>
              <w:pStyle w:val="Compact"/>
              <w:jc w:val="left"/>
            </w:pPr>
            <w:r>
              <w:t xml:space="preserve">legacy_comparison described the v1.01 baseline and its script wrote a different file name.</w:t>
            </w:r>
          </w:p>
        </w:tc>
        <w:tc>
          <w:tcPr/>
          <w:p>
            <w:pPr>
              <w:pStyle w:val="Compact"/>
              <w:jc w:val="left"/>
            </w:pPr>
            <w:r>
              <w:t xml:space="preserve">Re-run on v2.2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(v1.09 / v2.3)</w:t>
            </w:r>
          </w:p>
        </w:tc>
        <w:tc>
          <w:tcPr/>
          <w:p>
            <w:pPr>
              <w:pStyle w:val="Compact"/>
              <w:jc w:val="left"/>
            </w:pPr>
            <w:r>
              <w:t xml:space="preserve">Since v1.09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(v2.3 build / v2.3)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(v3.6 / v3.13)</w:t>
            </w:r>
          </w:p>
        </w:tc>
        <w:tc>
          <w:tcPr/>
          <w:p>
            <w:pPr>
              <w:pStyle w:val="Compact"/>
              <w:jc w:val="left"/>
            </w:pPr>
            <w:r>
              <w:t xml:space="preserve">The tab merge of v3.6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(v3.5 / v4.16)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(v4.2 / v5.3)</w:t>
            </w:r>
          </w:p>
        </w:tc>
        <w:tc>
          <w:tcPr/>
          <w:p>
            <w:pPr>
              <w:pStyle w:val="Compact"/>
              <w:jc w:val="left"/>
            </w:pPr>
            <w:r>
              <w:t xml:space="preserve">The 21 LAMBDA-library texts of the power pollutant rows (sheet Lambdas, column C) still named the sheet Inputs_power: the v3.13 fix (M12) re-pointed the texts only on sheets that stay in place, and Lambdas is an appended block since v4.2; pasted, they gave #NAME?.</w:t>
            </w:r>
          </w:p>
        </w:tc>
        <w:tc>
          <w:tcPr/>
          <w:p>
            <w:pPr>
              <w:pStyle w:val="Compact"/>
              <w:jc w:val="left"/>
            </w:pPr>
            <w:r>
              <w:t xml:space="preserve">merge_tabs re-points the Lambdas texts of an appended block too (host Mitigation); the full check lists any text naming a merged-away sheet.</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almost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Legacy_CPAT_Bugs_v9.0.docx.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v9.0</dc:title>
  <dc:creator/>
  <cp:keywords/>
  <dcterms:created xsi:type="dcterms:W3CDTF">2026-10-29T06:58:58Z</dcterms:created>
  <dcterms:modified xsi:type="dcterms:W3CDTF">2026-10-29T06:58:58Z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