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CPAT-AI</w:t>
      </w:r>
      <w:r>
        <w:t xml:space="preserve"> </w:t>
      </w:r>
      <w:r>
        <w:t xml:space="preserve">Mitigation</w:t>
      </w:r>
      <w:r>
        <w:t xml:space="preserve"> </w:t>
      </w:r>
      <w:r>
        <w:t xml:space="preserve">Prototype</w:t>
      </w:r>
      <w:r>
        <w:t xml:space="preserve"> </w:t>
      </w:r>
      <w:r>
        <w:t xml:space="preserve">v8.3</w:t>
      </w:r>
    </w:p>
    <w:p>
      <w:pPr>
        <w:pStyle w:val="Subtitle"/>
      </w:pPr>
      <w:r>
        <w:t xml:space="preserve">Documentation</w:t>
      </w:r>
    </w:p>
    <w:p>
      <w:pPr>
        <w:pStyle w:val="Date"/>
      </w:pPr>
      <w:r>
        <w:t xml:space="preserve">2026-10-23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iCs/>
          <w:i/>
        </w:rPr>
        <w:t xml:space="preserve">The short guide. Details of every block: the Methods volume. Every legacy bug and issue: the bug-fix register.</w:t>
      </w:r>
    </w:p>
    <w:bookmarkStart w:id="20" w:name="what-it-is"/>
    <w:p>
      <w:pPr>
        <w:pStyle w:val="Heading1"/>
      </w:pPr>
      <w:r>
        <w:t xml:space="preserve">1. What it is</w:t>
      </w:r>
    </w:p>
    <w:p>
      <w:pPr>
        <w:pStyle w:val="FirstParagraph"/>
      </w:pPr>
      <w:r>
        <w:t xml:space="preserve">The mitigation module of the IMF/World Bank</w:t>
      </w:r>
      <w:r>
        <w:t xml:space="preserve"> </w:t>
      </w:r>
      <w:r>
        <w:rPr>
          <w:bCs/>
          <w:b/>
        </w:rPr>
        <w:t xml:space="preserve">Climate Policy Assessment Tool (CPAT)</w:t>
      </w:r>
      <w:r>
        <w:t xml:space="preserve">, rebuilt as one readable Excel workbook for one country at a time.</w:t>
      </w:r>
    </w:p>
    <w:p>
      <w:pPr>
        <w:pStyle w:val="BodyText"/>
      </w:pPr>
      <w:r>
        <w:t xml:space="preserve">It answers:</w:t>
      </w:r>
      <w:r>
        <w:t xml:space="preserve"> </w:t>
      </w:r>
      <w:r>
        <w:rPr>
          <w:bCs/>
          <w:b/>
        </w:rPr>
        <w:t xml:space="preserve">what do carbon pricing and related policies do to energy prices, energy use, emissions, government revenue and GDP, year by year to 2041?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Policies in:</w:t>
      </w:r>
      <w:r>
        <w:t xml:space="preserve"> </w:t>
      </w:r>
      <w:r>
        <w:t xml:space="preserve">carbon tax, a new emissions trading system (ETS) with a cap, feebates, fuel excises, fuel subsidy reform, a methane fee, existing carbon pricing, power-sector policies.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Results out:</w:t>
      </w:r>
      <w:r>
        <w:t xml:space="preserve"> </w:t>
      </w:r>
      <w:r>
        <w:t xml:space="preserve">retail energy prices, fuel use in 16 sectors and 8 fuels, electricity generation and prices, revenue, CO₂ and other greenhouse gases, local air pollutants, GDP effects, the gap to the country’s NDC, and household effects by decile (Distribution tab).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country, any country:</w:t>
      </w:r>
      <w:r>
        <w:t xml:space="preserve"> </w:t>
      </w:r>
      <w:r>
        <w:t xml:space="preserve">formulas contain no country numbers. Every country value comes from the data tabs, looked up by the country code on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 </w:t>
      </w:r>
      <w:r>
        <w:t xml:space="preserve">(C4). The shipped data are complete for Egypt.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Same as legacy, minus its bugs:</w:t>
      </w:r>
      <w:r>
        <w:t xml:space="preserve"> </w:t>
      </w:r>
      <w:r>
        <w:t xml:space="preserve">it follows legacy CPAT except where legacy has a bug (all fixed) or an open question that we track (issues). See section 5.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Readable and checked:</w:t>
      </w:r>
      <w:r>
        <w:t xml:space="preserve"> </w:t>
      </w:r>
      <w:r>
        <w:t xml:space="preserve">every formula is at most 100 characters and one formula serves a whole block of cells. An independent Python recomputation checks every number.</w:t>
      </w:r>
    </w:p>
    <w:bookmarkEnd w:id="20"/>
    <w:bookmarkStart w:id="21" w:name="quick-start"/>
    <w:p>
      <w:pPr>
        <w:pStyle w:val="Heading1"/>
      </w:pPr>
      <w:r>
        <w:t xml:space="preserve">2. Quick start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Open</w:t>
      </w:r>
      <w:r>
        <w:t xml:space="preserve"> </w:t>
      </w:r>
      <w:r>
        <w:rPr>
          <w:rStyle w:val="VerbatimChar"/>
        </w:rPr>
        <w:t xml:space="preserve">CPAT-AI-Mitigation-Prototype_latest.xlsm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excel_ai/</w:t>
      </w:r>
      <w:r>
        <w:t xml:space="preserve">) in Excel 365 with macros enabled. It opens on</w:t>
      </w:r>
      <w:r>
        <w:t xml:space="preserve"> </w:t>
      </w:r>
      <w:r>
        <w:rPr>
          <w:rStyle w:val="VerbatimChar"/>
        </w:rPr>
        <w:t xml:space="preserve">ScenarioCompare</w:t>
      </w:r>
      <w:r>
        <w:t xml:space="preserve">, the dashboard,</w:t>
      </w:r>
      <w:r>
        <w:t xml:space="preserve"> </w:t>
      </w:r>
      <w:r>
        <w:rPr>
          <w:bCs/>
          <w:b/>
        </w:rPr>
        <w:t xml:space="preserve">without recalculating</w:t>
      </w:r>
      <w:r>
        <w:t xml:space="preserve">: the file ships with its values, in manual calculation.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After any change, click Recalculate now</w:t>
      </w:r>
      <w:r>
        <w:t xml:space="preserve"> </w:t>
      </w:r>
      <w:r>
        <w:t xml:space="preserve">(or switch automatic calculation on with Recalculation on/off).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Read the results on ScenarioCompare.</w:t>
      </w:r>
      <w:r>
        <w:t xml:space="preserve"> </w:t>
      </w:r>
      <w:r>
        <w:t xml:space="preserve">Choose Live or Stored results and the year. The key table shows CO₂, GHGs, revenue, the GDP effect and welfare against the baseline; the charts show them over time.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 a policy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ScenarioDefinition</w:t>
      </w:r>
      <w:r>
        <w:t xml:space="preserve">. Column K is the live scenario: for example change</w:t>
      </w:r>
      <w:r>
        <w:t xml:space="preserve"> </w:t>
      </w:r>
      <w:r>
        <w:rPr>
          <w:rStyle w:val="VerbatimChar"/>
        </w:rPr>
        <w:t xml:space="preserve">CPLevelTarget</w:t>
      </w:r>
      <w:r>
        <w:t xml:space="preserve"> </w:t>
      </w:r>
      <w:r>
        <w:t xml:space="preserve">(carbon price in the target year), then Recalculate now.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Store several scenarios:</w:t>
      </w:r>
      <w:r>
        <w:t xml:space="preserve"> </w:t>
      </w:r>
      <w:r>
        <w:t xml:space="preserve">copy a definition one column to the right, give it a short name (row 2) and Run? = Yes (row 4), then click Run stored scenarios. Results go to</w:t>
      </w:r>
      <w:r>
        <w:t xml:space="preserve"> </w:t>
      </w:r>
      <w:r>
        <w:rPr>
          <w:rStyle w:val="VerbatimChar"/>
        </w:rPr>
        <w:t xml:space="preserve">StoredOutputs</w:t>
      </w:r>
      <w:r>
        <w:t xml:space="preserve">; the dashboard compares up to 10.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Update the data</w:t>
      </w:r>
      <w:r>
        <w:t xml:space="preserve"> </w:t>
      </w:r>
      <w:r>
        <w:t xml:space="preserve">from the data workbook: choose the source on</w:t>
      </w:r>
      <w:r>
        <w:t xml:space="preserve"> </w:t>
      </w:r>
      <w:r>
        <w:rPr>
          <w:rStyle w:val="VerbatimChar"/>
        </w:rPr>
        <w:t xml:space="preserve">ScenarioCompare</w:t>
      </w:r>
      <w:r>
        <w:t xml:space="preserve">, click Update data tables. The status is on</w:t>
      </w:r>
      <w:r>
        <w:t xml:space="preserve"> </w:t>
      </w:r>
      <w:r>
        <w:rPr>
          <w:rStyle w:val="VerbatimChar"/>
        </w:rPr>
        <w:t xml:space="preserve">Cover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First time only:</w:t>
      </w:r>
      <w:r>
        <w:t xml:space="preserve"> </w:t>
      </w:r>
      <w:r>
        <w:t xml:space="preserve">click First-run test (grey buttons). The check table must show PASS.</w:t>
      </w:r>
    </w:p>
    <w:p>
      <w:pPr>
        <w:pStyle w:val="FirstParagraph"/>
      </w:pPr>
      <w:r>
        <w:t xml:space="preserve">The tabs, left to right: the front (</w:t>
      </w:r>
      <w:r>
        <w:rPr>
          <w:rStyle w:val="VerbatimChar"/>
        </w:rPr>
        <w:t xml:space="preserve">Cover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ScenarioCompare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ScenarioDefinition</w:t>
      </w:r>
      <w:r>
        <w:t xml:space="preserve">), the model (</w:t>
      </w:r>
      <w:r>
        <w:rPr>
          <w:rStyle w:val="VerbatimChar"/>
        </w:rPr>
        <w:t xml:space="preserve">Mitigation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Distribution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LiveOutputs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StoredOutputs</w:t>
      </w:r>
      <w:r>
        <w:t xml:space="preserve">), the inputs (</w:t>
      </w:r>
      <w:r>
        <w:rPr>
          <w:rStyle w:val="VerbatimChar"/>
        </w:rPr>
        <w:t xml:space="preserve">Manual inputs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Settings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</w:t>
      </w:r>
      <w:r>
        <w:t xml:space="preserve">), the data tabs (legacy tables, unchanged), and the reference tabs (version log, differences with legacy, variable dictionary).</w:t>
      </w:r>
    </w:p>
    <w:bookmarkEnd w:id="21"/>
    <w:bookmarkStart w:id="31" w:name="how-it-works"/>
    <w:p>
      <w:pPr>
        <w:pStyle w:val="Heading1"/>
      </w:pPr>
      <w:r>
        <w:t xml:space="preserve">3. How it works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Mitigation</w:t>
      </w:r>
      <w:r>
        <w:t xml:space="preserve"> </w:t>
      </w:r>
      <w:r>
        <w:t xml:space="preserve">tab runs top to bottom, one section per step, with the section numbers of legacy CPAT. Each scenario is a group of columns: group 1 is the baseline, group 2 the live scenario. Years run across, 2022 to 2041.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chapter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Policies: the price signals of each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Retail energy prices before and after policies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Power: demand, dispatch, investment, electricity prices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5, 5b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Transport, and the optional road engineer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6, 6b, 7,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Buildings, residential leakage to biomass, industry, other energy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Appendix 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Energy consumption totals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and results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13, 14, 15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CO₂, other greenhouse gases, local air pollutants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16, 17, 18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 effects, carbon pricing indicators, welfare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 and results</w:t>
            </w:r>
          </w:p>
        </w:tc>
      </w:tr>
    </w:tbl>
    <w:bookmarkStart w:id="22" w:name="policies-section-1"/>
    <w:p>
      <w:pPr>
        <w:pStyle w:val="Heading2"/>
      </w:pPr>
      <w:r>
        <w:t xml:space="preserve">3.1 Policies (section 1)</w:t>
      </w:r>
    </w:p>
    <w:p>
      <w:pPr>
        <w:pStyle w:val="FirstParagraph"/>
      </w:pPr>
      <w:r>
        <w:t xml:space="preserve">Each policy is a path from a start year to a target year, set per scenario on</w:t>
      </w:r>
      <w:r>
        <w:t xml:space="preserve"> </w:t>
      </w:r>
      <w:r>
        <w:rPr>
          <w:rStyle w:val="VerbatimChar"/>
        </w:rPr>
        <w:t xml:space="preserve">ScenarioDefinition</w:t>
      </w:r>
      <w:r>
        <w:t xml:space="preserve">. The carbon price follows that path:</w:t>
      </w:r>
    </w:p>
    <w:p>
      <w:pPr>
        <w:pStyle w:val="SourceCode"/>
      </w:pPr>
      <w:r>
        <w:rPr>
          <w:rStyle w:val="VerbatimChar"/>
        </w:rPr>
        <w:t xml:space="preserve">τ(t) = path(t; start year, target year, start level, target level) · (CPI index if the inputs are nominal)</w:t>
      </w:r>
    </w:p>
    <w:p>
      <w:pPr>
        <w:pStyle w:val="FirstParagraph"/>
      </w:pPr>
      <w:r>
        <w:t xml:space="preserve">A new ETS starts at a price estimate and is checked against its cap (the goal seek refines it). Feebates act through a shadow price, which changes efficiency but raises no revenue. Existing carbon taxes and ETS prices come from the World Bank Carbon Pricing Dashboard data.</w:t>
      </w:r>
    </w:p>
    <w:p>
      <w:pPr>
        <w:pStyle w:val="BodyText"/>
      </w:pPr>
      <w:r>
        <w:rPr>
          <w:iCs/>
          <w:i/>
        </w:rPr>
        <w:t xml:space="preserve">Details: Methods, chapter Prices; chapter ETS.</w:t>
      </w:r>
    </w:p>
    <w:bookmarkEnd w:id="22"/>
    <w:bookmarkStart w:id="23" w:name="energy-prices-section-2"/>
    <w:p>
      <w:pPr>
        <w:pStyle w:val="Heading2"/>
      </w:pPr>
      <w:r>
        <w:t xml:space="preserve">3.2 Energy prices (section 2)</w:t>
      </w:r>
    </w:p>
    <w:p>
      <w:pPr>
        <w:pStyle w:val="FirstParagraph"/>
      </w:pPr>
      <w:r>
        <w:t xml:space="preserve">For each fuel and sector, the retail price builds up from the international price:</w:t>
      </w:r>
    </w:p>
    <w:p>
      <w:pPr>
        <w:pStyle w:val="SourceCode"/>
      </w:pPr>
      <w:r>
        <w:rPr>
          <w:rStyle w:val="VerbatimChar"/>
        </w:rPr>
        <w:t xml:space="preserve">supply cost  C(t) = fixed part + (C(t−1) − fixed part) · international price(t) / international price(t−1)</w:t>
      </w:r>
      <w:r>
        <w:br/>
      </w:r>
      <w:r>
        <w:rPr>
          <w:rStyle w:val="VerbatimChar"/>
        </w:rPr>
        <w:t xml:space="preserve">retail price R    = (C + excise and other taxes) · (1 + VAT)</w:t>
      </w:r>
      <w:r>
        <w:br/>
      </w:r>
      <w:r>
        <w:rPr>
          <w:rStyle w:val="VerbatimChar"/>
        </w:rPr>
        <w:t xml:space="preserve">after policy P    = R + new carbon tax + ETS price + new excise, each with VAT</w:t>
      </w:r>
    </w:p>
    <w:p>
      <w:pPr>
        <w:pStyle w:val="FirstParagraph"/>
      </w:pPr>
      <w:r>
        <w:t xml:space="preserve">Subsidies are negative taxes. Historical prices come from the IMF price data up to the last historical year (2022, as legacy); later years are projected.</w:t>
      </w:r>
    </w:p>
    <w:p>
      <w:pPr>
        <w:pStyle w:val="BodyText"/>
      </w:pPr>
      <w:r>
        <w:rPr>
          <w:iCs/>
          <w:i/>
        </w:rPr>
        <w:t xml:space="preserve">Details: Methods, chapter Prices.</w:t>
      </w:r>
    </w:p>
    <w:bookmarkEnd w:id="23"/>
    <w:bookmarkStart w:id="24" w:name="energy-demand-sections-5-8-11"/>
    <w:p>
      <w:pPr>
        <w:pStyle w:val="Heading2"/>
      </w:pPr>
      <w:r>
        <w:t xml:space="preserve">3.3 Energy demand (sections 5-8, 11)</w:t>
      </w:r>
    </w:p>
    <w:p>
      <w:pPr>
        <w:pStyle w:val="FirstParagraph"/>
      </w:pPr>
      <w:r>
        <w:t xml:space="preserve">Fuel use in each sector changes each year with income, its own price and efficiency:</w:t>
      </w:r>
    </w:p>
    <w:p>
      <w:pPr>
        <w:pStyle w:val="SourceCode"/>
      </w:pPr>
      <w:r>
        <w:rPr>
          <w:rStyle w:val="VerbatimChar"/>
        </w:rPr>
        <w:t xml:space="preserve">Q(t) = Q(t−1) · (efficiency gain) · (1 + GDP growth)^(income elasticity) · (P(t)/P(t−1))^(price elasticity) · (efficiency response to prices)</w:t>
      </w:r>
    </w:p>
    <w:p>
      <w:pPr>
        <w:pStyle w:val="FirstParagraph"/>
      </w:pPr>
      <w:r>
        <w:t xml:space="preserve">The elasticities are legacy CPAT’s. Section 11 adds up fuel use by sector and fuel, including the fuel burnt in power plants.</w:t>
      </w:r>
    </w:p>
    <w:p>
      <w:pPr>
        <w:pStyle w:val="BodyText"/>
      </w:pPr>
      <w:r>
        <w:rPr>
          <w:iCs/>
          <w:i/>
        </w:rPr>
        <w:t xml:space="preserve">Details: Methods, appendix A (equations, section 4); chapter Transport for road.</w:t>
      </w:r>
    </w:p>
    <w:bookmarkEnd w:id="24"/>
    <w:bookmarkStart w:id="25" w:name="power-section-3"/>
    <w:p>
      <w:pPr>
        <w:pStyle w:val="Heading2"/>
      </w:pPr>
      <w:r>
        <w:t xml:space="preserve">3.4 Power (section 3)</w:t>
      </w:r>
    </w:p>
    <w:p>
      <w:pPr>
        <w:pStyle w:val="FirstParagraph"/>
      </w:pPr>
      <w:r>
        <w:t xml:space="preserve">Electricity demand comes from the sectors. The power model, as legacy’s engineer model, decides each year: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Dispatch:</w:t>
      </w:r>
      <w:r>
        <w:t xml:space="preserve"> </w:t>
      </w:r>
      <w:r>
        <w:t xml:space="preserve">which plants run, by their variable cost (fuel, carbon price, operation).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Investment:</w:t>
      </w:r>
      <w:r>
        <w:t xml:space="preserve"> </w:t>
      </w:r>
      <w:r>
        <w:t xml:space="preserve">new capacity by technology, chosen by levelised cost with a logit share, within scale-up limits.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Prices:</w:t>
      </w:r>
      <w:r>
        <w:t xml:space="preserve"> </w:t>
      </w:r>
      <w:r>
        <w:t xml:space="preserve">electricity prices from the cost of generation, with taxes, subsidies and price controls.</w:t>
      </w:r>
    </w:p>
    <w:p>
      <w:pPr>
        <w:pStyle w:val="FirstParagraph"/>
      </w:pPr>
      <w:r>
        <w:t xml:space="preserve">Power-sector policies (no new coal, nuclear from a year, renewable subsidies, PPAs, rebating revenue, an electricity excise) are set per scenario.</w:t>
      </w:r>
    </w:p>
    <w:p>
      <w:pPr>
        <w:pStyle w:val="BodyText"/>
      </w:pPr>
      <w:r>
        <w:rPr>
          <w:iCs/>
          <w:i/>
        </w:rPr>
        <w:t xml:space="preserve">Details: Methods, chapter Power.</w:t>
      </w:r>
    </w:p>
    <w:bookmarkEnd w:id="25"/>
    <w:bookmarkStart w:id="26" w:name="road-transport-sections-5-5b"/>
    <w:p>
      <w:pPr>
        <w:pStyle w:val="Heading2"/>
      </w:pPr>
      <w:r>
        <w:t xml:space="preserve">3.5 Road transport (sections 5, 5b)</w:t>
      </w:r>
    </w:p>
    <w:p>
      <w:pPr>
        <w:pStyle w:val="FirstParagraph"/>
      </w:pPr>
      <w:r>
        <w:t xml:space="preserve">By default road fuel use follows the demand elasticities, as every other sector. With</w:t>
      </w:r>
      <w:r>
        <w:t xml:space="preserve"> </w:t>
      </w:r>
      <w:r>
        <w:rPr>
          <w:rStyle w:val="VerbatimChar"/>
        </w:rPr>
        <w:t xml:space="preserve">TrModel</w:t>
      </w:r>
      <w:r>
        <w:t xml:space="preserve"> </w:t>
      </w:r>
      <w:r>
        <w:t xml:space="preserve">= Engineer, the road engineer model replaces it: vehicle stocks by class, cost of ownership, the choice between combustion and electric vehicles, and vehicle policies (feebates, EV subsidies, purchase taxes, distance tax).</w:t>
      </w:r>
    </w:p>
    <w:p>
      <w:pPr>
        <w:pStyle w:val="BodyText"/>
      </w:pPr>
      <w:r>
        <w:rPr>
          <w:iCs/>
          <w:i/>
        </w:rPr>
        <w:t xml:space="preserve">Details: Methods, chapter Transport.</w:t>
      </w:r>
    </w:p>
    <w:bookmarkEnd w:id="26"/>
    <w:bookmarkStart w:id="27" w:name="revenues-section-12"/>
    <w:p>
      <w:pPr>
        <w:pStyle w:val="Heading2"/>
      </w:pPr>
      <w:r>
        <w:t xml:space="preserve">3.6 Revenues (section 12)</w:t>
      </w:r>
    </w:p>
    <w:p>
      <w:pPr>
        <w:pStyle w:val="FirstParagraph"/>
      </w:pPr>
      <w:r>
        <w:t xml:space="preserve">Revenue is fuel use times the tax per unit, by fuel and sector, for existing taxes, existing subsidies (negative) and new policies:</w:t>
      </w:r>
    </w:p>
    <w:p>
      <w:pPr>
        <w:pStyle w:val="SourceCode"/>
      </w:pPr>
      <w:r>
        <w:rPr>
          <w:rStyle w:val="VerbatimChar"/>
        </w:rPr>
        <w:t xml:space="preserve">revenue from new policies = fuel use · (carbon tax + excise + auctioned share · ETS price + VAT on them)</w:t>
      </w:r>
      <w:r>
        <w:br/>
      </w:r>
      <w:r>
        <w:rPr>
          <w:rStyle w:val="VerbatimChar"/>
        </w:rPr>
        <w:t xml:space="preserve">total revenue             = existing taxes + subsidies + new policies + methane fee</w:t>
      </w:r>
    </w:p>
    <w:p>
      <w:pPr>
        <w:pStyle w:val="FirstParagraph"/>
      </w:pPr>
      <w:r>
        <w:t xml:space="preserve">The power sector adds its own revenue and subsidies. Feebates are revenue neutral.</w:t>
      </w:r>
    </w:p>
    <w:p>
      <w:pPr>
        <w:pStyle w:val="BodyText"/>
      </w:pPr>
      <w:r>
        <w:rPr>
          <w:iCs/>
          <w:i/>
        </w:rPr>
        <w:t xml:space="preserve">Details: Methods, chapter Macro and results.</w:t>
      </w:r>
    </w:p>
    <w:bookmarkEnd w:id="27"/>
    <w:bookmarkStart w:id="28" w:name="emissions-sections-13-15"/>
    <w:p>
      <w:pPr>
        <w:pStyle w:val="Heading2"/>
      </w:pPr>
      <w:r>
        <w:t xml:space="preserve">3.7 Emissions (sections 13-15)</w:t>
      </w:r>
    </w:p>
    <w:p>
      <w:pPr>
        <w:pStyle w:val="SourceCode"/>
      </w:pPr>
      <w:r>
        <w:rPr>
          <w:rStyle w:val="VerbatimChar"/>
        </w:rPr>
        <w:t xml:space="preserve">CO₂ = fuel use · emission factor        (factors optionally calibrated to the GHG inventory)</w:t>
      </w:r>
    </w:p>
    <w:p>
      <w:pPr>
        <w:pStyle w:val="FirstParagraph"/>
      </w:pPr>
      <w:r>
        <w:t xml:space="preserve">Other greenhouse gases (methane, nitrous oxide, F-gases) follow their drivers; methane from fuel supply responds to the methane fee. Local air pollutants (fine particles, sulphur and nitrogen oxides, and others) are fuel use times pollutant factors.</w:t>
      </w:r>
    </w:p>
    <w:p>
      <w:pPr>
        <w:pStyle w:val="BodyText"/>
      </w:pPr>
      <w:r>
        <w:rPr>
          <w:iCs/>
          <w:i/>
        </w:rPr>
        <w:t xml:space="preserve">Details: Methods, chapter Emissions.</w:t>
      </w:r>
    </w:p>
    <w:bookmarkEnd w:id="28"/>
    <w:bookmarkStart w:id="29" w:name="X635412f5ce879631d5354ae87e640895b1c3b66"/>
    <w:p>
      <w:pPr>
        <w:pStyle w:val="Heading2"/>
      </w:pPr>
      <w:r>
        <w:t xml:space="preserve">3.8 GDP, carbon pricing indicators, welfare (sections 16-18)</w:t>
      </w:r>
    </w:p>
    <w:p>
      <w:pPr>
        <w:pStyle w:val="FirstParagraph"/>
      </w:pPr>
      <w:r>
        <w:t xml:space="preserve">New revenue is fiscal space. How it is used (tax cuts, investment, transfers) moves GDP through fiscal multipliers, one year later:</w:t>
      </w:r>
    </w:p>
    <w:p>
      <w:pPr>
        <w:pStyle w:val="SourceCode"/>
      </w:pPr>
      <w:r>
        <w:rPr>
          <w:rStyle w:val="VerbatimChar"/>
        </w:rPr>
        <w:t xml:space="preserve">fiscal space fs(t)  = (new revenue in the scenario − in the baseline) / GDP</w:t>
      </w:r>
      <w:r>
        <w:br/>
      </w:r>
      <w:r>
        <w:rPr>
          <w:rStyle w:val="VerbatimChar"/>
        </w:rPr>
        <w:t xml:space="preserve">GDP effect          = Σ over uses: share of the use · Σ over lags (change in fs · multiplier of the use)</w:t>
      </w:r>
    </w:p>
    <w:p>
      <w:pPr>
        <w:pStyle w:val="FirstParagraph"/>
      </w:pPr>
      <w:r>
        <w:t xml:space="preserve">Section 17 reports carbon prices and coverage; section 18 the welfare effects and the gap to the NDC.</w:t>
      </w:r>
    </w:p>
    <w:p>
      <w:pPr>
        <w:pStyle w:val="BodyText"/>
      </w:pPr>
      <w:r>
        <w:rPr>
          <w:iCs/>
          <w:i/>
        </w:rPr>
        <w:t xml:space="preserve">Details: Methods, chapter Macro and results.</w:t>
      </w:r>
    </w:p>
    <w:bookmarkEnd w:id="29"/>
    <w:bookmarkStart w:id="30" w:name="distribution-tab-distribution"/>
    <w:p>
      <w:pPr>
        <w:pStyle w:val="Heading2"/>
      </w:pPr>
      <w:r>
        <w:t xml:space="preserve">3.9 Distribution (tab Distribution)</w:t>
      </w:r>
    </w:p>
    <w:p>
      <w:pPr>
        <w:pStyle w:val="FirstParagraph"/>
      </w:pPr>
      <w:r>
        <w:t xml:space="preserve">Household effects by decile in one analysis year: price changes reach households directly (energy) and indirectly (other goods, through the input-output table); revenue recycling (transfers, targeted by ASPIRE or the poverty line) offsets them.</w:t>
      </w:r>
    </w:p>
    <w:p>
      <w:pPr>
        <w:pStyle w:val="BodyText"/>
      </w:pPr>
      <w:r>
        <w:rPr>
          <w:iCs/>
          <w:i/>
        </w:rPr>
        <w:t xml:space="preserve">Details: Methods, chapter Distribution.</w:t>
      </w:r>
    </w:p>
    <w:bookmarkEnd w:id="30"/>
    <w:bookmarkEnd w:id="31"/>
    <w:bookmarkStart w:id="32" w:name="results-and-the-dashboard"/>
    <w:p>
      <w:pPr>
        <w:pStyle w:val="Heading1"/>
      </w:pPr>
      <w:r>
        <w:t xml:space="preserve">4. Results and the dashboard</w:t>
      </w:r>
    </w:p>
    <w:p>
      <w:pPr>
        <w:pStyle w:val="FirstParagraph"/>
      </w:pPr>
      <w:r>
        <w:rPr>
          <w:bCs/>
          <w:b/>
        </w:rPr>
        <w:t xml:space="preserve">ScenarioCompare</w:t>
      </w:r>
      <w:r>
        <w:t xml:space="preserve"> </w:t>
      </w:r>
      <w:r>
        <w:t xml:space="preserve">is the place to read results: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Choices:</w:t>
      </w:r>
      <w:r>
        <w:t xml:space="preserve"> </w:t>
      </w:r>
      <w:r>
        <w:t xml:space="preserve">Live (the scenario groups of</w:t>
      </w:r>
      <w:r>
        <w:t xml:space="preserve"> </w:t>
      </w:r>
      <w:r>
        <w:rPr>
          <w:rStyle w:val="VerbatimChar"/>
        </w:rPr>
        <w:t xml:space="preserve">Mitigation</w:t>
      </w:r>
      <w:r>
        <w:t xml:space="preserve">) or Stored (every stored scenario), and the year.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Key table:</w:t>
      </w:r>
      <w:r>
        <w:t xml:space="preserve"> </w:t>
      </w:r>
      <w:r>
        <w:t xml:space="preserve">energy CO₂, GHGs, revenue, GDP effect and welfare, as levels and differences from the baseline.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Charts:</w:t>
      </w:r>
      <w:r>
        <w:t xml:space="preserve"> </w:t>
      </w:r>
      <w:r>
        <w:t xml:space="preserve">one bar chart of CO₂ and four time-series charts; the title of each is a dropdown of indicators.</w:t>
      </w:r>
    </w:p>
    <w:p>
      <w:pPr>
        <w:pStyle w:val="FirstParagraph"/>
      </w:pPr>
      <w:r>
        <w:rPr>
          <w:bCs/>
          <w:b/>
        </w:rPr>
        <w:t xml:space="preserve">LiveOutputs</w:t>
      </w:r>
      <w:r>
        <w:t xml:space="preserve"> </w:t>
      </w:r>
      <w:r>
        <w:t xml:space="preserve">lists the key indicators of each live scenario by output code;</w:t>
      </w:r>
      <w:r>
        <w:t xml:space="preserve"> </w:t>
      </w:r>
      <w:r>
        <w:rPr>
          <w:bCs/>
          <w:b/>
        </w:rPr>
        <w:t xml:space="preserve">StoredOutputs</w:t>
      </w:r>
      <w:r>
        <w:t xml:space="preserve"> </w:t>
      </w:r>
      <w:r>
        <w:t xml:space="preserve">keeps the stored scenarios as values. Every row carries a code (for example</w:t>
      </w:r>
      <w:r>
        <w:t xml:space="preserve"> </w:t>
      </w:r>
      <w:r>
        <w:rPr>
          <w:rStyle w:val="VerbatimChar"/>
        </w:rPr>
        <w:t xml:space="preserve">egy.mit.co2.tot.tot.2</w:t>
      </w:r>
      <w:r>
        <w:t xml:space="preserve">: country, module, variable, sector, fuel, scenario), the same codes as the Python model.</w:t>
      </w:r>
    </w:p>
    <w:bookmarkEnd w:id="32"/>
    <w:bookmarkStart w:id="33" w:name="limits-and-differences-from-legacy"/>
    <w:p>
      <w:pPr>
        <w:pStyle w:val="Heading1"/>
      </w:pPr>
      <w:r>
        <w:t xml:space="preserve">5. Limits and differences from legacy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Legacy bugs:</w:t>
      </w:r>
      <w:r>
        <w:t xml:space="preserve"> </w:t>
      </w:r>
      <w:r>
        <w:t xml:space="preserve">the prototype fixes every one (132 in mitigation, 31 in distribution). The bug-fix register,</w:t>
      </w:r>
      <w:r>
        <w:t xml:space="preserve"> </w:t>
      </w:r>
      <w:r>
        <w:rPr>
          <w:rStyle w:val="VerbatimChar"/>
        </w:rPr>
        <w:t xml:space="preserve">CPAT-AI_BugsAndIssues_latest.docx</w:t>
      </w:r>
      <w:r>
        <w:t xml:space="preserve">, gives each bug and its cell-level fix for legacy CPAT. Its cell references are rows of the latest legacy file,</w:t>
      </w:r>
      <w:r>
        <w:t xml:space="preserve"> </w:t>
      </w:r>
      <w:r>
        <w:rPr>
          <w:rStyle w:val="VerbatimChar"/>
        </w:rPr>
        <w:t xml:space="preserve">CPAT 1.0pre_465</w:t>
      </w:r>
      <w:r>
        <w:t xml:space="preserve">, where the CPAT team marked 62 of the bugs fixed (52 confirmed, 8 with caveats, 2 not fixed); the register gives each bug’s status in legacy.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Legacy row numbers in the Methods volume</w:t>
      </w:r>
      <w:r>
        <w:t xml:space="preserve"> </w:t>
      </w:r>
      <w:r>
        <w:t xml:space="preserve">are rows of</w:t>
      </w:r>
      <w:r>
        <w:t xml:space="preserve"> </w:t>
      </w:r>
      <w:r>
        <w:rPr>
          <w:rStyle w:val="VerbatimChar"/>
        </w:rPr>
        <w:t xml:space="preserve">CPAT 1.0pre_456_NoPropData.xlsb</w:t>
      </w:r>
      <w:r>
        <w:t xml:space="preserve">, the file the prototype was built and checked against (its data extracts read that file). In</w:t>
      </w:r>
      <w:r>
        <w:t xml:space="preserve"> </w:t>
      </w:r>
      <w:r>
        <w:rPr>
          <w:rStyle w:val="VerbatimChar"/>
        </w:rPr>
        <w:t xml:space="preserve">CPAT 1.0pre_465</w:t>
      </w:r>
      <w:r>
        <w:t xml:space="preserve"> </w:t>
      </w:r>
      <w:r>
        <w:t xml:space="preserve">Mitigation rows from 5667 on sit 11 to 15 rows higher.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Legacy issues:</w:t>
      </w:r>
      <w:r>
        <w:t xml:space="preserve"> </w:t>
      </w:r>
      <w:r>
        <w:t xml:space="preserve">where legacy works as intended but is open to question, the prototype does the same and tracks the issue (same register; short list in</w:t>
      </w:r>
      <w:r>
        <w:t xml:space="preserve"> </w:t>
      </w:r>
      <w:r>
        <w:rPr>
          <w:rStyle w:val="VerbatimChar"/>
        </w:rPr>
        <w:t xml:space="preserve">excel_ai/ISSUES.md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Not built:</w:t>
      </w:r>
      <w:r>
        <w:t xml:space="preserve"> </w:t>
      </w:r>
      <w:r>
        <w:t xml:space="preserve">a few legacy features (listed in the register as upgrades), and the air-pollution co-benefits and transport externalities modules.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Data:</w:t>
      </w:r>
      <w:r>
        <w:t xml:space="preserve"> </w:t>
      </w:r>
      <w:r>
        <w:t xml:space="preserve">the shipped data are Egypt’s; proprietary tables for other countries must be pasted in or linked.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CPAT-AI Mitigation Prototype v8.3</dc:title>
  <dc:creator/>
  <cp:keywords/>
  <dcterms:created xsi:type="dcterms:W3CDTF">2026-10-23T07:03:09Z</dcterms:created>
  <dcterms:modified xsi:type="dcterms:W3CDTF">2026-10-23T07:03:09Z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subtitle">
    <vt:lpwstr>Documentation</vt:lpwstr>
  </property>
</Properties>
</file>