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v8.3</w:t>
      </w:r>
    </w:p>
    <w:p>
      <w:pPr>
        <w:pStyle w:val="Subtitle"/>
      </w:pPr>
      <w:r>
        <w:t xml:space="preserve">Methods</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I4).</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CPAT-AI_BugsAndIssues_v6.4.docx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 chapter Emissions).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(I17):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(I17)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I67 (China CO2 hard-coded in legacy: not</w:t>
      </w:r>
      <w:r>
        <w:t xml:space="preserve"> </w:t>
      </w:r>
      <w:r>
        <w:t xml:space="preserve">replicated), I68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I17), and legacy’s rule carries that break into every year: calibrated CO2 is 16-29% below the 2022-2024 inventory. The 2023 dip is the fuel-use shock of legacy row 483 (I22,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I37).</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D10). A program without data for the country falls back to cash and the settings check says so (legacy drops</w:t>
      </w:r>
      <w:r>
        <w:t xml:space="preserve"> </w:t>
      </w:r>
      <w:r>
        <w:t xml:space="preserve">the transfer, D11). Median statistic: the transfer reaches only deciles where more than half receive (legacy row 2685;</w:t>
      </w:r>
      <w:r>
        <w:t xml:space="preserve"> </w:t>
      </w:r>
      <w:r>
        <w:t xml:space="preserve">the money not paid is not redistributed, as legacy); public investment and current spending are not flagged (D13).</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D20-D21),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(D18-D19),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D26), rank and top 20 (ties broken, D25), 14 CPAT sectors (chemicals and power added, D24)</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(D27).</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(I38).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v8.3</dc:title>
  <dc:creator/>
  <cp:keywords/>
  <dcterms:created xsi:type="dcterms:W3CDTF">2026-10-23T07:03:10Z</dcterms:created>
  <dcterms:modified xsi:type="dcterms:W3CDTF">2026-10-23T07:03:10Z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2026-10-23</vt:lpwstr>
  </property>
  <property fmtid="{D5CDD505-2E9C-101B-9397-08002B2CF9AE}" pid="3" name="subtitle">
    <vt:lpwstr>Methods</vt:lpwstr>
  </property>
</Properties>
</file>