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v1.2.0</w:t>
      </w:r>
    </w:p>
    <w:p>
      <w:pPr>
        <w:pStyle w:val="Subtitle"/>
      </w:pPr>
      <w:r>
        <w:t xml:space="preserve">Documentation</w:t>
      </w:r>
    </w:p>
    <w:p>
      <w:pPr>
        <w:pStyle w:val="Date"/>
      </w:pPr>
      <w:r>
        <w:t xml:space="preserve">2026-10-31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The short guide. Details of every block: the Methods volume. Every legacy bug and issue: the bug-fix register.</w:t>
      </w:r>
    </w:p>
    <w:bookmarkStart w:id="20" w:name="what-it-is"/>
    <w:p>
      <w:pPr>
        <w:pStyle w:val="Heading1"/>
      </w:pPr>
      <w:r>
        <w:t xml:space="preserve">1. What it is</w:t>
      </w:r>
    </w:p>
    <w:p>
      <w:pPr>
        <w:pStyle w:val="FirstParagraph"/>
      </w:pPr>
      <w:r>
        <w:t xml:space="preserve">The mitigation module of the IMF/World Bank</w:t>
      </w:r>
      <w:r>
        <w:t xml:space="preserve"> </w:t>
      </w:r>
      <w:r>
        <w:rPr>
          <w:bCs/>
          <w:b/>
        </w:rPr>
        <w:t xml:space="preserve">Climate Policy Assessment Tool (CPAT)</w:t>
      </w:r>
      <w:r>
        <w:t xml:space="preserve">, rebuilt as one readable Excel workbook for one country at a time.</w:t>
      </w:r>
    </w:p>
    <w:p>
      <w:pPr>
        <w:pStyle w:val="BodyText"/>
      </w:pPr>
      <w:r>
        <w:t xml:space="preserve">It answers:</w:t>
      </w:r>
      <w:r>
        <w:t xml:space="preserve"> </w:t>
      </w:r>
      <w:r>
        <w:rPr>
          <w:bCs/>
          <w:b/>
        </w:rPr>
        <w:t xml:space="preserve">what do carbon pricing and related policies do to energy prices, energy use, emissions, government revenue and GDP, year by year to 2041?</w:t>
      </w:r>
    </w:p>
    <w:p>
      <w:pPr>
        <w:numPr>
          <w:ilvl w:val="0"/>
          <w:numId w:val="1001"/>
        </w:numPr>
        <w:pStyle w:val="Compact"/>
      </w:pPr>
      <w:r>
        <w:rPr>
          <w:bCs/>
          <w:b/>
        </w:rPr>
        <w:t xml:space="preserve">Policies in:</w:t>
      </w:r>
      <w:r>
        <w:t xml:space="preserve"> </w:t>
      </w:r>
      <w:r>
        <w:t xml:space="preserve">carbon tax, a new emissions trading system (ETS) with a cap, feebates, fuel excises, fuel subsidy reform, a methane fee, existing carbon pricing, power-sector policies.</w:t>
      </w:r>
    </w:p>
    <w:p>
      <w:pPr>
        <w:numPr>
          <w:ilvl w:val="0"/>
          <w:numId w:val="1001"/>
        </w:numPr>
        <w:pStyle w:val="Compact"/>
      </w:pPr>
      <w:r>
        <w:rPr>
          <w:bCs/>
          <w:b/>
        </w:rPr>
        <w:t xml:space="preserve">Results out:</w:t>
      </w:r>
      <w:r>
        <w:t xml:space="preserve"> </w:t>
      </w:r>
      <w:r>
        <w:t xml:space="preserve">retail energy prices, fuel use in 16 sectors and 8 fuels, electricity generation and prices, revenue, CO₂ and other greenhouse gases, local air pollutants, GDP effects, the gap to the country’s NDC, and and the exports the other modules read (section 19; household effects by decile are the separate Distribution module).</w:t>
      </w:r>
    </w:p>
    <w:p>
      <w:pPr>
        <w:numPr>
          <w:ilvl w:val="0"/>
          <w:numId w:val="1001"/>
        </w:numPr>
        <w:pStyle w:val="Compact"/>
      </w:pPr>
      <w:r>
        <w:rPr>
          <w:bCs/>
          <w:b/>
        </w:rPr>
        <w:t xml:space="preserve">One country, any country:</w:t>
      </w:r>
      <w:r>
        <w:t xml:space="preserve"> </w:t>
      </w:r>
      <w:r>
        <w:t xml:space="preserve">formulas contain no country numbers. Every country value comes from the data tabs, looked up by the country code on</w:t>
      </w:r>
      <w:r>
        <w:t xml:space="preserve"> </w:t>
      </w:r>
      <w:r>
        <w:rPr>
          <w:rStyle w:val="VerbatimChar"/>
        </w:rPr>
        <w:t xml:space="preserve">ScenarioDefinition</w:t>
      </w:r>
      <w:r>
        <w:t xml:space="preserve"> </w:t>
      </w:r>
      <w:r>
        <w:t xml:space="preserve">(MTInputs, Model settings). The shipped data are complete for Egypt.</w:t>
      </w:r>
    </w:p>
    <w:p>
      <w:pPr>
        <w:numPr>
          <w:ilvl w:val="0"/>
          <w:numId w:val="1001"/>
        </w:numPr>
        <w:pStyle w:val="Compact"/>
      </w:pPr>
      <w:r>
        <w:rPr>
          <w:bCs/>
          <w:b/>
        </w:rPr>
        <w:t xml:space="preserve">Same as legacy, minus its bugs:</w:t>
      </w:r>
      <w:r>
        <w:t xml:space="preserve"> </w:t>
      </w:r>
      <w:r>
        <w:t xml:space="preserve">it follows legacy CPAT except where legacy has a bug (all fixed) or an open question that we track (issues). See section 5.</w:t>
      </w:r>
    </w:p>
    <w:p>
      <w:pPr>
        <w:numPr>
          <w:ilvl w:val="0"/>
          <w:numId w:val="1001"/>
        </w:numPr>
        <w:pStyle w:val="Compact"/>
      </w:pPr>
      <w:r>
        <w:rPr>
          <w:bCs/>
          <w:b/>
        </w:rPr>
        <w:t xml:space="preserve">Readable and checked:</w:t>
      </w:r>
      <w:r>
        <w:t xml:space="preserve"> </w:t>
      </w:r>
      <w:r>
        <w:t xml:space="preserve">every formula is short (target 90 characters, at most 115) and one formula serves a whole block of cells. An independent Python recomputation checks every number.</w:t>
      </w:r>
    </w:p>
    <w:bookmarkEnd w:id="20"/>
    <w:bookmarkStart w:id="21" w:name="quick-start"/>
    <w:p>
      <w:pPr>
        <w:pStyle w:val="Heading1"/>
      </w:pPr>
      <w:r>
        <w:t xml:space="preserve">2. Quick start</w:t>
      </w:r>
    </w:p>
    <w:p>
      <w:pPr>
        <w:pStyle w:val="FirstParagraph"/>
      </w:pPr>
      <w:r>
        <w:t xml:space="preserve">Since 1.2.0 the module workbooks have</w:t>
      </w:r>
      <w:r>
        <w:t xml:space="preserve"> </w:t>
      </w:r>
      <w:r>
        <w:rPr>
          <w:bCs/>
          <w:b/>
        </w:rPr>
        <w:t xml:space="preserve">no macros</w:t>
      </w:r>
      <w:r>
        <w:t xml:space="preserve">. Every macro is in the</w:t>
      </w:r>
      <w:r>
        <w:t xml:space="preserve"> </w:t>
      </w:r>
      <w:r>
        <w:rPr>
          <w:bCs/>
          <w:b/>
        </w:rPr>
        <w:t xml:space="preserve">Master workbook</w:t>
      </w:r>
      <w:r>
        <w:t xml:space="preserve">,</w:t>
      </w:r>
      <w:r>
        <w:t xml:space="preserve"> </w:t>
      </w:r>
      <w:r>
        <w:rPr>
          <w:rStyle w:val="VerbatimChar"/>
        </w:rPr>
        <w:t xml:space="preserve">excel_ai/active_workbooks/CPAT-AI-Master_UserGuide.xlsm</w:t>
      </w:r>
      <w:r>
        <w:t xml:space="preserve">, which is also the user guide. The mitigation module ships as</w:t>
      </w:r>
      <w:r>
        <w:t xml:space="preserve"> </w:t>
      </w:r>
      <w:r>
        <w:rPr>
          <w:rStyle w:val="VerbatimChar"/>
        </w:rPr>
        <w:t xml:space="preserve">excel_ai/mitigation/CPAT-AI-Mitigation_latest.xlsx</w:t>
      </w:r>
      <w:r>
        <w:t xml:space="preserve"> </w:t>
      </w:r>
      <w:r>
        <w:t xml:space="preserve">(every version in</w:t>
      </w:r>
      <w:r>
        <w:t xml:space="preserve"> </w:t>
      </w:r>
      <w:r>
        <w:rPr>
          <w:rStyle w:val="VerbatimChar"/>
        </w:rPr>
        <w:t xml:space="preserve">excel_ai/mitigation/releases/</w:t>
      </w:r>
      <w:r>
        <w:t xml:space="preserve">) with formulas to 2035, so it is small and quick to open; the Master</w:t>
      </w:r>
      <w:r>
        <w:t xml:space="preserve"> </w:t>
      </w:r>
      <w:r>
        <w:rPr>
          <w:bCs/>
          <w:b/>
        </w:rPr>
        <w:t xml:space="preserve">activates</w:t>
      </w:r>
      <w:r>
        <w:t xml:space="preserve"> </w:t>
      </w:r>
      <w:r>
        <w:t xml:space="preserve">it into the workbook you work in,</w:t>
      </w:r>
      <w:r>
        <w:t xml:space="preserve"> </w:t>
      </w:r>
      <w:r>
        <w:rPr>
          <w:rStyle w:val="VerbatimChar"/>
        </w:rPr>
        <w:t xml:space="preserve">excel_ai/active_workbooks/CPAT-AI-Mitigation_latest.xlsb</w:t>
      </w:r>
      <w:r>
        <w:t xml:space="preserve">, with formulas to 2041.</w:t>
      </w:r>
    </w:p>
    <w:p>
      <w:pPr>
        <w:numPr>
          <w:ilvl w:val="0"/>
          <w:numId w:val="1002"/>
        </w:numPr>
        <w:pStyle w:val="Compact"/>
      </w:pPr>
      <w:r>
        <w:rPr>
          <w:bCs/>
          <w:b/>
        </w:rPr>
        <w:t xml:space="preserve">Get the files.</w:t>
      </w:r>
      <w:r>
        <w:t xml:space="preserve"> </w:t>
      </w:r>
      <w:r>
        <w:t xml:space="preserve">Keep the repository clone up to date (git, or the SyncRepo script). The Master finds the modules in the clone (else it downloads them from GitHub, the links of its module table).</w:t>
      </w:r>
    </w:p>
    <w:p>
      <w:pPr>
        <w:numPr>
          <w:ilvl w:val="0"/>
          <w:numId w:val="1002"/>
        </w:numPr>
        <w:pStyle w:val="Compact"/>
      </w:pPr>
      <w:r>
        <w:rPr>
          <w:bCs/>
          <w:b/>
        </w:rPr>
        <w:t xml:space="preserve">Open the Master</w:t>
      </w:r>
      <w:r>
        <w:t xml:space="preserve"> </w:t>
      </w:r>
      <w:r>
        <w:t xml:space="preserve">(</w:t>
      </w:r>
      <w:r>
        <w:rPr>
          <w:rStyle w:val="VerbatimChar"/>
        </w:rPr>
        <w:t xml:space="preserve">active_workbooks/CPAT-AI-Master_UserGuide.xlsm</w:t>
      </w:r>
      <w:r>
        <w:t xml:space="preserve">) in Excel 365 and enable macros (if the file was downloaded, unblock it first: file Properties &gt; Unblock). Its tab</w:t>
      </w:r>
      <w:r>
        <w:t xml:space="preserve"> </w:t>
      </w:r>
      <w:r>
        <w:rPr>
          <w:rStyle w:val="VerbatimChar"/>
        </w:rPr>
        <w:t xml:space="preserve">UserGuide</w:t>
      </w:r>
      <w:r>
        <w:t xml:space="preserve"> </w:t>
      </w:r>
      <w:r>
        <w:t xml:space="preserve">lists each module (latest version, the</w:t>
      </w:r>
      <w:r>
        <w:t xml:space="preserve"> </w:t>
      </w:r>
      <w:r>
        <w:rPr>
          <w:rStyle w:val="VerbatimChar"/>
        </w:rPr>
        <w:t xml:space="preserve">.xlsx</w:t>
      </w:r>
      <w:r>
        <w:t xml:space="preserve">, its GitHub link, the</w:t>
      </w:r>
      <w:r>
        <w:t xml:space="preserve"> </w:t>
      </w:r>
      <w:r>
        <w:rPr>
          <w:rStyle w:val="VerbatimChar"/>
        </w:rPr>
        <w:t xml:space="preserve">.xlsb</w:t>
      </w:r>
      <w:r>
        <w:t xml:space="preserve"> </w:t>
      </w:r>
      <w:r>
        <w:t xml:space="preserve">it writes, when it was last activated) and has the buttons.</w:t>
      </w:r>
    </w:p>
    <w:p>
      <w:pPr>
        <w:numPr>
          <w:ilvl w:val="0"/>
          <w:numId w:val="1002"/>
        </w:numPr>
        <w:pStyle w:val="Compact"/>
      </w:pPr>
      <w:r>
        <w:rPr>
          <w:bCs/>
          <w:b/>
        </w:rPr>
        <w:t xml:space="preserve">Activate:</w:t>
      </w:r>
      <w:r>
        <w:t xml:space="preserve"> </w:t>
      </w:r>
      <w:r>
        <w:t xml:space="preserve">click</w:t>
      </w:r>
      <w:r>
        <w:t xml:space="preserve"> </w:t>
      </w:r>
      <w:r>
        <w:rPr>
          <w:iCs/>
          <w:i/>
        </w:rPr>
        <w:t xml:space="preserve">Activate Mitigation</w:t>
      </w:r>
      <w:r>
        <w:t xml:space="preserve"> </w:t>
      </w:r>
      <w:r>
        <w:t xml:space="preserve">(or</w:t>
      </w:r>
      <w:r>
        <w:t xml:space="preserve"> </w:t>
      </w:r>
      <w:r>
        <w:rPr>
          <w:iCs/>
          <w:i/>
        </w:rPr>
        <w:t xml:space="preserve">Activate all modules</w:t>
      </w:r>
      <w:r>
        <w:t xml:space="preserve">). The Master opens the</w:t>
      </w:r>
      <w:r>
        <w:t xml:space="preserve"> </w:t>
      </w:r>
      <w:r>
        <w:rPr>
          <w:rStyle w:val="VerbatimChar"/>
        </w:rPr>
        <w:t xml:space="preserve">.xlsx</w:t>
      </w:r>
      <w:r>
        <w:t xml:space="preserve">, copies the 2035 column of each scenario group of</w:t>
      </w:r>
      <w:r>
        <w:t xml:space="preserve"> </w:t>
      </w:r>
      <w:r>
        <w:rPr>
          <w:rStyle w:val="VerbatimChar"/>
        </w:rPr>
        <w:t xml:space="preserve">Mitigation</w:t>
      </w:r>
      <w:r>
        <w:t xml:space="preserve"> </w:t>
      </w:r>
      <w:r>
        <w:t xml:space="preserve">and</w:t>
      </w:r>
      <w:r>
        <w:t xml:space="preserve"> </w:t>
      </w:r>
      <w:r>
        <w:rPr>
          <w:rStyle w:val="VerbatimChar"/>
        </w:rPr>
        <w:t xml:space="preserve">MTOutputs</w:t>
      </w:r>
      <w:r>
        <w:t xml:space="preserve"> </w:t>
      </w:r>
      <w:r>
        <w:t xml:space="preserve">across to 2041, records the activation on the module’s tab</w:t>
      </w:r>
      <w:r>
        <w:t xml:space="preserve"> </w:t>
      </w:r>
      <w:r>
        <w:rPr>
          <w:rStyle w:val="VerbatimChar"/>
        </w:rPr>
        <w:t xml:space="preserve">FromMaster</w:t>
      </w:r>
      <w:r>
        <w:t xml:space="preserve">, recalculates fully and saves</w:t>
      </w:r>
      <w:r>
        <w:t xml:space="preserve"> </w:t>
      </w:r>
      <w:r>
        <w:rPr>
          <w:rStyle w:val="VerbatimChar"/>
        </w:rPr>
        <w:t xml:space="preserve">CPAT-AI-Mitigation_latest.xlsb</w:t>
      </w:r>
      <w:r>
        <w:t xml:space="preserve"> </w:t>
      </w:r>
      <w:r>
        <w:t xml:space="preserve">next to itself. The workbook stays open. Activate again whenever a new</w:t>
      </w:r>
      <w:r>
        <w:t xml:space="preserve"> </w:t>
      </w:r>
      <w:r>
        <w:rPr>
          <w:rStyle w:val="VerbatimChar"/>
        </w:rPr>
        <w:t xml:space="preserve">.xlsx</w:t>
      </w:r>
      <w:r>
        <w:t xml:space="preserve"> </w:t>
      </w:r>
      <w:r>
        <w:t xml:space="preserve">arrives; the</w:t>
      </w:r>
      <w:r>
        <w:t xml:space="preserve"> </w:t>
      </w:r>
      <w:r>
        <w:rPr>
          <w:rStyle w:val="VerbatimChar"/>
        </w:rPr>
        <w:t xml:space="preserve">.xlsb</w:t>
      </w:r>
      <w:r>
        <w:t xml:space="preserve"> </w:t>
      </w:r>
      <w:r>
        <w:t xml:space="preserve">is a generated file (never merge it on a git conflict: take either side and activate again).</w:t>
      </w:r>
    </w:p>
    <w:p>
      <w:pPr>
        <w:numPr>
          <w:ilvl w:val="0"/>
          <w:numId w:val="1002"/>
        </w:numPr>
        <w:pStyle w:val="Compact"/>
      </w:pPr>
      <w:r>
        <w:rPr>
          <w:bCs/>
          <w:b/>
        </w:rPr>
        <w:t xml:space="preserve">Work in the</w:t>
      </w:r>
      <w:r>
        <w:rPr>
          <w:bCs/>
          <w:b/>
        </w:rPr>
        <w:t xml:space="preserve"> </w:t>
      </w:r>
      <w:r>
        <w:rPr>
          <w:rStyle w:val="VerbatimChar"/>
          <w:bCs/>
          <w:b/>
        </w:rPr>
        <w:t xml:space="preserve">.xlsb</w:t>
      </w:r>
      <w:r>
        <w:rPr>
          <w:bCs/>
          <w:b/>
        </w:rPr>
        <w:t xml:space="preserve">.</w:t>
      </w:r>
      <w:r>
        <w:t xml:space="preserve"> </w:t>
      </w:r>
      <w:r>
        <w:t xml:space="preserve">It is in manual calculation:</w:t>
      </w:r>
      <w:r>
        <w:t xml:space="preserve"> </w:t>
      </w:r>
      <w:r>
        <w:rPr>
          <w:bCs/>
          <w:b/>
        </w:rPr>
        <w:t xml:space="preserve">press F9 after any change</w:t>
      </w:r>
      <w:r>
        <w:t xml:space="preserve"> </w:t>
      </w:r>
      <w:r>
        <w:t xml:space="preserve">(Ctrl+Alt+F9 for a full recalculation).</w:t>
      </w:r>
    </w:p>
    <w:p>
      <w:pPr>
        <w:numPr>
          <w:ilvl w:val="0"/>
          <w:numId w:val="1002"/>
        </w:numPr>
        <w:pStyle w:val="Compact"/>
      </w:pPr>
      <w:r>
        <w:rPr>
          <w:bCs/>
          <w:b/>
        </w:rPr>
        <w:t xml:space="preserve">Change a policy</w:t>
      </w:r>
      <w:r>
        <w:t xml:space="preserve"> </w:t>
      </w:r>
      <w:r>
        <w:t xml:space="preserve">on</w:t>
      </w:r>
      <w:r>
        <w:t xml:space="preserve"> </w:t>
      </w:r>
      <w:r>
        <w:rPr>
          <w:rStyle w:val="VerbatimChar"/>
        </w:rPr>
        <w:t xml:space="preserve">ScenarioDefinition</w:t>
      </w:r>
      <w:r>
        <w:t xml:space="preserve"> </w:t>
      </w:r>
      <w:r>
        <w:t xml:space="preserve">(the legacy MTInputs rows). Column J is the baseline, column K the live policy scenario: for example change</w:t>
      </w:r>
      <w:r>
        <w:t xml:space="preserve"> </w:t>
      </w:r>
      <w:r>
        <w:rPr>
          <w:rStyle w:val="VerbatimChar"/>
        </w:rPr>
        <w:t xml:space="preserve">CPLevelTarget</w:t>
      </w:r>
      <w:r>
        <w:t xml:space="preserve"> </w:t>
      </w:r>
      <w:r>
        <w:t xml:space="preserve">(the carbon price in the target year), then F9. Columns L onwards are scenario definitions for the batch run.</w:t>
      </w:r>
    </w:p>
    <w:p>
      <w:pPr>
        <w:numPr>
          <w:ilvl w:val="0"/>
          <w:numId w:val="1002"/>
        </w:numPr>
        <w:pStyle w:val="Compact"/>
      </w:pPr>
      <w:r>
        <w:rPr>
          <w:bCs/>
          <w:b/>
        </w:rPr>
        <w:t xml:space="preserve">Read the results</w:t>
      </w:r>
      <w:r>
        <w:t xml:space="preserve"> </w:t>
      </w:r>
      <w:r>
        <w:t xml:space="preserve">on</w:t>
      </w:r>
      <w:r>
        <w:t xml:space="preserve"> </w:t>
      </w:r>
      <w:r>
        <w:rPr>
          <w:rStyle w:val="VerbatimChar"/>
        </w:rPr>
        <w:t xml:space="preserve">MTOutputs</w:t>
      </w:r>
      <w:r>
        <w:t xml:space="preserve"> </w:t>
      </w:r>
      <w:r>
        <w:t xml:space="preserve">(every scenario group side by side, by output code) and</w:t>
      </w:r>
      <w:r>
        <w:t xml:space="preserve"> </w:t>
      </w:r>
      <w:r>
        <w:rPr>
          <w:rStyle w:val="VerbatimChar"/>
        </w:rPr>
        <w:t xml:space="preserve">ScenarioCompare</w:t>
      </w:r>
      <w:r>
        <w:t xml:space="preserve"> </w:t>
      </w:r>
      <w:r>
        <w:t xml:space="preserve">(the dashboard: choose the year; key table and time-series charts of the live scenarios against the baseline).</w:t>
      </w:r>
    </w:p>
    <w:p>
      <w:pPr>
        <w:numPr>
          <w:ilvl w:val="0"/>
          <w:numId w:val="1002"/>
        </w:numPr>
        <w:pStyle w:val="Compact"/>
      </w:pPr>
      <w:r>
        <w:rPr>
          <w:bCs/>
          <w:b/>
        </w:rPr>
        <w:t xml:space="preserve">Store and compare scenarios</w:t>
      </w:r>
      <w:r>
        <w:t xml:space="preserve"> </w:t>
      </w:r>
      <w:r>
        <w:t xml:space="preserve">in the Master:</w:t>
      </w:r>
      <w:r>
        <w:t xml:space="preserve"> </w:t>
      </w:r>
      <w:r>
        <w:rPr>
          <w:iCs/>
          <w:i/>
        </w:rPr>
        <w:t xml:space="preserve">Store live scenarios</w:t>
      </w:r>
      <w:r>
        <w:t xml:space="preserve"> </w:t>
      </w:r>
      <w:r>
        <w:t xml:space="preserve">copies the scenario groups of</w:t>
      </w:r>
      <w:r>
        <w:t xml:space="preserve"> </w:t>
      </w:r>
      <w:r>
        <w:rPr>
          <w:rStyle w:val="VerbatimChar"/>
        </w:rPr>
        <w:t xml:space="preserve">MTOutputs</w:t>
      </w:r>
      <w:r>
        <w:t xml:space="preserve"> </w:t>
      </w:r>
      <w:r>
        <w:t xml:space="preserve">into its</w:t>
      </w:r>
      <w:r>
        <w:t xml:space="preserve"> </w:t>
      </w:r>
      <w:r>
        <w:rPr>
          <w:rStyle w:val="VerbatimChar"/>
        </w:rPr>
        <w:t xml:space="preserve">StoredScenarios</w:t>
      </w:r>
      <w:r>
        <w:t xml:space="preserve"> </w:t>
      </w:r>
      <w:r>
        <w:t xml:space="preserve">(values, ten slots);</w:t>
      </w:r>
      <w:r>
        <w:t xml:space="preserve"> </w:t>
      </w:r>
      <w:r>
        <w:rPr>
          <w:iCs/>
          <w:i/>
        </w:rPr>
        <w:t xml:space="preserve">Run stored scenarios</w:t>
      </w:r>
      <w:r>
        <w:t xml:space="preserve"> </w:t>
      </w:r>
      <w:r>
        <w:t xml:space="preserve">runs every definition with Run? = Yes through the live column K (ETS goal seek where needed) and stores each;</w:t>
      </w:r>
      <w:r>
        <w:t xml:space="preserve"> </w:t>
      </w:r>
      <w:r>
        <w:rPr>
          <w:rStyle w:val="VerbatimChar"/>
        </w:rPr>
        <w:t xml:space="preserve">CompareStored</w:t>
      </w:r>
      <w:r>
        <w:t xml:space="preserve"> </w:t>
      </w:r>
      <w:r>
        <w:t xml:space="preserve">compares them.</w:t>
      </w:r>
      <w:r>
        <w:t xml:space="preserve"> </w:t>
      </w:r>
      <w:r>
        <w:rPr>
          <w:iCs/>
          <w:i/>
        </w:rPr>
        <w:t xml:space="preserve">Clear stored scenarios</w:t>
      </w:r>
      <w:r>
        <w:t xml:space="preserve"> </w:t>
      </w:r>
      <w:r>
        <w:t xml:space="preserve">empties every slot but the baseline.</w:t>
      </w:r>
    </w:p>
    <w:p>
      <w:pPr>
        <w:numPr>
          <w:ilvl w:val="0"/>
          <w:numId w:val="1002"/>
        </w:numPr>
        <w:pStyle w:val="Compact"/>
      </w:pPr>
      <w:r>
        <w:rPr>
          <w:bCs/>
          <w:b/>
        </w:rPr>
        <w:t xml:space="preserve">Update the data</w:t>
      </w:r>
      <w:r>
        <w:t xml:space="preserve"> </w:t>
      </w:r>
      <w:r>
        <w:t xml:space="preserve">in the Master: choose the data source and the rows (one country or all countries) on its tab</w:t>
      </w:r>
      <w:r>
        <w:t xml:space="preserve"> </w:t>
      </w:r>
      <w:r>
        <w:rPr>
          <w:rStyle w:val="VerbatimChar"/>
        </w:rPr>
        <w:t xml:space="preserve">Settings</w:t>
      </w:r>
      <w:r>
        <w:t xml:space="preserve">, then</w:t>
      </w:r>
      <w:r>
        <w:t xml:space="preserve"> </w:t>
      </w:r>
      <w:r>
        <w:rPr>
          <w:iCs/>
          <w:i/>
        </w:rPr>
        <w:t xml:space="preserve">Update data tables</w:t>
      </w:r>
      <w:r>
        <w:t xml:space="preserve"> </w:t>
      </w:r>
      <w:r>
        <w:t xml:space="preserve">(Power Query). The mitigation workbook records the source on</w:t>
      </w:r>
      <w:r>
        <w:t xml:space="preserve"> </w:t>
      </w:r>
      <w:r>
        <w:rPr>
          <w:rStyle w:val="VerbatimChar"/>
        </w:rPr>
        <w:t xml:space="preserve">FromMaster</w:t>
      </w:r>
      <w:r>
        <w:t xml:space="preserve">; the status is on its</w:t>
      </w:r>
      <w:r>
        <w:t xml:space="preserve"> </w:t>
      </w:r>
      <w:r>
        <w:rPr>
          <w:rStyle w:val="VerbatimChar"/>
        </w:rPr>
        <w:t xml:space="preserve">Cover</w:t>
      </w:r>
      <w:r>
        <w:t xml:space="preserve">.</w:t>
      </w:r>
    </w:p>
    <w:p>
      <w:pPr>
        <w:numPr>
          <w:ilvl w:val="0"/>
          <w:numId w:val="1002"/>
        </w:numPr>
        <w:pStyle w:val="Compact"/>
      </w:pPr>
      <w:r>
        <w:rPr>
          <w:bCs/>
          <w:b/>
        </w:rPr>
        <w:t xml:space="preserve">Distribution:</w:t>
      </w:r>
      <w:r>
        <w:t xml:space="preserve"> </w:t>
      </w:r>
      <w:r>
        <w:t xml:space="preserve">activate the distribution module too, then</w:t>
      </w:r>
      <w:r>
        <w:t xml:space="preserve"> </w:t>
      </w:r>
      <w:r>
        <w:rPr>
          <w:iCs/>
          <w:i/>
        </w:rPr>
        <w:t xml:space="preserve">Update Distribution from Mitigation</w:t>
      </w:r>
      <w:r>
        <w:t xml:space="preserve"> </w:t>
      </w:r>
      <w:r>
        <w:t xml:space="preserve">copies section 19a of the activated mitigation workbook into it, recalculates and saves it.</w:t>
      </w:r>
    </w:p>
    <w:p>
      <w:pPr>
        <w:pStyle w:val="FirstParagraph"/>
      </w:pPr>
      <w:r>
        <w:t xml:space="preserve">Run a module for a particular country on your local drive; a workbook holding real data is never committed.</w:t>
      </w:r>
    </w:p>
    <w:p>
      <w:pPr>
        <w:pStyle w:val="BodyText"/>
      </w:pPr>
      <w:r>
        <w:t xml:space="preserve">The tabs, left to right: the front (</w:t>
      </w:r>
      <w:r>
        <w:rPr>
          <w:rStyle w:val="VerbatimChar"/>
        </w:rPr>
        <w:t xml:space="preserve">Cover</w:t>
      </w:r>
      <w:r>
        <w:t xml:space="preserve">,</w:t>
      </w:r>
      <w:r>
        <w:t xml:space="preserve"> </w:t>
      </w:r>
      <w:r>
        <w:rPr>
          <w:rStyle w:val="VerbatimChar"/>
        </w:rPr>
        <w:t xml:space="preserve">ScenarioDefinition</w:t>
      </w:r>
      <w:r>
        <w:t xml:space="preserve">),</w:t>
      </w:r>
      <w:r>
        <w:t xml:space="preserve"> </w:t>
      </w:r>
      <w:r>
        <w:rPr>
          <w:rStyle w:val="VerbatimChar"/>
        </w:rPr>
        <w:t xml:space="preserve">MAIN-&gt;&gt;</w:t>
      </w:r>
      <w:r>
        <w:t xml:space="preserve"> </w:t>
      </w:r>
      <w:r>
        <w:t xml:space="preserve">(</w:t>
      </w:r>
      <w:r>
        <w:rPr>
          <w:rStyle w:val="VerbatimChar"/>
        </w:rPr>
        <w:t xml:space="preserve">Mitigation</w:t>
      </w:r>
      <w:r>
        <w:t xml:space="preserve">),</w:t>
      </w:r>
      <w:r>
        <w:t xml:space="preserve"> </w:t>
      </w:r>
      <w:r>
        <w:rPr>
          <w:rStyle w:val="VerbatimChar"/>
        </w:rPr>
        <w:t xml:space="preserve">OUTPUT-&gt;&gt;</w:t>
      </w:r>
      <w:r>
        <w:t xml:space="preserve"> </w:t>
      </w:r>
      <w:r>
        <w:t xml:space="preserve">(</w:t>
      </w:r>
      <w:r>
        <w:rPr>
          <w:rStyle w:val="VerbatimChar"/>
        </w:rPr>
        <w:t xml:space="preserve">MTOutputs</w:t>
      </w:r>
      <w:r>
        <w:t xml:space="preserve">,</w:t>
      </w:r>
      <w:r>
        <w:t xml:space="preserve"> </w:t>
      </w:r>
      <w:r>
        <w:rPr>
          <w:rStyle w:val="VerbatimChar"/>
        </w:rPr>
        <w:t xml:space="preserve">ScenarioCompare</w:t>
      </w:r>
      <w:r>
        <w:t xml:space="preserve">),</w:t>
      </w:r>
      <w:r>
        <w:t xml:space="preserve"> </w:t>
      </w:r>
      <w:r>
        <w:rPr>
          <w:rStyle w:val="VerbatimChar"/>
        </w:rPr>
        <w:t xml:space="preserve">INPUTS-&gt;&gt;</w:t>
      </w:r>
      <w:r>
        <w:t xml:space="preserve"> </w:t>
      </w:r>
      <w:r>
        <w:t xml:space="preserve">(</w:t>
      </w:r>
      <w:r>
        <w:rPr>
          <w:rStyle w:val="VerbatimChar"/>
        </w:rPr>
        <w:t xml:space="preserve">Manual inputs</w:t>
      </w:r>
      <w:r>
        <w:t xml:space="preserve">,</w:t>
      </w:r>
      <w:r>
        <w:t xml:space="preserve"> </w:t>
      </w:r>
      <w:r>
        <w:rPr>
          <w:rStyle w:val="VerbatimChar"/>
        </w:rPr>
        <w:t xml:space="preserve">Constants and Mappings</w:t>
      </w:r>
      <w:r>
        <w:t xml:space="preserve">),</w:t>
      </w:r>
      <w:r>
        <w:t xml:space="preserve"> </w:t>
      </w:r>
      <w:r>
        <w:rPr>
          <w:rStyle w:val="VerbatimChar"/>
        </w:rPr>
        <w:t xml:space="preserve">OTHER MODULES-&gt;&gt;</w:t>
      </w:r>
      <w:r>
        <w:t xml:space="preserve"> </w:t>
      </w:r>
      <w:r>
        <w:t xml:space="preserve">(</w:t>
      </w:r>
      <w:r>
        <w:rPr>
          <w:rStyle w:val="VerbatimChar"/>
        </w:rPr>
        <w:t xml:space="preserve">FromMaster</w:t>
      </w:r>
      <w:r>
        <w:t xml:space="preserve">,</w:t>
      </w:r>
      <w:r>
        <w:t xml:space="preserve"> </w:t>
      </w:r>
      <w:r>
        <w:rPr>
          <w:rStyle w:val="VerbatimChar"/>
        </w:rPr>
        <w:t xml:space="preserve">FromAirPollution</w:t>
      </w:r>
      <w:r>
        <w:t xml:space="preserve">,</w:t>
      </w:r>
      <w:r>
        <w:t xml:space="preserve"> </w:t>
      </w:r>
      <w:r>
        <w:rPr>
          <w:rStyle w:val="VerbatimChar"/>
        </w:rPr>
        <w:t xml:space="preserve">FromTransportCB</w:t>
      </w:r>
      <w:r>
        <w:t xml:space="preserve">), the data tabs (</w:t>
      </w:r>
      <w:r>
        <w:rPr>
          <w:rStyle w:val="VerbatimChar"/>
        </w:rPr>
        <w:t xml:space="preserve">DATA_MITIGATION-&gt;&gt;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w:t>
      </w:r>
      <w:r>
        <w:t xml:space="preserve"> </w:t>
      </w:r>
      <w:r>
        <w:rPr>
          <w:rStyle w:val="VerbatimChar"/>
        </w:rPr>
        <w:t xml:space="preserve">DATA_OTHER-&gt;&gt;</w:t>
      </w:r>
      <w:r>
        <w:t xml:space="preserve">: legacy tables, unchanged) and</w:t>
      </w:r>
      <w:r>
        <w:t xml:space="preserve"> </w:t>
      </w:r>
      <w:r>
        <w:rPr>
          <w:rStyle w:val="VerbatimChar"/>
        </w:rPr>
        <w:t xml:space="preserve">REF-&gt;&gt;</w:t>
      </w:r>
      <w:r>
        <w:t xml:space="preserve"> </w:t>
      </w:r>
      <w:r>
        <w:t xml:space="preserve">(version log, differences with legacy, variable dictionary and LAMBDAs).</w:t>
      </w:r>
    </w:p>
    <w:bookmarkEnd w:id="21"/>
    <w:bookmarkStart w:id="32" w:name="how-it-works"/>
    <w:p>
      <w:pPr>
        <w:pStyle w:val="Heading1"/>
      </w:pPr>
      <w:r>
        <w:t xml:space="preserve">3. How it works</w:t>
      </w:r>
    </w:p>
    <w:p>
      <w:pPr>
        <w:pStyle w:val="FirstParagraph"/>
      </w:pPr>
      <w:r>
        <w:t xml:space="preserve">The</w:t>
      </w:r>
      <w:r>
        <w:t xml:space="preserve"> </w:t>
      </w:r>
      <w:r>
        <w:rPr>
          <w:rStyle w:val="VerbatimChar"/>
        </w:rPr>
        <w:t xml:space="preserve">Mitigation</w:t>
      </w:r>
      <w:r>
        <w:t xml:space="preserve"> </w:t>
      </w:r>
      <w:r>
        <w:t xml:space="preserve">tab runs top to bottom, one section per step, with the section numbers of legacy CPAT. The method of each block, with its equations and pseudocode, is in the website’s CPAT-AI Model tab (</w:t>
      </w:r>
      <w:hyperlink r:id="rId22">
        <w:r>
          <w:rPr>
            <w:rStyle w:val="Hyperlink"/>
          </w:rPr>
          <w:t xml:space="preserve">https://cpmodelai.github.io/cpat_ai/#model</w:t>
        </w:r>
      </w:hyperlink>
      <w:r>
        <w:t xml:space="preserve">; sources</w:t>
      </w:r>
      <w:r>
        <w:t xml:space="preserve"> </w:t>
      </w:r>
      <w:r>
        <w:rPr>
          <w:rStyle w:val="VerbatimChar"/>
        </w:rPr>
        <w:t xml:space="preserve">docs/CPAT_model_documentation_qmd/</w:t>
      </w:r>
      <w:r>
        <w:t xml:space="preserve">), shared with CPAT Python; the Word Methods volume (</w:t>
      </w:r>
      <w:r>
        <w:rPr>
          <w:rStyle w:val="VerbatimChar"/>
        </w:rPr>
        <w:t xml:space="preserve">docs/methods/</w:t>
      </w:r>
      <w:r>
        <w:t xml:space="preserve">) is the compact version. Each scenario is a group of columns: group 1 is the baseline, group 2 the live scenario (further groups: copy group 2 to the right; MTOutputs has room for four). Years run across, 2022 to 2041.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Step</w:t>
            </w:r>
          </w:p>
        </w:tc>
        <w:tc>
          <w:tcPr/>
          <w:p>
            <w:pPr>
              <w:pStyle w:val="Compact"/>
              <w:jc w:val="left"/>
            </w:pPr>
            <w:r>
              <w:t xml:space="preserve">Methods chapter</w:t>
            </w:r>
          </w:p>
        </w:tc>
      </w:tr>
      <w:tr>
        <w:tc>
          <w:tcPr/>
          <w:p>
            <w:pPr>
              <w:pStyle w:val="Compact"/>
              <w:jc w:val="left"/>
            </w:pPr>
            <w:r>
              <w:t xml:space="preserve">1</w:t>
            </w:r>
          </w:p>
        </w:tc>
        <w:tc>
          <w:tcPr/>
          <w:p>
            <w:pPr>
              <w:pStyle w:val="Compact"/>
              <w:jc w:val="left"/>
            </w:pPr>
            <w:r>
              <w:t xml:space="preserve">Policies: the price signals of each policy</w:t>
            </w:r>
          </w:p>
        </w:tc>
        <w:tc>
          <w:tcPr/>
          <w:p>
            <w:pPr>
              <w:pStyle w:val="Compact"/>
              <w:jc w:val="left"/>
            </w:pPr>
            <w:r>
              <w:t xml:space="preserve">Prices</w:t>
            </w:r>
          </w:p>
        </w:tc>
      </w:tr>
      <w:tr>
        <w:tc>
          <w:tcPr/>
          <w:p>
            <w:pPr>
              <w:pStyle w:val="Compact"/>
              <w:jc w:val="left"/>
            </w:pPr>
            <w:r>
              <w:t xml:space="preserve">2</w:t>
            </w:r>
          </w:p>
        </w:tc>
        <w:tc>
          <w:tcPr/>
          <w:p>
            <w:pPr>
              <w:pStyle w:val="Compact"/>
              <w:jc w:val="left"/>
            </w:pPr>
            <w:r>
              <w:t xml:space="preserve">Retail energy prices before and after policies</w:t>
            </w:r>
          </w:p>
        </w:tc>
        <w:tc>
          <w:tcPr/>
          <w:p>
            <w:pPr>
              <w:pStyle w:val="Compact"/>
              <w:jc w:val="left"/>
            </w:pPr>
            <w:r>
              <w:t xml:space="preserve">Prices</w:t>
            </w:r>
          </w:p>
        </w:tc>
      </w:tr>
      <w:tr>
        <w:tc>
          <w:tcPr/>
          <w:p>
            <w:pPr>
              <w:pStyle w:val="Compact"/>
              <w:jc w:val="left"/>
            </w:pPr>
            <w:r>
              <w:t xml:space="preserve">3</w:t>
            </w:r>
          </w:p>
        </w:tc>
        <w:tc>
          <w:tcPr/>
          <w:p>
            <w:pPr>
              <w:pStyle w:val="Compact"/>
              <w:jc w:val="left"/>
            </w:pPr>
            <w:r>
              <w:t xml:space="preserve">Power: demand, dispatch, investment, electricity prices</w:t>
            </w:r>
          </w:p>
        </w:tc>
        <w:tc>
          <w:tcPr/>
          <w:p>
            <w:pPr>
              <w:pStyle w:val="Compact"/>
              <w:jc w:val="left"/>
            </w:pPr>
            <w:r>
              <w:t xml:space="preserve">Power</w:t>
            </w:r>
          </w:p>
        </w:tc>
      </w:tr>
      <w:tr>
        <w:tc>
          <w:tcPr/>
          <w:p>
            <w:pPr>
              <w:pStyle w:val="Compact"/>
              <w:jc w:val="left"/>
            </w:pPr>
            <w:r>
              <w:t xml:space="preserve">5, 5b</w:t>
            </w:r>
          </w:p>
        </w:tc>
        <w:tc>
          <w:tcPr/>
          <w:p>
            <w:pPr>
              <w:pStyle w:val="Compact"/>
              <w:jc w:val="left"/>
            </w:pPr>
            <w:r>
              <w:t xml:space="preserve">Transport, and the optional road engineer model</w:t>
            </w:r>
          </w:p>
        </w:tc>
        <w:tc>
          <w:tcPr/>
          <w:p>
            <w:pPr>
              <w:pStyle w:val="Compact"/>
              <w:jc w:val="left"/>
            </w:pPr>
            <w:r>
              <w:t xml:space="preserve">Transport</w:t>
            </w:r>
          </w:p>
        </w:tc>
      </w:tr>
      <w:tr>
        <w:tc>
          <w:tcPr/>
          <w:p>
            <w:pPr>
              <w:pStyle w:val="Compact"/>
              <w:jc w:val="left"/>
            </w:pPr>
            <w:r>
              <w:t xml:space="preserve">6, 6b, 7, 8</w:t>
            </w:r>
          </w:p>
        </w:tc>
        <w:tc>
          <w:tcPr/>
          <w:p>
            <w:pPr>
              <w:pStyle w:val="Compact"/>
              <w:jc w:val="left"/>
            </w:pPr>
            <w:r>
              <w:t xml:space="preserve">Buildings, residential leakage to biomass, industry, other energy use</w:t>
            </w:r>
          </w:p>
        </w:tc>
        <w:tc>
          <w:tcPr/>
          <w:p>
            <w:pPr>
              <w:pStyle w:val="Compact"/>
              <w:jc w:val="left"/>
            </w:pPr>
            <w:r>
              <w:t xml:space="preserve">Appendix A</w:t>
            </w:r>
          </w:p>
        </w:tc>
      </w:tr>
      <w:tr>
        <w:tc>
          <w:tcPr/>
          <w:p>
            <w:pPr>
              <w:pStyle w:val="Compact"/>
              <w:jc w:val="left"/>
            </w:pPr>
            <w:r>
              <w:t xml:space="preserve">11</w:t>
            </w:r>
          </w:p>
        </w:tc>
        <w:tc>
          <w:tcPr/>
          <w:p>
            <w:pPr>
              <w:pStyle w:val="Compact"/>
              <w:jc w:val="left"/>
            </w:pPr>
            <w:r>
              <w:t xml:space="preserve">Energy consumption totals</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Revenues</w:t>
            </w:r>
          </w:p>
        </w:tc>
        <w:tc>
          <w:tcPr/>
          <w:p>
            <w:pPr>
              <w:pStyle w:val="Compact"/>
              <w:jc w:val="left"/>
            </w:pPr>
            <w:r>
              <w:t xml:space="preserve">Macro and results</w:t>
            </w:r>
          </w:p>
        </w:tc>
      </w:tr>
      <w:tr>
        <w:tc>
          <w:tcPr/>
          <w:p>
            <w:pPr>
              <w:pStyle w:val="Compact"/>
              <w:jc w:val="left"/>
            </w:pPr>
            <w:r>
              <w:t xml:space="preserve">13, 14, 15</w:t>
            </w:r>
          </w:p>
        </w:tc>
        <w:tc>
          <w:tcPr/>
          <w:p>
            <w:pPr>
              <w:pStyle w:val="Compact"/>
              <w:jc w:val="left"/>
            </w:pPr>
            <w:r>
              <w:t xml:space="preserve">CO₂, other greenhouse gases, local air pollutants</w:t>
            </w:r>
          </w:p>
        </w:tc>
        <w:tc>
          <w:tcPr/>
          <w:p>
            <w:pPr>
              <w:pStyle w:val="Compact"/>
              <w:jc w:val="left"/>
            </w:pPr>
            <w:r>
              <w:t xml:space="preserve">Emissions</w:t>
            </w:r>
          </w:p>
        </w:tc>
      </w:tr>
      <w:tr>
        <w:tc>
          <w:tcPr/>
          <w:p>
            <w:pPr>
              <w:pStyle w:val="Compact"/>
              <w:jc w:val="left"/>
            </w:pPr>
            <w:r>
              <w:t xml:space="preserve">16, 17, 18</w:t>
            </w:r>
          </w:p>
        </w:tc>
        <w:tc>
          <w:tcPr/>
          <w:p>
            <w:pPr>
              <w:pStyle w:val="Compact"/>
              <w:jc w:val="left"/>
            </w:pPr>
            <w:r>
              <w:t xml:space="preserve">GDP effects, carbon pricing indicators, welfare</w:t>
            </w:r>
          </w:p>
        </w:tc>
        <w:tc>
          <w:tcPr/>
          <w:p>
            <w:pPr>
              <w:pStyle w:val="Compact"/>
              <w:jc w:val="left"/>
            </w:pPr>
            <w:r>
              <w:t xml:space="preserve">Macro and results</w:t>
            </w:r>
          </w:p>
        </w:tc>
      </w:tr>
    </w:tbl>
    <w:bookmarkStart w:id="23" w:name="policies-section-1"/>
    <w:p>
      <w:pPr>
        <w:pStyle w:val="Heading2"/>
      </w:pPr>
      <w:r>
        <w:t xml:space="preserve">3.1 Policies (section 1)</w:t>
      </w:r>
    </w:p>
    <w:p>
      <w:pPr>
        <w:pStyle w:val="FirstParagraph"/>
      </w:pPr>
      <w:r>
        <w:t xml:space="preserve">Each policy is a path from a start year to a target year, set per scenario on</w:t>
      </w:r>
      <w:r>
        <w:t xml:space="preserve"> </w:t>
      </w:r>
      <w:r>
        <w:rPr>
          <w:rStyle w:val="VerbatimChar"/>
        </w:rPr>
        <w:t xml:space="preserve">ScenarioDefinition</w:t>
      </w:r>
      <w:r>
        <w:t xml:space="preserve">. The carbon price follows that path:</w:t>
      </w:r>
    </w:p>
    <w:p>
      <w:pPr>
        <w:pStyle w:val="SourceCode"/>
      </w:pPr>
      <w:r>
        <w:rPr>
          <w:rStyle w:val="VerbatimChar"/>
        </w:rPr>
        <w:t xml:space="preserve">τ(t) = path(t; start year, target year, start level, target level) · (CPI index if the inputs are nominal)</w:t>
      </w:r>
    </w:p>
    <w:p>
      <w:pPr>
        <w:pStyle w:val="FirstParagraph"/>
      </w:pPr>
      <w:r>
        <w:t xml:space="preserve">A new ETS starts at a price estimate and is checked against its cap (the goal seek refines it). Feebates act through a shadow price, which changes efficiency but raises no revenue. Existing carbon taxes and ETS prices come from the World Bank Carbon Pricing Dashboard data.</w:t>
      </w:r>
    </w:p>
    <w:p>
      <w:pPr>
        <w:pStyle w:val="BodyText"/>
      </w:pPr>
      <w:r>
        <w:rPr>
          <w:iCs/>
          <w:i/>
        </w:rPr>
        <w:t xml:space="preserve">Details: Methods, chapter Prices; chapter ETS.</w:t>
      </w:r>
    </w:p>
    <w:bookmarkEnd w:id="23"/>
    <w:bookmarkStart w:id="24" w:name="energy-prices-section-2"/>
    <w:p>
      <w:pPr>
        <w:pStyle w:val="Heading2"/>
      </w:pPr>
      <w:r>
        <w:t xml:space="preserve">3.2 Energy prices (section 2)</w:t>
      </w:r>
    </w:p>
    <w:p>
      <w:pPr>
        <w:pStyle w:val="FirstParagraph"/>
      </w:pPr>
      <w:r>
        <w:t xml:space="preserve">For each fuel and sector, the retail price builds up from the international price:</w:t>
      </w:r>
    </w:p>
    <w:p>
      <w:pPr>
        <w:pStyle w:val="SourceCode"/>
      </w:pPr>
      <w:r>
        <w:rPr>
          <w:rStyle w:val="VerbatimChar"/>
        </w:rPr>
        <w:t xml:space="preserve">supply cost  C(t) = fixed part + (C(t−1) − fixed part) · international price(t) / international price(t−1)</w:t>
      </w:r>
      <w:r>
        <w:br/>
      </w:r>
      <w:r>
        <w:rPr>
          <w:rStyle w:val="VerbatimChar"/>
        </w:rPr>
        <w:t xml:space="preserve">retail price R    = (C + excise and other taxes) · (1 + VAT)</w:t>
      </w:r>
      <w:r>
        <w:br/>
      </w:r>
      <w:r>
        <w:rPr>
          <w:rStyle w:val="VerbatimChar"/>
        </w:rPr>
        <w:t xml:space="preserve">after policy P    = R + new carbon tax + ETS price + new excise, each with VAT</w:t>
      </w:r>
    </w:p>
    <w:p>
      <w:pPr>
        <w:pStyle w:val="FirstParagraph"/>
      </w:pPr>
      <w:r>
        <w:t xml:space="preserve">Subsidies are negative taxes. Historical prices come from the IMF price data up to the last historical year (2022, as legacy); later years are projected.</w:t>
      </w:r>
    </w:p>
    <w:p>
      <w:pPr>
        <w:pStyle w:val="BodyText"/>
      </w:pPr>
      <w:r>
        <w:rPr>
          <w:iCs/>
          <w:i/>
        </w:rPr>
        <w:t xml:space="preserve">Details: Methods, chapter Prices.</w:t>
      </w:r>
    </w:p>
    <w:bookmarkEnd w:id="24"/>
    <w:bookmarkStart w:id="25" w:name="energy-demand-sections-5-8-11"/>
    <w:p>
      <w:pPr>
        <w:pStyle w:val="Heading2"/>
      </w:pPr>
      <w:r>
        <w:t xml:space="preserve">3.3 Energy demand (sections 5-8, 11)</w:t>
      </w:r>
    </w:p>
    <w:p>
      <w:pPr>
        <w:pStyle w:val="FirstParagraph"/>
      </w:pPr>
      <w:r>
        <w:t xml:space="preserve">Fuel use in each sector changes each year with income, its own price and efficiency:</w:t>
      </w:r>
    </w:p>
    <w:p>
      <w:pPr>
        <w:pStyle w:val="SourceCode"/>
      </w:pPr>
      <w:r>
        <w:rPr>
          <w:rStyle w:val="VerbatimChar"/>
        </w:rPr>
        <w:t xml:space="preserve">Q(t) = Q(t−1) · (efficiency gain) · (1 + GDP growth)^(income elasticity) · (P(t)/P(t−1))^(price elasticity) · (efficiency response to prices)</w:t>
      </w:r>
    </w:p>
    <w:p>
      <w:pPr>
        <w:pStyle w:val="FirstParagraph"/>
      </w:pPr>
      <w:r>
        <w:t xml:space="preserve">The elasticities are legacy CPAT’s. Section 11 adds up fuel use by sector and fuel, including the fuel burnt in power plants.</w:t>
      </w:r>
    </w:p>
    <w:p>
      <w:pPr>
        <w:pStyle w:val="BodyText"/>
      </w:pPr>
      <w:r>
        <w:rPr>
          <w:iCs/>
          <w:i/>
        </w:rPr>
        <w:t xml:space="preserve">Details: Methods, appendix A (equations, section 4); chapter Transport for road.</w:t>
      </w:r>
    </w:p>
    <w:bookmarkEnd w:id="25"/>
    <w:bookmarkStart w:id="26" w:name="power-section-3"/>
    <w:p>
      <w:pPr>
        <w:pStyle w:val="Heading2"/>
      </w:pPr>
      <w:r>
        <w:t xml:space="preserve">3.4 Power (section 3)</w:t>
      </w:r>
    </w:p>
    <w:p>
      <w:pPr>
        <w:pStyle w:val="FirstParagraph"/>
      </w:pPr>
      <w:r>
        <w:t xml:space="preserve">Electricity demand comes from the sectors. The power model, as legacy’s engineer model, decides each year:</w:t>
      </w:r>
    </w:p>
    <w:p>
      <w:pPr>
        <w:numPr>
          <w:ilvl w:val="0"/>
          <w:numId w:val="1003"/>
        </w:numPr>
        <w:pStyle w:val="Compact"/>
      </w:pPr>
      <w:r>
        <w:rPr>
          <w:bCs/>
          <w:b/>
        </w:rPr>
        <w:t xml:space="preserve">Dispatch:</w:t>
      </w:r>
      <w:r>
        <w:t xml:space="preserve"> </w:t>
      </w:r>
      <w:r>
        <w:t xml:space="preserve">which plants run, by their variable cost (fuel, carbon price, operation).</w:t>
      </w:r>
    </w:p>
    <w:p>
      <w:pPr>
        <w:numPr>
          <w:ilvl w:val="0"/>
          <w:numId w:val="1003"/>
        </w:numPr>
        <w:pStyle w:val="Compact"/>
      </w:pPr>
      <w:r>
        <w:rPr>
          <w:bCs/>
          <w:b/>
        </w:rPr>
        <w:t xml:space="preserve">Investment:</w:t>
      </w:r>
      <w:r>
        <w:t xml:space="preserve"> </w:t>
      </w:r>
      <w:r>
        <w:t xml:space="preserve">new capacity by technology, chosen by levelised cost with a logit share, within scale-up limits.</w:t>
      </w:r>
    </w:p>
    <w:p>
      <w:pPr>
        <w:numPr>
          <w:ilvl w:val="0"/>
          <w:numId w:val="1003"/>
        </w:numPr>
        <w:pStyle w:val="Compact"/>
      </w:pPr>
      <w:r>
        <w:rPr>
          <w:bCs/>
          <w:b/>
        </w:rPr>
        <w:t xml:space="preserve">Prices:</w:t>
      </w:r>
      <w:r>
        <w:t xml:space="preserve"> </w:t>
      </w:r>
      <w:r>
        <w:t xml:space="preserve">electricity prices from the cost of generation, with taxes, subsidies and price controls.</w:t>
      </w:r>
    </w:p>
    <w:p>
      <w:pPr>
        <w:pStyle w:val="FirstParagraph"/>
      </w:pPr>
      <w:r>
        <w:t xml:space="preserve">Power-sector policies (no new coal, nuclear from a year, renewable subsidies, PPAs, rebating revenue, an electricity excise) are set per scenario.</w:t>
      </w:r>
    </w:p>
    <w:p>
      <w:pPr>
        <w:pStyle w:val="BodyText"/>
      </w:pPr>
      <w:r>
        <w:rPr>
          <w:iCs/>
          <w:i/>
        </w:rPr>
        <w:t xml:space="preserve">Details: Methods, chapter Power.</w:t>
      </w:r>
    </w:p>
    <w:bookmarkEnd w:id="26"/>
    <w:bookmarkStart w:id="27" w:name="road-transport-sections-5-5b"/>
    <w:p>
      <w:pPr>
        <w:pStyle w:val="Heading2"/>
      </w:pPr>
      <w:r>
        <w:t xml:space="preserve">3.5 Road transport (sections 5, 5b)</w:t>
      </w:r>
    </w:p>
    <w:p>
      <w:pPr>
        <w:pStyle w:val="FirstParagraph"/>
      </w:pPr>
      <w:r>
        <w:t xml:space="preserve">By default road fuel use follows the demand elasticities, as every other sector. With</w:t>
      </w:r>
      <w:r>
        <w:t xml:space="preserve"> </w:t>
      </w:r>
      <w:r>
        <w:rPr>
          <w:rStyle w:val="VerbatimChar"/>
        </w:rPr>
        <w:t xml:space="preserve">TrModel</w:t>
      </w:r>
      <w:r>
        <w:t xml:space="preserve"> </w:t>
      </w:r>
      <w:r>
        <w:t xml:space="preserve">= Engineer, the road engineer model replaces it: vehicle stocks by class, cost of ownership, the choice between combustion and electric vehicles, and vehicle policies (feebates, EV subsidies, purchase taxes, distance tax).</w:t>
      </w:r>
    </w:p>
    <w:p>
      <w:pPr>
        <w:pStyle w:val="BodyText"/>
      </w:pPr>
      <w:r>
        <w:rPr>
          <w:iCs/>
          <w:i/>
        </w:rPr>
        <w:t xml:space="preserve">Details: Methods, chapter Transport.</w:t>
      </w:r>
    </w:p>
    <w:bookmarkEnd w:id="27"/>
    <w:bookmarkStart w:id="28" w:name="revenues-section-12"/>
    <w:p>
      <w:pPr>
        <w:pStyle w:val="Heading2"/>
      </w:pPr>
      <w:r>
        <w:t xml:space="preserve">3.6 Revenues (section 12)</w:t>
      </w:r>
    </w:p>
    <w:p>
      <w:pPr>
        <w:pStyle w:val="FirstParagraph"/>
      </w:pPr>
      <w:r>
        <w:t xml:space="preserve">Revenue is fuel use times the tax per unit, by fuel and sector, for existing taxes, existing subsidies (negative) and new policies:</w:t>
      </w:r>
    </w:p>
    <w:p>
      <w:pPr>
        <w:pStyle w:val="SourceCode"/>
      </w:pPr>
      <w:r>
        <w:rPr>
          <w:rStyle w:val="VerbatimChar"/>
        </w:rPr>
        <w:t xml:space="preserve">revenue from new policies = fuel use · (carbon tax + excise + auctioned share · ETS price + VAT on them)</w:t>
      </w:r>
      <w:r>
        <w:br/>
      </w:r>
      <w:r>
        <w:rPr>
          <w:rStyle w:val="VerbatimChar"/>
        </w:rPr>
        <w:t xml:space="preserve">total revenue             = existing taxes + subsidies + new policies + methane fee</w:t>
      </w:r>
    </w:p>
    <w:p>
      <w:pPr>
        <w:pStyle w:val="FirstParagraph"/>
      </w:pPr>
      <w:r>
        <w:t xml:space="preserve">The power sector adds its own revenue and subsidies. Feebates are revenue neutral.</w:t>
      </w:r>
    </w:p>
    <w:p>
      <w:pPr>
        <w:pStyle w:val="BodyText"/>
      </w:pPr>
      <w:r>
        <w:rPr>
          <w:iCs/>
          <w:i/>
        </w:rPr>
        <w:t xml:space="preserve">Details: Methods, chapter Macro and results.</w:t>
      </w:r>
    </w:p>
    <w:bookmarkEnd w:id="28"/>
    <w:bookmarkStart w:id="29" w:name="emissions-sections-13-15"/>
    <w:p>
      <w:pPr>
        <w:pStyle w:val="Heading2"/>
      </w:pPr>
      <w:r>
        <w:t xml:space="preserve">3.7 Emissions (sections 13-15)</w:t>
      </w:r>
    </w:p>
    <w:p>
      <w:pPr>
        <w:pStyle w:val="SourceCode"/>
      </w:pPr>
      <w:r>
        <w:rPr>
          <w:rStyle w:val="VerbatimChar"/>
        </w:rPr>
        <w:t xml:space="preserve">CO₂ = fuel use · emission factor        (factors optionally calibrated to the GHG inventory)</w:t>
      </w:r>
    </w:p>
    <w:p>
      <w:pPr>
        <w:pStyle w:val="FirstParagraph"/>
      </w:pPr>
      <w:r>
        <w:t xml:space="preserve">Other greenhouse gases (methane, nitrous oxide, F-gases) follow their drivers; methane from fuel supply responds to the methane fee. Local air pollutants (fine particles, sulphur and nitrogen oxides, and others) are fuel use times pollutant factors.</w:t>
      </w:r>
    </w:p>
    <w:p>
      <w:pPr>
        <w:pStyle w:val="BodyText"/>
      </w:pPr>
      <w:r>
        <w:rPr>
          <w:iCs/>
          <w:i/>
        </w:rPr>
        <w:t xml:space="preserve">Details: Methods, chapter Emissions.</w:t>
      </w:r>
    </w:p>
    <w:bookmarkEnd w:id="29"/>
    <w:bookmarkStart w:id="30" w:name="X635412f5ce879631d5354ae87e640895b1c3b66"/>
    <w:p>
      <w:pPr>
        <w:pStyle w:val="Heading2"/>
      </w:pPr>
      <w:r>
        <w:t xml:space="preserve">3.8 GDP, carbon pricing indicators, welfare (sections 16-18)</w:t>
      </w:r>
    </w:p>
    <w:p>
      <w:pPr>
        <w:pStyle w:val="FirstParagraph"/>
      </w:pPr>
      <w:r>
        <w:t xml:space="preserve">New revenue is fiscal space. How it is used (tax cuts, investment, transfers) moves GDP through fiscal multipliers, one year later:</w:t>
      </w:r>
    </w:p>
    <w:p>
      <w:pPr>
        <w:pStyle w:val="SourceCode"/>
      </w:pPr>
      <w:r>
        <w:rPr>
          <w:rStyle w:val="VerbatimChar"/>
        </w:rPr>
        <w:t xml:space="preserve">fiscal space fs(t)  = (new revenue in the scenario − in the baseline) / GDP</w:t>
      </w:r>
      <w:r>
        <w:br/>
      </w:r>
      <w:r>
        <w:rPr>
          <w:rStyle w:val="VerbatimChar"/>
        </w:rPr>
        <w:t xml:space="preserve">GDP effect          = Σ over uses: share of the use · Σ over lags (change in fs · multiplier of the use)</w:t>
      </w:r>
    </w:p>
    <w:p>
      <w:pPr>
        <w:pStyle w:val="FirstParagraph"/>
      </w:pPr>
      <w:r>
        <w:t xml:space="preserve">Section 17 reports carbon prices and coverage; section 18 the welfare effects and the gap to the NDC.</w:t>
      </w:r>
    </w:p>
    <w:p>
      <w:pPr>
        <w:pStyle w:val="BodyText"/>
      </w:pPr>
      <w:r>
        <w:rPr>
          <w:iCs/>
          <w:i/>
        </w:rPr>
        <w:t xml:space="preserve">Details: Methods, chapter Macro and results.</w:t>
      </w:r>
    </w:p>
    <w:bookmarkEnd w:id="30"/>
    <w:bookmarkStart w:id="31" w:name="exports-to-the-other-modules-section-19"/>
    <w:p>
      <w:pPr>
        <w:pStyle w:val="Heading2"/>
      </w:pPr>
      <w:r>
        <w:t xml:space="preserve">3.9 Exports to the other modules (section 19)</w:t>
      </w:r>
    </w:p>
    <w:p>
      <w:pPr>
        <w:pStyle w:val="FirstParagraph"/>
      </w:pPr>
      <w:r>
        <w:t xml:space="preserve">Section 19 holds what the other modules read, by code: section 19a (defined name</w:t>
      </w:r>
      <w:r>
        <w:t xml:space="preserve"> </w:t>
      </w:r>
      <w:r>
        <w:rPr>
          <w:rStyle w:val="VerbatimChar"/>
        </w:rPr>
        <w:t xml:space="preserve">ExportDistn</w:t>
      </w:r>
      <w:r>
        <w:t xml:space="preserve">) is the input of the Distribution module (household effects by decile in one analysis year: price changes reach households directly and indirectly, revenue recycling offsets them). The Master copies it into the distribution workbook (</w:t>
      </w:r>
      <w:r>
        <w:rPr>
          <w:iCs/>
          <w:i/>
        </w:rPr>
        <w:t xml:space="preserve">Update Distribution from Mitigation</w:t>
      </w:r>
      <w:r>
        <w:t xml:space="preserve">).</w:t>
      </w:r>
    </w:p>
    <w:p>
      <w:pPr>
        <w:pStyle w:val="BodyText"/>
      </w:pPr>
      <w:r>
        <w:rPr>
          <w:iCs/>
          <w:i/>
        </w:rPr>
        <w:t xml:space="preserve">Details: CPAT-AI Model, chapter Distribution;</w:t>
      </w:r>
      <w:r>
        <w:rPr>
          <w:iCs/>
          <w:i/>
        </w:rPr>
        <w:t xml:space="preserve"> </w:t>
      </w:r>
      <w:r>
        <w:rPr>
          <w:rStyle w:val="VerbatimChar"/>
          <w:iCs/>
          <w:i/>
        </w:rPr>
        <w:t xml:space="preserve">excel_ai/distribution/README.md</w:t>
      </w:r>
      <w:r>
        <w:rPr>
          <w:iCs/>
          <w:i/>
        </w:rPr>
        <w:t xml:space="preserve">.</w:t>
      </w:r>
    </w:p>
    <w:bookmarkEnd w:id="31"/>
    <w:bookmarkEnd w:id="32"/>
    <w:bookmarkStart w:id="33" w:name="results-and-the-dashboard"/>
    <w:p>
      <w:pPr>
        <w:pStyle w:val="Heading1"/>
      </w:pPr>
      <w:r>
        <w:t xml:space="preserve">4. Results and the dashboard</w:t>
      </w:r>
    </w:p>
    <w:p>
      <w:pPr>
        <w:numPr>
          <w:ilvl w:val="0"/>
          <w:numId w:val="1004"/>
        </w:numPr>
        <w:pStyle w:val="Compact"/>
      </w:pPr>
      <w:r>
        <w:rPr>
          <w:bCs/>
          <w:b/>
        </w:rPr>
        <w:t xml:space="preserve">MTOutputs</w:t>
      </w:r>
      <w:r>
        <w:t xml:space="preserve"> </w:t>
      </w:r>
      <w:r>
        <w:t xml:space="preserve">shows the key results of every live scenario side by side, in the columns of the scenario groups of</w:t>
      </w:r>
      <w:r>
        <w:t xml:space="preserve"> </w:t>
      </w:r>
      <w:r>
        <w:rPr>
          <w:rStyle w:val="VerbatimChar"/>
        </w:rPr>
        <w:t xml:space="preserve">Mitigation</w:t>
      </w:r>
      <w:r>
        <w:t xml:space="preserve"> </w:t>
      </w:r>
      <w:r>
        <w:t xml:space="preserve">(row 5: the scenario number; rows as legacy MTOutputs, then the outputs legacy does not list, by topic). Every row carries a code (for example</w:t>
      </w:r>
      <w:r>
        <w:t xml:space="preserve"> </w:t>
      </w:r>
      <w:r>
        <w:rPr>
          <w:rStyle w:val="VerbatimChar"/>
        </w:rPr>
        <w:t xml:space="preserve">egy.mit.co2.tot.tot.2</w:t>
      </w:r>
      <w:r>
        <w:t xml:space="preserve">: country, module, variable, sector, fuel, scenario), the same codes as the Python model.</w:t>
      </w:r>
    </w:p>
    <w:p>
      <w:pPr>
        <w:numPr>
          <w:ilvl w:val="0"/>
          <w:numId w:val="1004"/>
        </w:numPr>
        <w:pStyle w:val="Compact"/>
      </w:pPr>
      <w:r>
        <w:rPr>
          <w:bCs/>
          <w:b/>
        </w:rPr>
        <w:t xml:space="preserve">ScenarioCompare</w:t>
      </w:r>
      <w:r>
        <w:t xml:space="preserve"> </w:t>
      </w:r>
      <w:r>
        <w:t xml:space="preserve">(the dashboard) reads MTOutputs only (live results): one slot per scenario group, the year, a key table (energy CO₂, GHGs, revenue, GDP effect and welfare: level, difference and % difference from the baseline) and four time series with their line charts; the title of each is a dropdown of indicators.</w:t>
      </w:r>
    </w:p>
    <w:p>
      <w:pPr>
        <w:numPr>
          <w:ilvl w:val="0"/>
          <w:numId w:val="1004"/>
        </w:numPr>
        <w:pStyle w:val="Compact"/>
      </w:pPr>
      <w:r>
        <w:rPr>
          <w:bCs/>
          <w:b/>
        </w:rPr>
        <w:t xml:space="preserve">Stored results</w:t>
      </w:r>
      <w:r>
        <w:t xml:space="preserve"> </w:t>
      </w:r>
      <w:r>
        <w:t xml:space="preserve">are in the Master:</w:t>
      </w:r>
      <w:r>
        <w:t xml:space="preserve"> </w:t>
      </w:r>
      <w:r>
        <w:rPr>
          <w:rStyle w:val="VerbatimChar"/>
        </w:rPr>
        <w:t xml:space="preserve">StoredScenarios</w:t>
      </w:r>
      <w:r>
        <w:t xml:space="preserve"> </w:t>
      </w:r>
      <w:r>
        <w:t xml:space="preserve">(values, MTOutputs’ rows, ten slots) and</w:t>
      </w:r>
      <w:r>
        <w:t xml:space="preserve"> </w:t>
      </w:r>
      <w:r>
        <w:rPr>
          <w:rStyle w:val="VerbatimChar"/>
        </w:rPr>
        <w:t xml:space="preserve">CompareStored</w:t>
      </w:r>
      <w:r>
        <w:t xml:space="preserve"> </w:t>
      </w:r>
      <w:r>
        <w:t xml:space="preserve">(the stored scenarios against the baseline, for a chosen year).</w:t>
      </w:r>
    </w:p>
    <w:bookmarkEnd w:id="33"/>
    <w:bookmarkStart w:id="34" w:name="limits-and-differences-from-legacy"/>
    <w:p>
      <w:pPr>
        <w:pStyle w:val="Heading1"/>
      </w:pPr>
      <w:r>
        <w:t xml:space="preserve">5. Limits and differences from legacy</w:t>
      </w:r>
    </w:p>
    <w:p>
      <w:pPr>
        <w:pStyle w:val="FirstParagraph"/>
      </w:pPr>
      <w:r>
        <w:t xml:space="preserve">The rule: never replicate a legacy bug; always replicate a legacy issue, and track it. A</w:t>
      </w:r>
      <w:r>
        <w:t xml:space="preserve"> </w:t>
      </w:r>
      <w:r>
        <w:rPr>
          <w:bCs/>
          <w:b/>
        </w:rPr>
        <w:t xml:space="preserve">bug</w:t>
      </w:r>
      <w:r>
        <w:t xml:space="preserve"> </w:t>
      </w:r>
      <w:r>
        <w:t xml:space="preserve">(L) is legacy computing what it does not intend; the prototype fixes it. An</w:t>
      </w:r>
      <w:r>
        <w:t xml:space="preserve"> </w:t>
      </w:r>
      <w:r>
        <w:rPr>
          <w:bCs/>
          <w:b/>
        </w:rPr>
        <w:t xml:space="preserve">issue</w:t>
      </w:r>
      <w:r>
        <w:t xml:space="preserve"> </w:t>
      </w:r>
      <w:r>
        <w:t xml:space="preserve">(I) is legacy doing what it means to, where the choice is open to question; the prototype does the same. Problems of the input data are issues too (area Data): where legacy reads the data wrongly, the formula fix is a bug with a cell plan and the issue is Very high; where no cell plan is possible, the prototype does exactly what legacy does and the issue is Extremely high (Appendix B). Every item has a code; the codes are explained in Appendix A.</w:t>
      </w:r>
    </w:p>
    <w:p>
      <w:pPr>
        <w:numPr>
          <w:ilvl w:val="0"/>
          <w:numId w:val="1005"/>
        </w:numPr>
        <w:pStyle w:val="Compact"/>
      </w:pPr>
      <w:r>
        <w:rPr>
          <w:bCs/>
          <w:b/>
        </w:rPr>
        <w:t xml:space="preserve">Legacy bugs:</w:t>
      </w:r>
      <w:r>
        <w:t xml:space="preserve"> </w:t>
      </w:r>
      <w:r>
        <w:t xml:space="preserve">the prototype fixes every one, in every module (mitigation, distribution, the inputs). The bugs, with the cell-level fix for legacy CPAT and the status of each in the latest legacy file</w:t>
      </w:r>
      <w:r>
        <w:t xml:space="preserve"> </w:t>
      </w:r>
      <w:r>
        <w:rPr>
          <w:rStyle w:val="VerbatimChar"/>
        </w:rPr>
        <w:t xml:space="preserve">CPAT 1.0pre_465</w:t>
      </w:r>
      <w:r>
        <w:t xml:space="preserve">, are in</w:t>
      </w:r>
      <w:r>
        <w:t xml:space="preserve"> </w:t>
      </w:r>
      <w:r>
        <w:rPr>
          <w:rStyle w:val="VerbatimChar"/>
        </w:rPr>
        <w:t xml:space="preserve">excel_ai/bugs_and_legacy/Legacy_CPAT_Bugs_v&lt;version&gt;.docx</w:t>
      </w:r>
      <w:r>
        <w:t xml:space="preserve">; the master list of bugs and issues is the tracker</w:t>
      </w:r>
      <w:r>
        <w:t xml:space="preserve"> </w:t>
      </w:r>
      <w:r>
        <w:rPr>
          <w:rStyle w:val="VerbatimChar"/>
        </w:rPr>
        <w:t xml:space="preserve">excel_ai/bugs_and_legacy/Tracking_Legacy_Bugs_v&lt;version&gt;.xlsx</w:t>
      </w:r>
      <w:r>
        <w:t xml:space="preserve">.</w:t>
      </w:r>
    </w:p>
    <w:p>
      <w:pPr>
        <w:numPr>
          <w:ilvl w:val="0"/>
          <w:numId w:val="1005"/>
        </w:numPr>
        <w:pStyle w:val="Compact"/>
      </w:pPr>
      <w:r>
        <w:rPr>
          <w:bCs/>
          <w:b/>
        </w:rPr>
        <w:t xml:space="preserve">Issues (data problems first), departures, prototype bugs and upgrades:</w:t>
      </w:r>
      <w:r>
        <w:t xml:space="preserve"> </w:t>
      </w:r>
      <w:r>
        <w:t xml:space="preserve">the appendices below (and the tracker, tab Issues).</w:t>
      </w:r>
    </w:p>
    <w:p>
      <w:pPr>
        <w:numPr>
          <w:ilvl w:val="0"/>
          <w:numId w:val="1005"/>
        </w:numPr>
        <w:pStyle w:val="Compact"/>
      </w:pPr>
      <w:r>
        <w:rPr>
          <w:bCs/>
          <w:b/>
        </w:rPr>
        <w:t xml:space="preserve">Legacy row numbers in the Methods volume</w:t>
      </w:r>
      <w:r>
        <w:t xml:space="preserve"> </w:t>
      </w:r>
      <w:r>
        <w:t xml:space="preserve">are rows of</w:t>
      </w:r>
      <w:r>
        <w:t xml:space="preserve"> </w:t>
      </w:r>
      <w:r>
        <w:rPr>
          <w:rStyle w:val="VerbatimChar"/>
        </w:rPr>
        <w:t xml:space="preserve">CPAT 1.0pre_456_NoPropData.xlsb</w:t>
      </w:r>
      <w:r>
        <w:t xml:space="preserve">, the file the prototype was built and checked against (its data extracts read that file). In</w:t>
      </w:r>
      <w:r>
        <w:t xml:space="preserve"> </w:t>
      </w:r>
      <w:r>
        <w:rPr>
          <w:rStyle w:val="VerbatimChar"/>
        </w:rPr>
        <w:t xml:space="preserve">CPAT 1.0pre_465</w:t>
      </w:r>
      <w:r>
        <w:t xml:space="preserve"> </w:t>
      </w:r>
      <w:r>
        <w:t xml:space="preserve">Mitigation rows from 5667 on sit 11 to 15 rows higher. The input sheet ScenarioDefinition has the rows of the 465 MTInputs.</w:t>
      </w:r>
    </w:p>
    <w:p>
      <w:pPr>
        <w:numPr>
          <w:ilvl w:val="0"/>
          <w:numId w:val="1005"/>
        </w:numPr>
        <w:pStyle w:val="Compact"/>
      </w:pPr>
      <w:r>
        <w:rPr>
          <w:bCs/>
          <w:b/>
        </w:rPr>
        <w:t xml:space="preserve">Not built:</w:t>
      </w:r>
      <w:r>
        <w:t xml:space="preserve"> </w:t>
      </w:r>
      <w:r>
        <w:t xml:space="preserve">a few legacy features (upgrades, Appendix E), and the air-pollution co-benefits and transport externalities modules.</w:t>
      </w:r>
    </w:p>
    <w:p>
      <w:pPr>
        <w:numPr>
          <w:ilvl w:val="0"/>
          <w:numId w:val="1005"/>
        </w:numPr>
        <w:pStyle w:val="Compact"/>
      </w:pPr>
      <w:r>
        <w:rPr>
          <w:bCs/>
          <w:b/>
        </w:rPr>
        <w:t xml:space="preserve">Data:</w:t>
      </w:r>
      <w:r>
        <w:t xml:space="preserve"> </w:t>
      </w:r>
      <w:r>
        <w:t xml:space="preserve">the shipped data are Egypt’s; proprietary tables for other countries must be pasted in or linked (issue I90).</w:t>
      </w:r>
    </w:p>
    <w:bookmarkEnd w:id="34"/>
    <w:bookmarkStart w:id="35" w:name="appendix-a.-the-register-bugs-and-issues"/>
    <w:p>
      <w:pPr>
        <w:pStyle w:val="Heading1"/>
      </w:pPr>
      <w:r>
        <w:t xml:space="preserve">Appendix A. The register: bugs and issues</w:t>
      </w:r>
    </w:p>
    <w:p>
      <w:pPr>
        <w:pStyle w:val="FirstParagraph"/>
      </w:pPr>
      <w:r>
        <w:t xml:space="preserve">Every bug and issue of legacy CPAT and of the prototypes has a code. The master list is the tracker</w:t>
      </w:r>
      <w:r>
        <w:t xml:space="preserve"> </w:t>
      </w:r>
      <w:r>
        <w:rPr>
          <w:rStyle w:val="VerbatimChar"/>
        </w:rPr>
        <w:t xml:space="preserve">excel_ai/bugs_and_legacy/Tracking_Legacy_Bugs_v1.2.0.xlsx</w:t>
      </w:r>
      <w:r>
        <w:t xml:space="preserve"> </w:t>
      </w:r>
      <w:r>
        <w:t xml:space="preserve">(tabs Bugs and Issues, every module in the same columns); the bugs are documented in</w:t>
      </w:r>
      <w:r>
        <w:t xml:space="preserve"> </w:t>
      </w:r>
      <w:r>
        <w:rPr>
          <w:rStyle w:val="VerbatimChar"/>
        </w:rPr>
        <w:t xml:space="preserve">excel_ai/bugs_and_legacy/Legacy_CPAT_Bugs_v1.2.0.docx</w:t>
      </w:r>
      <w:r>
        <w:t xml:space="preserve">, the rest in these appendices. Codes renumbered in v0.8.4 give their former code.</w:t>
      </w:r>
    </w:p>
    <w:tbl>
      <w:tblPr>
        <w:tblStyle w:val="Table"/>
        <w:tblW w:type="pct" w:w="5000"/>
        <w:tblLook w:firstRow="1" w:lastRow="0" w:firstColumn="0" w:lastColumn="0" w:noHBand="0" w:noVBand="0" w:val="0020"/>
        <w:jc w:val="start"/>
      </w:tblPr>
      <w:tblGrid>
        <w:gridCol w:w="465"/>
        <w:gridCol w:w="465"/>
        <w:gridCol w:w="3727"/>
        <w:gridCol w:w="1863"/>
        <w:gridCol w:w="1397"/>
      </w:tblGrid>
      <w:tr>
        <w:trPr>
          <w:tblHeader w:val="true"/>
        </w:trPr>
        <w:tc>
          <w:tcPr/>
          <w:p>
            <w:pPr>
              <w:pStyle w:val="Compact"/>
              <w:jc w:val="left"/>
            </w:pPr>
            <w:r>
              <w:t xml:space="preserve">Code</w:t>
            </w:r>
          </w:p>
        </w:tc>
        <w:tc>
          <w:tcPr/>
          <w:p>
            <w:pPr>
              <w:pStyle w:val="Compact"/>
              <w:jc w:val="left"/>
            </w:pPr>
            <w:r>
              <w:t xml:space="preserve">Number</w:t>
            </w:r>
          </w:p>
        </w:tc>
        <w:tc>
          <w:tcPr/>
          <w:p>
            <w:pPr>
              <w:pStyle w:val="Compact"/>
              <w:jc w:val="left"/>
            </w:pPr>
            <w:r>
              <w:t xml:space="preserve">Kind</w:t>
            </w:r>
          </w:p>
        </w:tc>
        <w:tc>
          <w:tcPr/>
          <w:p>
            <w:pPr>
              <w:pStyle w:val="Compact"/>
              <w:jc w:val="left"/>
            </w:pPr>
            <w:r>
              <w:t xml:space="preserve">What the prototype does</w:t>
            </w:r>
          </w:p>
        </w:tc>
        <w:tc>
          <w:tcPr/>
          <w:p>
            <w:pPr>
              <w:pStyle w:val="Compact"/>
              <w:jc w:val="left"/>
            </w:pPr>
            <w:r>
              <w:t xml:space="preserve">Where</w:t>
            </w:r>
          </w:p>
        </w:tc>
      </w:tr>
      <w:tr>
        <w:tc>
          <w:tcPr/>
          <w:p>
            <w:pPr>
              <w:pStyle w:val="Compact"/>
              <w:jc w:val="left"/>
            </w:pPr>
            <w:r>
              <w:t xml:space="preserve">L</w:t>
            </w:r>
          </w:p>
        </w:tc>
        <w:tc>
          <w:tcPr/>
          <w:p>
            <w:pPr>
              <w:pStyle w:val="Compact"/>
              <w:jc w:val="left"/>
            </w:pPr>
            <w:r>
              <w:t xml:space="preserve">231</w:t>
            </w:r>
          </w:p>
        </w:tc>
        <w:tc>
          <w:tcPr/>
          <w:p>
            <w:pPr>
              <w:pStyle w:val="Compact"/>
              <w:jc w:val="left"/>
            </w:pPr>
            <w:r>
              <w:t xml:space="preserve">Legacy bug: legacy CPAT does not compute what it means to (a wrong row, a double application, a dead reference, a blank read as 0 where a value is meant); the fix is a change of formulas, with a cell plan.</w:t>
            </w:r>
          </w:p>
        </w:tc>
        <w:tc>
          <w:tcPr/>
          <w:p>
            <w:pPr>
              <w:pStyle w:val="Compact"/>
              <w:jc w:val="left"/>
            </w:pPr>
            <w:r>
              <w:t xml:space="preserve">Fixes it; never replicated.</w:t>
            </w:r>
          </w:p>
        </w:tc>
        <w:tc>
          <w:tcPr/>
          <w:p>
            <w:pPr>
              <w:pStyle w:val="Compact"/>
              <w:jc w:val="left"/>
            </w:pPr>
            <w:r>
              <w:t xml:space="preserve">Legacy CPAT bugs document</w:t>
            </w:r>
          </w:p>
        </w:tc>
      </w:tr>
      <w:tr>
        <w:tc>
          <w:tcPr/>
          <w:p>
            <w:pPr>
              <w:pStyle w:val="Compact"/>
              <w:jc w:val="left"/>
            </w:pPr>
            <w:r>
              <w:t xml:space="preserve">M</w:t>
            </w:r>
          </w:p>
        </w:tc>
        <w:tc>
          <w:tcPr/>
          <w:p>
            <w:pPr>
              <w:pStyle w:val="Compact"/>
              <w:jc w:val="left"/>
            </w:pPr>
            <w:r>
              <w:t xml:space="preserve">22</w:t>
            </w:r>
          </w:p>
        </w:tc>
        <w:tc>
          <w:tcPr/>
          <w:p>
            <w:pPr>
              <w:pStyle w:val="Compact"/>
              <w:jc w:val="left"/>
            </w:pPr>
            <w:r>
              <w:t xml:space="preserve">Prototype bug: a defect of the prototype itself, found during development or by Coded CPAT’s replication (user 2026-10-29).</w:t>
            </w:r>
          </w:p>
        </w:tc>
        <w:tc>
          <w:tcPr/>
          <w:p>
            <w:pPr>
              <w:pStyle w:val="Compact"/>
              <w:jc w:val="left"/>
            </w:pPr>
            <w:r>
              <w:t xml:space="preserve">Fixed; an open one is listed with its fix, and Coded CPAT replicates it until the prototype is fixed.</w:t>
            </w:r>
          </w:p>
        </w:tc>
        <w:tc>
          <w:tcPr/>
          <w:p>
            <w:pPr>
              <w:pStyle w:val="Compact"/>
              <w:jc w:val="left"/>
            </w:pPr>
            <w:r>
              <w:t xml:space="preserve">Documentation, appendix</w:t>
            </w:r>
          </w:p>
        </w:tc>
      </w:tr>
      <w:tr>
        <w:tc>
          <w:tcPr/>
          <w:p>
            <w:pPr>
              <w:pStyle w:val="Compact"/>
              <w:jc w:val="left"/>
            </w:pPr>
            <w:r>
              <w:t xml:space="preserve">DOC</w:t>
            </w:r>
          </w:p>
        </w:tc>
        <w:tc>
          <w:tcPr/>
          <w:p>
            <w:pPr>
              <w:pStyle w:val="Compact"/>
              <w:jc w:val="left"/>
            </w:pPr>
            <w:r>
              <w:t xml:space="preserve">20</w:t>
            </w:r>
          </w:p>
        </w:tc>
        <w:tc>
          <w:tcPr/>
          <w:p>
            <w:pPr>
              <w:pStyle w:val="Compact"/>
              <w:jc w:val="left"/>
            </w:pPr>
            <w:r>
              <w:t xml:space="preserve">Documentation bug: the CPAT methodology documentation is wrong, missing or contradicts itself (an equation, a sign, a symbol, a unit, a reference); the models are not affected (user 2026-10-29).</w:t>
            </w:r>
          </w:p>
        </w:tc>
        <w:tc>
          <w:tcPr/>
          <w:p>
            <w:pPr>
              <w:pStyle w:val="Compact"/>
              <w:jc w:val="left"/>
            </w:pPr>
            <w:r>
              <w:t xml:space="preserve">Follows the workbooks; the documentation is to be corrected.</w:t>
            </w:r>
          </w:p>
        </w:tc>
        <w:tc>
          <w:tcPr/>
          <w:p>
            <w:pPr>
              <w:pStyle w:val="Compact"/>
              <w:jc w:val="left"/>
            </w:pPr>
            <w:r>
              <w:t xml:space="preserve">Register; methodology documentation (docs/CPAT_full_documentation_qmd)</w:t>
            </w:r>
          </w:p>
        </w:tc>
      </w:tr>
      <w:tr>
        <w:tc>
          <w:tcPr/>
          <w:p>
            <w:pPr>
              <w:pStyle w:val="Compact"/>
              <w:jc w:val="left"/>
            </w:pPr>
            <w:r>
              <w:t xml:space="preserve">I</w:t>
            </w:r>
          </w:p>
        </w:tc>
        <w:tc>
          <w:tcPr/>
          <w:p>
            <w:pPr>
              <w:pStyle w:val="Compact"/>
              <w:jc w:val="left"/>
            </w:pPr>
            <w:r>
              <w:t xml:space="preserve">135</w:t>
            </w:r>
          </w:p>
        </w:tc>
        <w:tc>
          <w:tcPr/>
          <w:p>
            <w:pPr>
              <w:pStyle w:val="Compact"/>
              <w:jc w:val="left"/>
            </w:pPr>
            <w:r>
              <w:t xml:space="preserve">Issue: legacy does what it means to, but the choice is open to question (a method, a default, a convention, the input data: area Data), or a limitation of the prototype. Priority: Major or Minor; data problems Very high (a bug fix covers them) or Extremely high (no cell plan possible; the prototype does exactly what legacy does).</w:t>
            </w:r>
          </w:p>
        </w:tc>
        <w:tc>
          <w:tcPr/>
          <w:p>
            <w:pPr>
              <w:pStyle w:val="Compact"/>
              <w:jc w:val="left"/>
            </w:pPr>
            <w:r>
              <w:t xml:space="preserve">Replicates it and tracks it; a departure only by user decision, recorded with the issue.</w:t>
            </w:r>
          </w:p>
        </w:tc>
        <w:tc>
          <w:tcPr/>
          <w:p>
            <w:pPr>
              <w:pStyle w:val="Compact"/>
              <w:jc w:val="left"/>
            </w:pPr>
            <w:r>
              <w:t xml:space="preserve">Documentation, appendix</w:t>
            </w:r>
          </w:p>
        </w:tc>
      </w:tr>
      <w:tr>
        <w:tc>
          <w:tcPr/>
          <w:p>
            <w:pPr>
              <w:pStyle w:val="Compact"/>
              <w:jc w:val="left"/>
            </w:pPr>
            <w:r>
              <w:t xml:space="preserve">LD</w:t>
            </w:r>
          </w:p>
        </w:tc>
        <w:tc>
          <w:tcPr/>
          <w:p>
            <w:pPr>
              <w:pStyle w:val="Compact"/>
              <w:jc w:val="left"/>
            </w:pPr>
            <w:r>
              <w:t xml:space="preserve">35</w:t>
            </w:r>
          </w:p>
        </w:tc>
        <w:tc>
          <w:tcPr/>
          <w:p>
            <w:pPr>
              <w:pStyle w:val="Compact"/>
              <w:jc w:val="left"/>
            </w:pPr>
            <w:r>
              <w:t xml:space="preserve">Departure: a row of the prototype’s LegacyDiff sheet that is not</w:t>
            </w:r>
            <w:r>
              <w:t xml:space="preserve"> </w:t>
            </w:r>
            <w:r>
              <w:t xml:space="preserve">“</w:t>
            </w:r>
            <w:r>
              <w:t xml:space="preserve">Same</w:t>
            </w:r>
            <w:r>
              <w:t xml:space="preserve">”</w:t>
            </w:r>
            <w:r>
              <w:t xml:space="preserve"> </w:t>
            </w:r>
            <w:r>
              <w:t xml:space="preserve">(a decision, a simplification, a part not built yet).</w:t>
            </w:r>
          </w:p>
        </w:tc>
        <w:tc>
          <w:tcPr/>
          <w:p>
            <w:pPr>
              <w:pStyle w:val="Compact"/>
              <w:jc w:val="left"/>
            </w:pPr>
            <w:r>
              <w:t xml:space="preserve">Departs; each says why.</w:t>
            </w:r>
          </w:p>
        </w:tc>
        <w:tc>
          <w:tcPr/>
          <w:p>
            <w:pPr>
              <w:pStyle w:val="Compact"/>
              <w:jc w:val="left"/>
            </w:pPr>
            <w:r>
              <w:t xml:space="preserve">Documentation, appendix</w:t>
            </w:r>
          </w:p>
        </w:tc>
      </w:tr>
      <w:tr>
        <w:tc>
          <w:tcPr/>
          <w:p>
            <w:pPr>
              <w:pStyle w:val="Compact"/>
              <w:jc w:val="left"/>
            </w:pPr>
            <w:r>
              <w:t xml:space="preserve">U</w:t>
            </w:r>
          </w:p>
        </w:tc>
        <w:tc>
          <w:tcPr/>
          <w:p>
            <w:pPr>
              <w:pStyle w:val="Compact"/>
              <w:jc w:val="left"/>
            </w:pPr>
            <w:r>
              <w:t xml:space="preserve">14</w:t>
            </w:r>
          </w:p>
        </w:tc>
        <w:tc>
          <w:tcPr/>
          <w:p>
            <w:pPr>
              <w:pStyle w:val="Compact"/>
              <w:jc w:val="left"/>
            </w:pPr>
            <w:r>
              <w:t xml:space="preserve">Upgrade: a possible improvement beyond legacy.</w:t>
            </w:r>
          </w:p>
        </w:tc>
        <w:tc>
          <w:tcPr/>
          <w:p>
            <w:pPr>
              <w:pStyle w:val="Compact"/>
              <w:jc w:val="left"/>
            </w:pPr>
            <w:r>
              <w:t xml:space="preserve">Not built.</w:t>
            </w:r>
          </w:p>
        </w:tc>
        <w:tc>
          <w:tcPr/>
          <w:p>
            <w:pPr>
              <w:pStyle w:val="Compact"/>
              <w:jc w:val="left"/>
            </w:pPr>
            <w:r>
              <w:t xml:space="preserve">Documentation, appendix</w:t>
            </w:r>
          </w:p>
        </w:tc>
      </w:tr>
    </w:tbl>
    <w:bookmarkEnd w:id="35"/>
    <w:bookmarkStart w:id="36" w:name="appendix-b.-data-problems"/>
    <w:p>
      <w:pPr>
        <w:pStyle w:val="Heading1"/>
      </w:pPr>
      <w:r>
        <w:t xml:space="preserve">Appendix B. Data problems</w:t>
      </w:r>
    </w:p>
    <w:p>
      <w:pPr>
        <w:pStyle w:val="FirstParagraph"/>
      </w:pPr>
      <w:r>
        <w:t xml:space="preserve">Problems of the input data (issues of area Data, and the legacy bug L170 that covers one), most urgent first. The prototype does what legacy does with the data, unless the user decided otherwise.</w:t>
      </w:r>
    </w:p>
    <w:p>
      <w:pPr>
        <w:pStyle w:val="BodyText"/>
      </w:pPr>
      <w:r>
        <w:rPr>
          <w:bCs/>
          <w:b/>
        </w:rPr>
        <w:t xml:space="preserve">I98 (was DB1 &lt; I64). Combustion emission factors: GAINS base and final factors only.</w:t>
      </w:r>
      <w:r>
        <w:t xml:space="preserve"> </w:t>
      </w:r>
      <w:r>
        <w:t xml:space="preserve">Legacy 465 builds every combustion emission factor (local pollutants; the prototype also combustion CH4) as a line from the GAINS base factor (sheet EF_PM, FE in) in the base year to the final factor of switch EFSel in 2039 (Constant: FE in; Variable: FE fin; Average, the default: their mean), extrapolated after 2039 (Mitigation rows 1052-1663, columns L, AC, AD-AE). The yearly GAINS paths are not used. Until v0.8.4 the prototype ended at FE fin and stayed flat (data bug DB1, which wrongly said legacy reads zero paths); v0.8.5 aligns it with legacy (EFFinShare, EFWEIGHT, NONCO2).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The prototype now does exactly what legacy 465 does (v0.8.5). Plan: get the GAINS factor paths by year (proprietary) or confirm that the base and final factors are the intended data; check the 2040-2041 extrapolation and the EFSel average with the CPAT team.</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L58, L59.</w:t>
      </w:r>
    </w:p>
    <w:p>
      <w:pPr>
        <w:pStyle w:val="BodyText"/>
      </w:pPr>
      <w:r>
        <w:rPr>
          <w:bCs/>
          <w:b/>
        </w:rPr>
        <w:t xml:space="preserve">I148. Current account data typed for Egypt only.</w:t>
      </w:r>
      <w:r>
        <w:t xml:space="preserve"> </w:t>
      </w:r>
      <w:r>
        <w:t xml:space="preserve">Legacy reads the current account from WEO codes that no longer exist (L50); the prototype types the corrected Egypt values (EGY.BCA.A, EGY.BCA_NGDPD.A, 2022-2041, held at 2031 as legacy) on Inputs (block Inputs_macro); other countries read 0, so their current-account rows are 0 (bca.y and bca.dp give 0 where legacy would give #DIV/0!).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 cell plan possible (the data are missing): Egypt typed, as legacy’s corrected values. Plan: the data team adds the current account (BCA, BCA_NGDPD) to the WEO table for every country; then read it instead of the typed values.</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L50, LD89.</w:t>
      </w:r>
    </w:p>
    <w:p>
      <w:pPr>
        <w:pStyle w:val="BodyText"/>
      </w:pPr>
      <w:r>
        <w:rPr>
          <w:bCs/>
          <w:b/>
        </w:rPr>
        <w:t xml:space="preserve">I97 (was DB2 &lt; I65). Blank VAT cells in the IMF price dataset.</w:t>
      </w:r>
      <w:r>
        <w:t xml:space="preserve"> </w:t>
      </w:r>
      <w:r>
        <w:t xml:space="preserve">Some VAT cells of the IMF price dataset are blank; legacy reads a blank as 0 (bug L170, with its cell plan). The prototype fixes the bug: a blank takes the general VAT rate (VAT_WEO) for residential coal and gas and the oil products, 0 for power, industry and biomass. The data problem stays: which blanks are missing values.</w:t>
      </w:r>
      <w:r>
        <w:t xml:space="preserve"> </w:t>
      </w:r>
      <w:r>
        <w:rPr>
          <w:iCs/>
          <w:i/>
        </w:rPr>
        <w:t xml:space="preserve">In the prototype:</w:t>
      </w:r>
      <w:r>
        <w:t xml:space="preserve"> </w:t>
      </w:r>
      <w:r>
        <w:t xml:space="preserve">The prototype has the fix of bug L170 (a blank takes the general VAT rate).</w:t>
      </w:r>
      <w:r>
        <w:t xml:space="preserve"> </w:t>
      </w:r>
      <w:r>
        <w:rPr>
          <w:iCs/>
          <w:i/>
        </w:rPr>
        <w:t xml:space="preserve">Next step:</w:t>
      </w:r>
      <w:r>
        <w:t xml:space="preserve"> </w:t>
      </w:r>
      <w:r>
        <w:t xml:space="preserve">Plan: the data team says which blank VAT cells of the IMF price dataset are missing values and which are true zeros, and fills the dataset. Legacy: apply the cell plan of bug L170 (a blank reads the general VAT rate for the household fuels); the prototype has that fix. No effect for Egypt.</w:t>
      </w:r>
      <w:r>
        <w:t xml:space="preserve"> </w:t>
      </w:r>
      <w:r>
        <w:rPr>
          <w:iCs/>
          <w:i/>
        </w:rPr>
        <w:t xml:space="preserve">Status:</w:t>
      </w:r>
      <w:r>
        <w:t xml:space="preserve"> </w:t>
      </w:r>
      <w:r>
        <w:t xml:space="preserve">Open.</w:t>
      </w:r>
      <w:r>
        <w:t xml:space="preserve"> </w:t>
      </w:r>
      <w:r>
        <w:rPr>
          <w:iCs/>
          <w:i/>
        </w:rPr>
        <w:t xml:space="preserve">See also:</w:t>
      </w:r>
      <w:r>
        <w:t xml:space="preserve"> </w:t>
      </w:r>
      <w:r>
        <w:t xml:space="preserve">L170, LD3.</w:t>
      </w:r>
    </w:p>
    <w:p>
      <w:pPr>
        <w:pStyle w:val="BodyText"/>
      </w:pPr>
      <w:r>
        <w:rPr>
          <w:bCs/>
          <w:b/>
        </w:rPr>
        <w:t xml:space="preserve">I89 (was DI1 &lt; I4). Price vintage: data prices end in 2022 (legacy 465: 2024).</w:t>
      </w:r>
      <w:r>
        <w:t xml:space="preserve"> </w:t>
      </w:r>
      <w:r>
        <w:t xml:space="preserve">The last historical price year is 2022 (Settings C10, v0.3.7), as legacy 456, whose prices stay near their 2022 USD level; legacy 465 uses 2024 (v0.9.0 check: the electricity tax and price-chain residual are those of 2022 in the prototype). The IMF dataset also holds 2023-2024, when Egypt prices fell sharply in USD after the devaluation (gasoline 0.60 to 0.34 $/l); with C10 = 2024, fuel use and electricity demand jump in 2023 and the gap to legacy fuel use grows from 17% to 46%. Demand responds to real USD prices,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the last historical price year is 2024, as legacy (price data through 2024, projection from 2025). v0.3.7-v0.8.5 held 2022, to stay close to the legacy cached run of an older price vintage (2026-10-09 comparison).</w:t>
      </w:r>
      <w:r>
        <w:t xml:space="preserve"> </w:t>
      </w:r>
      <w:r>
        <w:rPr>
          <w:iCs/>
          <w:i/>
        </w:rPr>
        <w:t xml:space="preserve">Status:</w:t>
      </w:r>
      <w:r>
        <w:t xml:space="preserve"> </w:t>
      </w:r>
      <w:r>
        <w:t xml:space="preserve">Closed.</w:t>
      </w:r>
    </w:p>
    <w:p>
      <w:pPr>
        <w:pStyle w:val="BodyText"/>
      </w:pPr>
      <w:r>
        <w:rPr>
          <w:bCs/>
          <w:b/>
        </w:rPr>
        <w:t xml:space="preserve">I90 (was DI2 &lt; I13). Data for other countries: proprietary tables are Egypt only.</w:t>
      </w:r>
      <w:r>
        <w:t xml:space="preserve"> </w:t>
      </w:r>
      <w:r>
        <w:t xml:space="preserve">The model is country-generic (Settings C4) and every public table holds all countries, but the legacy proprietary tables (Balances, EnergyCons, EF_PM, IO_GTAP, HHSurvey, ASPIRE, WHOCooking) of the NoPropData file hold Egypt only. Next: paste the full tables (full legacy file or the CPAT data pipeline), rebuild BaselineCO2 for scenario 1, test a second country end to end (was a TODO item; user 2026-10-19).</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Data for other countries (TODO).</w:t>
      </w:r>
      <w:r>
        <w:t xml:space="preserve"> </w:t>
      </w:r>
      <w:r>
        <w:rPr>
          <w:iCs/>
          <w:i/>
        </w:rPr>
        <w:t xml:space="preserve">Status:</w:t>
      </w:r>
      <w:r>
        <w:t xml:space="preserve"> </w:t>
      </w:r>
      <w:r>
        <w:t xml:space="preserve">Open.</w:t>
      </w:r>
    </w:p>
    <w:p>
      <w:pPr>
        <w:pStyle w:val="BodyText"/>
      </w:pPr>
      <w:r>
        <w:rPr>
          <w:bCs/>
          <w:b/>
        </w:rPr>
        <w:t xml:space="preserve">I91 (was DI3 &lt; I17). Egypt GHG inventory: energy CH4 breaks after 2021.</w:t>
      </w:r>
      <w:r>
        <w:t xml:space="preserve"> </w:t>
      </w:r>
      <w:r>
        <w:t xml:space="preserve">Sheet GHGs (legacy data) gives energy CH4 of 21.9 Mt CO2e in 2021 and 1.9-2.0 in 2022-2024, while the fugitive-emissions memo alone is 20.3 in 2023: the years come from different sources. Section 14 calibrates to the last inventory year (2024, as legacy), so energy CH4 and the fuel-supply methane may be understated by about 19 Mt CO2e.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2026-10-15: calibrate to 2024 as legacy.</w:t>
      </w:r>
      <w:r>
        <w:t xml:space="preserve"> </w:t>
      </w:r>
      <w:r>
        <w:rPr>
          <w:iCs/>
          <w:i/>
        </w:rPr>
        <w:t xml:space="preserve">Status:</w:t>
      </w:r>
      <w:r>
        <w:t xml:space="preserve"> </w:t>
      </w:r>
      <w:r>
        <w:t xml:space="preserve">Accepted.</w:t>
      </w:r>
    </w:p>
    <w:p>
      <w:pPr>
        <w:pStyle w:val="BodyText"/>
      </w:pPr>
      <w:r>
        <w:rPr>
          <w:bCs/>
          <w:b/>
        </w:rPr>
        <w:t xml:space="preserve">I92 (was DI4 &lt; I22). Fuel-use shock of 2023-2024 (replicated v0.3.11).</w:t>
      </w:r>
      <w:r>
        <w:t xml:space="preserve"> </w:t>
      </w:r>
      <w:r>
        <w:t xml:space="preserve">Every legacy fuel row multiplies by (1 + shock), row 2439 = row 483 (</w:t>
      </w:r>
      <w:r>
        <w:t xml:space="preserve">“</w:t>
      </w:r>
      <w:r>
        <w:t xml:space="preserve">Covid factor</w:t>
      </w:r>
      <w:r>
        <w:t xml:space="preserve">”</w:t>
      </w:r>
      <w:r>
        <w:t xml:space="preserve">): -20.8% in 2023, +9.2% in 2024, so fuel use is 13.5% lower from 2024 on. Replicated in v0.3.11 for fuels (header row 11) and power demand, switch Settings C19 on. Open questions kept: the label</w:t>
      </w:r>
      <w:r>
        <w:t xml:space="preserve"> </w:t>
      </w:r>
      <w:r>
        <w:t xml:space="preserve">“</w:t>
      </w:r>
      <w:r>
        <w:t xml:space="preserve">Covid factor</w:t>
      </w:r>
      <w:r>
        <w:t xml:space="preserve">”</w:t>
      </w:r>
      <w:r>
        <w:t xml:space="preserve"> </w:t>
      </w:r>
      <w:r>
        <w:t xml:space="preserve">does not fit 2023, legacy documents the effect as</w:t>
      </w:r>
      <w:r>
        <w:t xml:space="preserve"> </w:t>
      </w:r>
      <w:r>
        <w:t xml:space="preserve">“</w:t>
      </w:r>
      <w:r>
        <w:t xml:space="preserve">Small</w:t>
      </w:r>
      <w:r>
        <w:t xml:space="preserve">”</w:t>
      </w:r>
      <w:r>
        <w:t xml:space="preserve">, and the source of the two values is unknown.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v0.3.11; source of the values to trace.</w:t>
      </w:r>
      <w:r>
        <w:t xml:space="preserve"> </w:t>
      </w:r>
      <w:r>
        <w:rPr>
          <w:iCs/>
          <w:i/>
        </w:rPr>
        <w:t xml:space="preserve">Status:</w:t>
      </w:r>
      <w:r>
        <w:t xml:space="preserve"> </w:t>
      </w:r>
      <w:r>
        <w:t xml:space="preserve">Accepted.</w:t>
      </w:r>
    </w:p>
    <w:p>
      <w:pPr>
        <w:pStyle w:val="BodyText"/>
      </w:pPr>
      <w:r>
        <w:rPr>
          <w:bCs/>
          <w:b/>
        </w:rPr>
        <w:t xml:space="preserve">I99 (was DB3 &lt; I20). Electricity price data differ from legacy.</w:t>
      </w:r>
      <w:r>
        <w:t xml:space="preserve"> </w:t>
      </w:r>
      <w:r>
        <w:t xml:space="preserve">The corrected Egypt block supplied by the user (2026-10-09) gives residential 0.054, 0.048, 0.043 $/kWh nominal for 2022-2024; the legacy vintage has 0.097 in 2022. Electricity prices, power demand and the subsidy gap differ from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(user 2026-10-29: legacy prices): legacy 465 Prices_dom already holds the corrected Egypt block; the prototype data equal it cell by cell except the spot coal and gas cells (I150). LD4 and LD33 are Same.</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LD4, LD33, I14.</w:t>
      </w:r>
    </w:p>
    <w:p>
      <w:pPr>
        <w:pStyle w:val="BodyText"/>
      </w:pPr>
      <w:r>
        <w:rPr>
          <w:bCs/>
          <w:b/>
        </w:rPr>
        <w:t xml:space="preserve">L170 (was DB2 &lt; I65). Blank VAT cells of the price dataset read as a VAT rate of 0.</w:t>
      </w:r>
      <w:r>
        <w:t xml:space="preserve"> </w:t>
      </w:r>
      <w:r>
        <w:t xml:space="preserve">The VAT rate rows read the IMF price dataset with INDEX(_prices_main, …, $J); a blank cell returns 0, so a country whose dataset leaves the VAT rate of a household fuel blank gets no VAT on it, although its general VAT rate (row 726, VAT_WEO) applies. Blank cells are missing values, not zeros (an explicit 0 stays 0).</w:t>
      </w:r>
      <w:r>
        <w:t xml:space="preserve"> </w:t>
      </w:r>
      <w:r>
        <w:rPr>
          <w:iCs/>
          <w:i/>
        </w:rPr>
        <w:t xml:space="preserve">In the prototype:</w:t>
      </w:r>
      <w:r>
        <w:t xml:space="preserve"> </w:t>
      </w:r>
      <w:r>
        <w:t xml:space="preserve">Fixed: a blank VAT cell takes the general VAT rate (VAT_WEO) for residential coal and gas and the oil products, 0 for power, industry and biomass (since v0.0.14; was departure LD3, data bug DB2)..</w:t>
      </w:r>
      <w:r>
        <w:t xml:space="preserve"> </w:t>
      </w:r>
      <w:r>
        <w:rPr>
          <w:iCs/>
          <w:i/>
        </w:rPr>
        <w:t xml:space="preserve">Next step:</w:t>
      </w:r>
      <w:r>
        <w:t xml:space="preserve"> </w:t>
      </w:r>
      <w:r>
        <w:t xml:space="preserve">Row 726 (VAT_WEO, the general VAT rate of the year, from the same dataset). Rows 768, 776, 780, 788, 792, 796, 824 (power, industry, electricity, biomass) are not changed: a blank there stays 0, as in the prototype.</w:t>
      </w:r>
      <w:r>
        <w:t xml:space="preserve"> </w:t>
      </w:r>
      <w:r>
        <w:rPr>
          <w:iCs/>
          <w:i/>
        </w:rPr>
        <w:t xml:space="preserve">Status:</w:t>
      </w:r>
      <w:r>
        <w:t xml:space="preserve"> </w:t>
      </w:r>
      <w:r>
        <w:t xml:space="preserve">Open in legacy.</w:t>
      </w:r>
      <w:r>
        <w:t xml:space="preserve"> </w:t>
      </w:r>
      <w:r>
        <w:rPr>
          <w:iCs/>
          <w:i/>
        </w:rPr>
        <w:t xml:space="preserve">See also:</w:t>
      </w:r>
      <w:r>
        <w:t xml:space="preserve"> </w:t>
      </w:r>
      <w:r>
        <w:t xml:space="preserve">I97, LD3.</w:t>
      </w:r>
    </w:p>
    <w:p>
      <w:pPr>
        <w:pStyle w:val="BodyText"/>
      </w:pPr>
      <w:r>
        <w:rPr>
          <w:bCs/>
          <w:b/>
        </w:rPr>
        <w:t xml:space="preserve">I93 (was DI5 &lt; I37). Primary energy of renewables: efficiencies not exactly 1.</w:t>
      </w:r>
      <w:r>
        <w:t xml:space="preserve"> </w:t>
      </w:r>
      <w:r>
        <w:t xml:space="preserve">Legacy power data give wind, solar and hydro efficiencies of 1.004, 1.026 and 0.937, so their primary energy (generation / efficiency) differs from the physical energy content convention (1); solar shows more output than input. It enters total primary energy supply (Kaya, v0.3.18) and the power fuel totals; about 0.1% of TPES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(v0.3.18); set the renewable efficiencies to 1 if the data are confirmed.</w:t>
      </w:r>
      <w:r>
        <w:t xml:space="preserve"> </w:t>
      </w:r>
      <w:r>
        <w:rPr>
          <w:iCs/>
          <w:i/>
        </w:rPr>
        <w:t xml:space="preserve">Status:</w:t>
      </w:r>
      <w:r>
        <w:t xml:space="preserve"> </w:t>
      </w:r>
      <w:r>
        <w:t xml:space="preserve">Accepted.</w:t>
      </w:r>
    </w:p>
    <w:p>
      <w:pPr>
        <w:pStyle w:val="BodyText"/>
      </w:pPr>
      <w:r>
        <w:rPr>
          <w:bCs/>
          <w:b/>
        </w:rPr>
        <w:t xml:space="preserve">I94 (was DI6 &lt; I38). Legacy’s stored run: wind and solar capex time factors 2039-2041 differ from its Power tab.</w:t>
      </w:r>
      <w:r>
        <w:t xml:space="preserve"> </w:t>
      </w:r>
      <w:r>
        <w:t xml:space="preserve">Legacy Mitigation reads the capital cost time factors of wind and solar from the Power tab; its cached values for 2039-2041 (wind 0.920, 0.915, 0.909) disagree with the cached Power cells they reference (0.923, 0.920, 0.918), apparently a stale cache in the distributed file. Since v0.4.7 the prototype computes the factors from the Power tab by formula, so its power results (new capacity and investment of solar, wind and gas, then power fuel use and emissions) depart from legacy’s stored run from 2039; nothing changes before 2039.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v0.4.7: the formula follows the Power tab; recheck against a fresh legacy run.</w:t>
      </w:r>
      <w:r>
        <w:t xml:space="preserve"> </w:t>
      </w:r>
      <w:r>
        <w:rPr>
          <w:iCs/>
          <w:i/>
        </w:rPr>
        <w:t xml:space="preserve">Status:</w:t>
      </w:r>
      <w:r>
        <w:t xml:space="preserve"> </w:t>
      </w:r>
      <w:r>
        <w:t xml:space="preserve">Accepted.</w:t>
      </w:r>
    </w:p>
    <w:p>
      <w:pPr>
        <w:pStyle w:val="BodyText"/>
      </w:pPr>
      <w:r>
        <w:rPr>
          <w:bCs/>
          <w:b/>
        </w:rPr>
        <w:t xml:space="preserve">I95 (was DI7 &lt; I68). NDC reference years outside the data.</w:t>
      </w:r>
      <w:r>
        <w:t xml:space="preserve"> </w:t>
      </w:r>
      <w:r>
        <w:t xml:space="preserve">Historical emissions (sheet GHGHist, legacy GHGs rows 954-1189) cover 1990, 2000, 2005, 2007, 2010, 2013, 2014 and 2017 (CO2 to 2020); real GDP (WEO) starts later. A Historical or Intensity NDC with another reference year, or an Intensity NDC with an early reference year (India 2005), gives N/A (legacy #N/A or a wrong cell, L123). Data to extend when the NDC module is used.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v0.5.7: GDP solved (WEO NGDP_R, 2000-2040). v0.6.1: reference years 2021-2024 read the GHGs inventory (rows ndc.hc, ndc.hv), 2022 onwards the model. Still open: historical GHGs 2018-2020 (GHGHist ends 2017, CO2 2020): data request.</w:t>
      </w:r>
      <w:r>
        <w:t xml:space="preserve"> </w:t>
      </w:r>
      <w:r>
        <w:rPr>
          <w:iCs/>
          <w:i/>
        </w:rPr>
        <w:t xml:space="preserve">Status:</w:t>
      </w:r>
      <w:r>
        <w:t xml:space="preserve"> </w:t>
      </w:r>
      <w:r>
        <w:t xml:space="preserve">Open.</w:t>
      </w:r>
    </w:p>
    <w:p>
      <w:pPr>
        <w:pStyle w:val="BodyText"/>
      </w:pPr>
      <w:r>
        <w:rPr>
          <w:bCs/>
          <w:b/>
        </w:rPr>
        <w:t xml:space="preserve">I96 (was DI8 &lt; distribution DI3). Elasticities always overall, mean.</w:t>
      </w:r>
      <w:r>
        <w:t xml:space="preserve"> </w:t>
      </w:r>
      <w:r>
        <w:t xml:space="preserve">The data have no other statistics or samples.</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I150. Spot coal and gas prices of Egypt hold a year and 0 in legacy 465.</w:t>
      </w:r>
      <w:r>
        <w:t xml:space="preserve"> </w:t>
      </w:r>
      <w:r>
        <w:t xml:space="preserve">Legacy 465 Prices_dom EGY2021-2024 mit.spot.coa = 2024 and mit.spot.nga = 0 (the prototype data: 4.75-10.49 and 7.51-28.06 $/GJ). Read only with the spot-price option for power (SpotPow / UseSpotFuelPricesInEngineerModel, default No): no effect by default.</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The CPAT data team fills the spot cells; the prototype keeps the module values (no effect unless the spot option is chosen).</w:t>
      </w:r>
      <w:r>
        <w:t xml:space="preserve"> </w:t>
      </w:r>
      <w:r>
        <w:rPr>
          <w:iCs/>
          <w:i/>
        </w:rPr>
        <w:t xml:space="preserve">Status:</w:t>
      </w:r>
      <w:r>
        <w:t xml:space="preserve"> </w:t>
      </w:r>
      <w:r>
        <w:t xml:space="preserve">Open.</w:t>
      </w:r>
    </w:p>
    <w:bookmarkEnd w:id="36"/>
    <w:bookmarkStart w:id="37" w:name="appendix-c.-issues-i"/>
    <w:p>
      <w:pPr>
        <w:pStyle w:val="Heading1"/>
      </w:pPr>
      <w:r>
        <w:t xml:space="preserve">Appendix C. Issues (I)</w:t>
      </w:r>
    </w:p>
    <w:p>
      <w:pPr>
        <w:pStyle w:val="FirstParagraph"/>
      </w:pPr>
      <w:r>
        <w:t xml:space="preserve">Legacy does what it means to, but the choice is open to question; replicated unless the user decided otherwise. Also the limitations of the prototype itself. (The data problems: appendix B.)</w:t>
      </w:r>
    </w:p>
    <w:p>
      <w:pPr>
        <w:pStyle w:val="BodyText"/>
      </w:pPr>
      <w:r>
        <w:rPr>
          <w:bCs/>
          <w:b/>
        </w:rPr>
        <w:t xml:space="preserve">I1. Not yet run in Excel.</w:t>
      </w:r>
      <w:r>
        <w:t xml:space="preserve"> </w:t>
      </w:r>
      <w:r>
        <w:t xml:space="preserve">The workbook and its VBA project were generated and tested without Excel (LibreOffice). Open it, enable macros and run CheckBatchRun once; if Excel rejects the VBA project, import CPATScenarios.bas.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Review in Excel 365 (TODO).</w:t>
      </w:r>
      <w:r>
        <w:t xml:space="preserve"> </w:t>
      </w:r>
      <w:r>
        <w:rPr>
          <w:iCs/>
          <w:i/>
        </w:rPr>
        <w:t xml:space="preserve">Status:</w:t>
      </w:r>
      <w:r>
        <w:t xml:space="preserve"> </w:t>
      </w:r>
      <w:r>
        <w:t xml:space="preserve">Open.</w:t>
      </w:r>
    </w:p>
    <w:p>
      <w:pPr>
        <w:pStyle w:val="BodyText"/>
      </w:pPr>
      <w:r>
        <w:rPr>
          <w:bCs/>
          <w:b/>
        </w:rPr>
        <w:t xml:space="preserve">I2. Excel versions.</w:t>
      </w:r>
      <w:r>
        <w:t xml:space="preserve"> </w:t>
      </w:r>
      <w:r>
        <w:t xml:space="preserve">2022-2040 need Excel 2019 or later (MINIFS, AGGREGATE); the last year 2041 is the LAMBDA year and needs Excel 365.</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I3. New sector | fuel pairs need a label.</w:t>
      </w:r>
      <w:r>
        <w:t xml:space="preserve"> </w:t>
      </w:r>
      <w:r>
        <w:t xml:space="preserve">A new pair on Mitigation needs a row in the member-label table on Mapping, or its description shows #N/A (20 spare rows in the defined name).</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I5. Totals include power since v0.1.09.</w:t>
      </w:r>
      <w:r>
        <w:t xml:space="preserve"> </w:t>
      </w:r>
      <w:r>
        <w:t xml:space="preserve">Fuel use and revenue totals of v0.1.09 and later include power and are not comparable with v0.1.08 and earlier 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I6. Electricity subsidy gap is signed.</w:t>
      </w:r>
      <w:r>
        <w:t xml:space="preserve"> </w:t>
      </w:r>
      <w:r>
        <w:t xml:space="preserve">Subsidies are negative (v0.2.4): the gap is negative when the tariff is below the modelled supply cost and positive when it is above; fuel subsidies count the negative part of the existing taxes only.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Exception by decision (v0.2.4): sign convention only, values as legacy.</w:t>
      </w:r>
      <w:r>
        <w:t xml:space="preserve"> </w:t>
      </w:r>
      <w:r>
        <w:rPr>
          <w:iCs/>
          <w:i/>
        </w:rPr>
        <w:t xml:space="preserve">Status:</w:t>
      </w:r>
      <w:r>
        <w:t xml:space="preserve"> </w:t>
      </w:r>
      <w:r>
        <w:t xml:space="preserve">Accepted.</w:t>
      </w:r>
    </w:p>
    <w:p>
      <w:pPr>
        <w:pStyle w:val="BodyText"/>
      </w:pPr>
      <w:r>
        <w:rPr>
          <w:bCs/>
          <w:b/>
        </w:rPr>
        <w:t xml:space="preserve">I9. The LAMBDA year 2041 needs LAMBDA support.</w:t>
      </w:r>
      <w:r>
        <w:t xml:space="preserve"> </w:t>
      </w:r>
      <w:r>
        <w:t xml:space="preserve">Every calculated cell of 2041 calls its named LAMBDA. Without LAMBDA support (Excel before 365, LibreOffice) 2041 shows errors, and so does its column in MTOutputs.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I10. Without LAMBDA support the power model looks ahead without 2041.</w:t>
      </w:r>
      <w:r>
        <w:t xml:space="preserve"> </w:t>
      </w:r>
      <w:r>
        <w:t xml:space="preserve">The levelised variable cost (D9) uses last year’s cost for 2041 (tvcx), and the moving average of fuel prices for power leaves 2041 out of 2039-2040. Power results 2022-2040 then differ slightly from Excel 365 (the check reports the size); stored results are the Excel 365 values.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I11. Changing the last historical price year.</w:t>
      </w:r>
      <w:r>
        <w:t xml:space="preserve"> </w:t>
      </w:r>
      <w:r>
        <w:t xml:space="preserve">Prices have separate history and projection blocks; changing Settings C10 needs the blocks re-dragged (or the LAMBDA of the row, sheet Lambdas, copied left over the row).</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I12. Values after 2030.</w:t>
      </w:r>
      <w:r>
        <w:t xml:space="preserve"> </w:t>
      </w:r>
      <w:r>
        <w:t xml:space="preserve">Not a legacy target; the legacy CPI is held flat after 2031.</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I14. Distance to the legacy cached baseline.</w:t>
      </w:r>
      <w:r>
        <w:t xml:space="preserve"> </w:t>
      </w:r>
      <w:r>
        <w:t xml:space="preserve">The prototype baseline differs from the cached legacy run, mainly through the fuel-use shock (I92), jet fuel (I19), the electricity price data (I99) and the fixed legacy bugs.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v0.5.7: I25 closed (v0.5.6); the remaining distance is the documented data and bug-fix differences (legacy_comparison, LegacyDiff).</w:t>
      </w:r>
      <w:r>
        <w:t xml:space="preserve"> </w:t>
      </w:r>
      <w:r>
        <w:rPr>
          <w:iCs/>
          <w:i/>
        </w:rPr>
        <w:t xml:space="preserve">Status:</w:t>
      </w:r>
      <w:r>
        <w:t xml:space="preserve"> </w:t>
      </w:r>
      <w:r>
        <w:t xml:space="preserve">Accepted.</w:t>
      </w:r>
    </w:p>
    <w:p>
      <w:pPr>
        <w:pStyle w:val="BodyText"/>
      </w:pPr>
      <w:r>
        <w:rPr>
          <w:bCs/>
          <w:b/>
        </w:rPr>
        <w:t xml:space="preserve">I15. Subsidy rows changed sign in v0.2.4.</w:t>
      </w:r>
      <w:r>
        <w:t xml:space="preserve"> </w:t>
      </w:r>
      <w:r>
        <w:t xml:space="preserve">esub, esubpu, rsub, prsub, sgap and rgap are negative from v0.2.4 (net existing revenue rnet = rtx + rsub, unchanged in value). Outputs stored with v0.2.3 or earlier have the opposite sign in these rows.</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I16. A new block needs its label row.</w:t>
      </w:r>
      <w:r>
        <w:t xml:space="preserve"> </w:t>
      </w:r>
      <w:r>
        <w:t xml:space="preserve">Every block of rows on Mitigation has a label row above it (D:G parameter names from Variables G:J). Copy the label row with the block; a new variable needs its labels in Variables G:J.</w:t>
      </w:r>
      <w:r>
        <w:t xml:space="preserve"> </w:t>
      </w:r>
      <w:r>
        <w:rPr>
          <w:iCs/>
          <w:i/>
        </w:rPr>
        <w:t xml:space="preserve">In the prototype:</w:t>
      </w:r>
      <w:r>
        <w:t xml:space="preserve"> </w:t>
      </w:r>
      <w:r>
        <w:t xml:space="preserve">Prototype limitation.</w:t>
      </w:r>
      <w:r>
        <w:t xml:space="preserve"> </w:t>
      </w:r>
      <w:r>
        <w:rPr>
          <w:iCs/>
          <w:i/>
        </w:rPr>
        <w:t xml:space="preserve">Status:</w:t>
      </w:r>
      <w:r>
        <w:t xml:space="preserve"> </w:t>
      </w:r>
      <w:r>
        <w:t xml:space="preserve">Accepted.</w:t>
      </w:r>
    </w:p>
    <w:p>
      <w:pPr>
        <w:pStyle w:val="BodyText"/>
      </w:pPr>
      <w:r>
        <w:rPr>
          <w:bCs/>
          <w:b/>
        </w:rPr>
        <w:t xml:space="preserve">I18. GHG totals use energy CO2 without inventory adjustment (resolved v0.3.2).</w:t>
      </w:r>
      <w:r>
        <w:t xml:space="preserve"> </w:t>
      </w:r>
      <w:r>
        <w:t xml:space="preserve">Energy CO2 in section 14 was section 13 (IIASA EFs, no adjustment to the inventory) plus flaring: 225 Mt in 2022 against 252 Mt in the inventory. v0.3.2: every CO2 EF is calibrated to the inventory of GHGYear (Settings EFCalib), so 2024 matches; 2022 stays below the 2022 inventory because of the 2021-2022 inventory break (I91).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v0.3.2 (switch, off by default as legacy since v0.3.4).</w:t>
      </w:r>
      <w:r>
        <w:t xml:space="preserve"> </w:t>
      </w:r>
      <w:r>
        <w:rPr>
          <w:iCs/>
          <w:i/>
        </w:rPr>
        <w:t xml:space="preserve">Status:</w:t>
      </w:r>
      <w:r>
        <w:t xml:space="preserve"> </w:t>
      </w:r>
      <w:r>
        <w:t xml:space="preserve">Resolved.</w:t>
      </w:r>
    </w:p>
    <w:p>
      <w:pPr>
        <w:pStyle w:val="BodyText"/>
      </w:pPr>
      <w:r>
        <w:rPr>
          <w:bCs/>
          <w:b/>
        </w:rPr>
        <w:t xml:space="preserve">I19. Jet fuel (replicated v0.3.11).</w:t>
      </w:r>
      <w:r>
        <w:t xml:space="preserve"> </w:t>
      </w:r>
      <w:r>
        <w:t xml:space="preserve">Legacy domestic aviation burns jet fuel (707 ktoe in 2022). Since v0.3.11 the prototype has the fuel jfu (aviation only, kerosene price build-up, legacy EF row 1011, kerosene carbon-tax coverage switch); the legacy comparison includes it.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v0.3.11.</w:t>
      </w:r>
      <w:r>
        <w:t xml:space="preserve"> </w:t>
      </w:r>
      <w:r>
        <w:rPr>
          <w:iCs/>
          <w:i/>
        </w:rPr>
        <w:t xml:space="preserve">Status:</w:t>
      </w:r>
      <w:r>
        <w:t xml:space="preserve"> </w:t>
      </w:r>
      <w:r>
        <w:t xml:space="preserve">Resolved.</w:t>
      </w:r>
    </w:p>
    <w:p>
      <w:pPr>
        <w:pStyle w:val="BodyText"/>
      </w:pPr>
      <w:r>
        <w:rPr>
          <w:bCs/>
          <w:b/>
        </w:rPr>
        <w:t xml:space="preserve">I21. ETS: one auctioned share for every sector (replicated v0.4.15).</w:t>
      </w:r>
      <w:r>
        <w:t xml:space="preserve"> </w:t>
      </w:r>
      <w:r>
        <w:t xml:space="preserve">Legacy allocates by one auctioned share path (MTInputs rows 90-92, default 0: everything allocated free), the same for every sector. The prototype had benchmarks by sector group typed on Constants (v0.1.02), so an MTInputs auctioned share had no effect; since v0.4.15 the benchmarks are 1 - the MTInputs share of the scenario (user 2026-10-18), as legacy. Benchmarks by sector (output-based) come later.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v0.4.15 (user 2026-10-18): benchmarks = 1 - the MTInputs auctioned share (rows 90-91, one share for all sectors, as legacy); benchmarks by sector later.</w:t>
      </w:r>
      <w:r>
        <w:t xml:space="preserve"> </w:t>
      </w:r>
      <w:r>
        <w:rPr>
          <w:iCs/>
          <w:i/>
        </w:rPr>
        <w:t xml:space="preserve">Status:</w:t>
      </w:r>
      <w:r>
        <w:t xml:space="preserve"> </w:t>
      </w:r>
      <w:r>
        <w:t xml:space="preserve">Accepted.</w:t>
      </w:r>
    </w:p>
    <w:p>
      <w:pPr>
        <w:pStyle w:val="BodyText"/>
      </w:pPr>
      <w:r>
        <w:rPr>
          <w:bCs/>
          <w:b/>
        </w:rPr>
        <w:t xml:space="preserve">I25. Industrial process emissions below legacy, not explained.</w:t>
      </w:r>
      <w:r>
        <w:t xml:space="preserve"> </w:t>
      </w:r>
      <w:r>
        <w:t xml:space="preserve">Both follow increases in industrial energy CO2, yet the prototype is 57.2 against 66.5 Mt CO2e in 2024 and 94.9 against 119.2 in 2040.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Traced (v0.5.6): legacy process emissions = 2023 inventory x the year-on-year growth of industrial energy CO2 (row 6576; 2024: +16.8%, the rebound after the 2023 demand shock, so 56.9 -&gt; 66.5). The prototype floored that growth at 0 (a departure: removed in v0.5.6, as legacy). The remaining gap is the industrial energy CO2 path, part of the fuel-use gap (I14).</w:t>
      </w:r>
      <w:r>
        <w:t xml:space="preserve"> </w:t>
      </w:r>
      <w:r>
        <w:rPr>
          <w:iCs/>
          <w:i/>
        </w:rPr>
        <w:t xml:space="preserve">Status:</w:t>
      </w:r>
      <w:r>
        <w:t xml:space="preserve"> </w:t>
      </w:r>
      <w:r>
        <w:t xml:space="preserve">Resolved.</w:t>
      </w:r>
    </w:p>
    <w:p>
      <w:pPr>
        <w:pStyle w:val="BodyText"/>
      </w:pPr>
      <w:r>
        <w:rPr>
          <w:bCs/>
          <w:b/>
        </w:rPr>
        <w:t xml:space="preserve">I26. GHG defaults not yet checked against legacy.</w:t>
      </w:r>
      <w:r>
        <w:t xml:space="preserve"> </w:t>
      </w:r>
      <w:r>
        <w:t xml:space="preserve">Oil, gas and coal production held at the base year (fuel supply methane) and energy N2O moving with energy CO2 were applied as defaults in v0.2.8; their legacy counterparts are not yet checked.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Checked (v0.5.6): energy N2O moves with energy CO2 as legacy (row 7549 = previous x CO2 ratio). Production for fuel-supply methane differs: now issue I66.</w:t>
      </w:r>
      <w:r>
        <w:t xml:space="preserve"> </w:t>
      </w:r>
      <w:r>
        <w:rPr>
          <w:iCs/>
          <w:i/>
        </w:rPr>
        <w:t xml:space="preserve">Status:</w:t>
      </w:r>
      <w:r>
        <w:t xml:space="preserve"> </w:t>
      </w:r>
      <w:r>
        <w:t xml:space="preserve">Resolved.</w:t>
      </w:r>
    </w:p>
    <w:p>
      <w:pPr>
        <w:pStyle w:val="BodyText"/>
      </w:pPr>
      <w:r>
        <w:rPr>
          <w:bCs/>
          <w:b/>
        </w:rPr>
        <w:t xml:space="preserve">I28. Engineer road model: calibration open.</w:t>
      </w:r>
      <w:r>
        <w:t xml:space="preserve"> </w:t>
      </w:r>
      <w:r>
        <w:t xml:space="preserve">Off by default (TrModel = Elasticity, as the legacy Egypt run). Range anxiety is legacy’s stored values (Egypt 2025 passenger EV share 0.09% against 0.15% actual); the ownership decline limit (10% a year) is a placeholder.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I29. Excel repair prompt (resolved v0.3.7).</w:t>
      </w:r>
      <w:r>
        <w:t xml:space="preserve"> </w:t>
      </w:r>
      <w:r>
        <w:t xml:space="preserve">Excel 365 removed the cell formulas calling the LAMBDAs SCALE and SHARE (found by bisection with the repair log); renamed SCALEBY and SHAREOF in v0.3.7. The quick check opens the file in Excel where Excel is installed.</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v0.3.7: LAMBDAs renamed; confirm in Excel (quick check on Windows).</w:t>
      </w:r>
      <w:r>
        <w:t xml:space="preserve"> </w:t>
      </w:r>
      <w:r>
        <w:rPr>
          <w:iCs/>
          <w:i/>
        </w:rPr>
        <w:t xml:space="preserve">Status:</w:t>
      </w:r>
      <w:r>
        <w:t xml:space="preserve"> </w:t>
      </w:r>
      <w:r>
        <w:t xml:space="preserve">Resolved.</w:t>
      </w:r>
    </w:p>
    <w:p>
      <w:pPr>
        <w:pStyle w:val="BodyText"/>
      </w:pPr>
      <w:r>
        <w:rPr>
          <w:bCs/>
          <w:b/>
        </w:rPr>
        <w:t xml:space="preserve">I30. ETS goal seek short of the cap in definition 5.</w:t>
      </w:r>
      <w:r>
        <w:t xml:space="preserve"> </w:t>
      </w:r>
      <w:r>
        <w:t xml:space="preserve">With all permits allocated free (benchmarks 1.0, the legacy default) the ETS works at half effectiveness, so definition 5 (cap -5% in 2027 to -20% in 2035) needs about 134 $/t in 2030 and 230 $/t in 2035. The goal seek then oscillates between years: after 20 iterations covered emissions are 3.7% above the cap (2033) or below it (2041); worst gap 6.2% in the stored results.</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Tested separately by the user (2026-10-19); no goal-seek runs in builds or checks (NORMS 5). Last full check (v0.5.3): worst gap 0.0265 after 20 iterations.</w:t>
      </w:r>
      <w:r>
        <w:t xml:space="preserve"> </w:t>
      </w:r>
      <w:r>
        <w:rPr>
          <w:iCs/>
          <w:i/>
        </w:rPr>
        <w:t xml:space="preserve">Status:</w:t>
      </w:r>
      <w:r>
        <w:t xml:space="preserve"> </w:t>
      </w:r>
      <w:r>
        <w:t xml:space="preserve">Open.</w:t>
      </w:r>
    </w:p>
    <w:p>
      <w:pPr>
        <w:pStyle w:val="BodyText"/>
      </w:pPr>
      <w:r>
        <w:rPr>
          <w:bCs/>
          <w:b/>
        </w:rPr>
        <w:t xml:space="preserve">I31. Average prices mix price and composition changes.</w:t>
      </w:r>
      <w:r>
        <w:t xml:space="preserve"> </w:t>
      </w:r>
      <w:r>
        <w:t xml:space="preserve">Legacy F5b-c averages the after-tax price of each fuel over sectors with each scenario’s own consumption of the year (a unit value) and reports the policy / baseline ratio and an index 2022 = 100 as price changes (Egypt 2030: gas +71%, oil +104%). A shift of consumption between sectors with different prices moves the</w:t>
      </w:r>
      <w:r>
        <w:t xml:space="preserve"> </w:t>
      </w:r>
      <w:r>
        <w:t xml:space="preserve">“</w:t>
      </w:r>
      <w:r>
        <w:t xml:space="preserve">price change</w:t>
      </w:r>
      <w:r>
        <w:t xml:space="preserve">”</w:t>
      </w:r>
      <w:r>
        <w:t xml:space="preserve"> </w:t>
      </w:r>
      <w:r>
        <w:t xml:space="preserve">with no price moving. Survey v0.4.15: coal and gas are averaged over power generation, residential and the 8 industry subsectors with baseline quantities (a Laspeyres index), electricity with each scenario’s own consumption, oil products are single prices. v0.4.15 replicates legacy as the default (Settings C54 Legacy</w:t>
      </w:r>
      <w:r>
        <w:rPr>
          <w:iCs/>
          <w:i/>
        </w:rPr>
        <w:t xml:space="preserve">; pav.leg, pav.lidx, pav.idx), the prototype’s Laspeyres index over all final uses as the option.</w:t>
      </w:r>
      <w:r>
        <w:rPr>
          <w:iCs/>
          <w:i/>
        </w:rPr>
        <w:t xml:space="preserve"> </w:t>
      </w:r>
      <w:r>
        <w:t xml:space="preserve">In the prototype:* Replicated.</w:t>
      </w:r>
      <w:r>
        <w:t xml:space="preserve"> </w:t>
      </w:r>
      <w:r>
        <w:rPr>
          <w:iCs/>
          <w:i/>
        </w:rPr>
        <w:t xml:space="preserve">Next step:</w:t>
      </w:r>
      <w:r>
        <w:t xml:space="preserve"> </w:t>
      </w:r>
      <w:r>
        <w:t xml:space="preserve">v0.4.15 (user 2026-10-18): legacy averages are the default (pav.leg, pav.lidx, pav.idx; Settings C54 Legacy</w:t>
      </w:r>
      <w:r>
        <w:rPr>
          <w:iCs/>
          <w:i/>
        </w:rPr>
        <w:t xml:space="preserve">), the Laspeyres index kept as an option.</w:t>
      </w:r>
      <w:r>
        <w:rPr>
          <w:iCs/>
          <w:i/>
        </w:rPr>
        <w:t xml:space="preserve"> </w:t>
      </w:r>
      <w:r>
        <w:t xml:space="preserve">Status:* Accepted.</w:t>
      </w:r>
    </w:p>
    <w:p>
      <w:pPr>
        <w:pStyle w:val="BodyText"/>
      </w:pPr>
      <w:r>
        <w:rPr>
          <w:bCs/>
          <w:b/>
        </w:rPr>
        <w:t xml:space="preserve">I32. Energy CO2 calibration to the inventory: as legacy since v0.4.11.</w:t>
      </w:r>
      <w:r>
        <w:t xml:space="preserve"> </w:t>
      </w:r>
      <w:r>
        <w:t xml:space="preserve">Legacy row 7520 (</w:t>
      </w:r>
      <w:r>
        <w:t xml:space="preserve">“</w:t>
      </w:r>
      <w:r>
        <w:t xml:space="preserve">Adjust EFs to match energy-related CO2 to UNFCCC inventories?</w:t>
      </w:r>
      <w:r>
        <w:t xml:space="preserve">”</w:t>
      </w:r>
      <w:r>
        <w:t xml:space="preserve">, Yes* by default) multiplies every CO2 EF by the inventory energy CO2 of the year before the base year over the estimate from the base-year energy balance (Egypt: 2021 inventory against 2022, 0.930), so CO2 is about 7% below uncalibrated EFs in every sector. The inventory has a break between 2021 and 2022 (I17: 211 to 252 Mt), which legacy carries into the factor. v0.4.11 replicates legacy (user 2026-10-18: go with legacy); before, the prototype calibrated in 2024 and kept the switch off (user decisions v0.3.2, v0.3.4).</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v0.4.11 (user 2026-10-18: go with legacy); the inventory break (I91) stays in the factor, as legacy.</w:t>
      </w:r>
      <w:r>
        <w:t xml:space="preserve"> </w:t>
      </w:r>
      <w:r>
        <w:rPr>
          <w:iCs/>
          <w:i/>
        </w:rPr>
        <w:t xml:space="preserve">Status:</w:t>
      </w:r>
      <w:r>
        <w:t xml:space="preserve"> </w:t>
      </w:r>
      <w:r>
        <w:t xml:space="preserve">Accepted.</w:t>
      </w:r>
    </w:p>
    <w:p>
      <w:pPr>
        <w:pStyle w:val="BodyText"/>
      </w:pPr>
      <w:r>
        <w:rPr>
          <w:bCs/>
          <w:b/>
        </w:rPr>
        <w:t xml:space="preserve">I33. Data step overwrites the corrected Egypt prices.</w:t>
      </w:r>
      <w:r>
        <w:t xml:space="preserve"> </w:t>
      </w:r>
      <w:r>
        <w:t xml:space="preserve">extract_data rewrites every data file from its sources; prices_dom.csv then loses the corrected Egypt block (update_prices_egypt must run after it), and the files come out with CRLF line ends. v0.3.11 kept only the jet-fuel rows of its run.</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v0.5.7: extract_data writes LF line ends and runs update_prices_egypt after the price extraction, so the corrected Egypt block is kept.</w:t>
      </w:r>
      <w:r>
        <w:t xml:space="preserve"> </w:t>
      </w:r>
      <w:r>
        <w:rPr>
          <w:iCs/>
          <w:i/>
        </w:rPr>
        <w:t xml:space="preserve">Status:</w:t>
      </w:r>
      <w:r>
        <w:t xml:space="preserve"> </w:t>
      </w:r>
      <w:r>
        <w:t xml:space="preserve">Resolved.</w:t>
      </w:r>
    </w:p>
    <w:p>
      <w:pPr>
        <w:pStyle w:val="BodyText"/>
      </w:pPr>
      <w:r>
        <w:rPr>
          <w:bCs/>
          <w:b/>
        </w:rPr>
        <w:t xml:space="preserve">I34. CH4 of the air-pollution input table: methane sources by convention.</w:t>
      </w:r>
      <w:r>
        <w:t xml:space="preserve"> </w:t>
      </w:r>
      <w:r>
        <w:t xml:space="preserve">Legacy rows 7283-7307 feed the air-pollution module CH4 by sector: oil and gas extraction methane under</w:t>
      </w:r>
      <w:r>
        <w:t xml:space="preserve"> </w:t>
      </w:r>
      <w:r>
        <w:t xml:space="preserve">“</w:t>
      </w:r>
      <w:r>
        <w:t xml:space="preserve">other</w:t>
      </w:r>
      <w:r>
        <w:t xml:space="preserve">”</w:t>
      </w:r>
      <w:r>
        <w:t xml:space="preserve">, agriculture and waste methane under</w:t>
      </w:r>
      <w:r>
        <w:t xml:space="preserve"> </w:t>
      </w:r>
      <w:r>
        <w:t xml:space="preserve">“</w:t>
      </w:r>
      <w:r>
        <w:t xml:space="preserve">food &amp; forestry</w:t>
      </w:r>
      <w:r>
        <w:t xml:space="preserve">”</w:t>
      </w:r>
      <w:r>
        <w:t xml:space="preserve"> </w:t>
      </w:r>
      <w:r>
        <w:t xml:space="preserve">(waste is not food or forestry), no combustion CH4 (no factors in legacy). v0.3.12 replicates the allocation and adds the combustion CH4 of each sector (GAINS factors, section 14), with all fossil fuel supply methane (extraction, downstream gas, coal mining, biomass) under</w:t>
      </w:r>
      <w:r>
        <w:t xml:space="preserve"> </w:t>
      </w:r>
      <w:r>
        <w:t xml:space="preserve">“</w:t>
      </w:r>
      <w:r>
        <w:t xml:space="preserve">other</w:t>
      </w:r>
      <w:r>
        <w:t xml:space="preserve">”</w:t>
      </w:r>
      <w:r>
        <w:t xml:space="preserv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the allocation of methane sources in the air-pollution table. The missing combustion CH4 factors are legacy bug L223 (cell plan), fixed in the prototype.</w:t>
      </w:r>
      <w:r>
        <w:t xml:space="preserve"> </w:t>
      </w:r>
      <w:r>
        <w:rPr>
          <w:iCs/>
          <w:i/>
        </w:rPr>
        <w:t xml:space="preserve">Status:</w:t>
      </w:r>
      <w:r>
        <w:t xml:space="preserve"> </w:t>
      </w:r>
      <w:r>
        <w:t xml:space="preserve">Accepted.</w:t>
      </w:r>
    </w:p>
    <w:p>
      <w:pPr>
        <w:pStyle w:val="BodyText"/>
      </w:pPr>
      <w:r>
        <w:rPr>
          <w:bCs/>
          <w:b/>
        </w:rPr>
        <w:t xml:space="preserve">I36. Effective carbon rate counts VAT and subsidies.</w:t>
      </w:r>
      <w:r>
        <w:t xml:space="preserve"> </w:t>
      </w:r>
      <w:r>
        <w:t xml:space="preserve">Legacy’s effective carbon rate (row 16647) and total carbon price (F5d) divide revenue net of subsidies, VAT included, by CO2; the OECD effective carbon rate counts carbon taxes, fuel excises and permit prices only. The prototype replicates the legacy definition (section 17, v0.3.15) and says so in the note; Egypt has negative rates (subsidies exceed taxes).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As legacy (v0.3.15); an OECD-style rate (carbon taxes, excises, permits) could be added as a memo.</w:t>
      </w:r>
      <w:r>
        <w:t xml:space="preserve"> </w:t>
      </w:r>
      <w:r>
        <w:rPr>
          <w:iCs/>
          <w:i/>
        </w:rPr>
        <w:t xml:space="preserve">Status:</w:t>
      </w:r>
      <w:r>
        <w:t xml:space="preserve"> </w:t>
      </w:r>
      <w:r>
        <w:t xml:space="preserve">Accepted.</w:t>
      </w:r>
    </w:p>
    <w:p>
      <w:pPr>
        <w:pStyle w:val="BodyText"/>
      </w:pPr>
      <w:r>
        <w:rPr>
          <w:bCs/>
          <w:b/>
        </w:rPr>
        <w:t xml:space="preserve">I39. VAT on oil products charged on the household share only (replicated v0.4.12).</w:t>
      </w:r>
      <w:r>
        <w:t xml:space="preserve"> </w:t>
      </w:r>
      <w:r>
        <w:t xml:space="preserve">Legacy multiplies the VAT rate of gasoline, diesel, LPG and kerosene by the household share of the product (sheet OilProductShares; Egypt: gasoline 1, diesel 0.03, LPG 0.99, kerosene 0.39), on the view that firms reclaim VAT. The share is one value for all sectors, so household diesel is under-taxed and firms’ gasoline over-taxed; road diesel of households is small, so the effect is mainly on gasoline. Replicated in v0.4.12 (LD5; user 2026-10-18: an issue, not a bug).</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a share by sector would need data by sector.</w:t>
      </w:r>
      <w:r>
        <w:t xml:space="preserve"> </w:t>
      </w:r>
      <w:r>
        <w:rPr>
          <w:iCs/>
          <w:i/>
        </w:rPr>
        <w:t xml:space="preserve">Status:</w:t>
      </w:r>
      <w:r>
        <w:t xml:space="preserve"> </w:t>
      </w:r>
      <w:r>
        <w:t xml:space="preserve">Accepted.</w:t>
      </w:r>
    </w:p>
    <w:p>
      <w:pPr>
        <w:pStyle w:val="BodyText"/>
      </w:pPr>
      <w:r>
        <w:rPr>
          <w:bCs/>
          <w:b/>
        </w:rPr>
        <w:t xml:space="preserve">I40. Road biofuels: feebate CO2 per liter scaled by the fossil share (replicated v0.4.12).</w:t>
      </w:r>
      <w:r>
        <w:t xml:space="preserve"> </w:t>
      </w:r>
      <w:r>
        <w:t xml:space="preserve">Legacy scales the CO2 per liter of gasoline and diesel in the vehicle feebate by the fossil share of road gasoline + bioethanol and diesel + biodiesel (E2146:E2147), as if the model’s liters were blends; but road gasoline and diesel exclude the biofuels, which follow them as separate rows (5436-5438). Where biofuels are blended the feebate per liter is lower than the CO2 of the fossil liter. Replicated in v0.4.12 (LD62; user 2026-10-18). None for Egypt.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v0.4.12 (user 2026-10-18); revisit if road fuels are modelled as blends.</w:t>
      </w:r>
      <w:r>
        <w:t xml:space="preserve"> </w:t>
      </w:r>
      <w:r>
        <w:rPr>
          <w:iCs/>
          <w:i/>
        </w:rPr>
        <w:t xml:space="preserve">Status:</w:t>
      </w:r>
      <w:r>
        <w:t xml:space="preserve"> </w:t>
      </w:r>
      <w:r>
        <w:t xml:space="preserve">Accepted.</w:t>
      </w:r>
    </w:p>
    <w:p>
      <w:pPr>
        <w:pStyle w:val="BodyText"/>
      </w:pPr>
      <w:r>
        <w:rPr>
          <w:bCs/>
          <w:b/>
        </w:rPr>
        <w:t xml:space="preserve">I41. GDP effects: the impulse is the change in revenue over this year’s GDP (replicated v0.4.15).</w:t>
      </w:r>
      <w:r>
        <w:t xml:space="preserve"> </w:t>
      </w:r>
      <w:r>
        <w:t xml:space="preserve">Legacy row 14341 takes the yearly change of the revenue gain in USD over the current GDP, not the change of the gain as a share of GDP: with GDP growing, a constant share of GDP keeps giving impulses (Egypt: impulses sum to 4.9% of GDP against a final fiscal space of 3.5%). Replicated in v0.4.15 (user 2026-10-18: replicate legacy, note issues).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 (user 2026-10-18); the prototype form (change of the GDP share) is one line.</w:t>
      </w:r>
      <w:r>
        <w:t xml:space="preserve"> </w:t>
      </w:r>
      <w:r>
        <w:rPr>
          <w:iCs/>
          <w:i/>
        </w:rPr>
        <w:t xml:space="preserve">Status:</w:t>
      </w:r>
      <w:r>
        <w:t xml:space="preserve"> </w:t>
      </w:r>
      <w:r>
        <w:t xml:space="preserve">Accepted.</w:t>
      </w:r>
    </w:p>
    <w:p>
      <w:pPr>
        <w:pStyle w:val="BodyText"/>
      </w:pPr>
      <w:r>
        <w:rPr>
          <w:bCs/>
          <w:b/>
        </w:rPr>
        <w:t xml:space="preserve">I42. GDP effects: impulses only from GDPStartYear (replicated v0.4.15).</w:t>
      </w:r>
      <w:r>
        <w:t xml:space="preserve"> </w:t>
      </w:r>
      <w:r>
        <w:t xml:space="preserve">Legacy cohorts start in GDPStartYear (MTInputs row 236, Egypt 2025): revenue gained before it never acts on GDP, and the first cohort holds only the change of that year. Replicated in v0.4.15 (impulse 0 before GDPStartYear).</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I43. GDP effects: revenue uses 0 before the carbon price starts (not replicated).</w:t>
      </w:r>
      <w:r>
        <w:t xml:space="preserve"> </w:t>
      </w:r>
      <w:r>
        <w:t xml:space="preserve">Legacy rows 96-100 set the revenue-use shares to 0 before CPIntro, so an impulse of those years counts only as an excise drag. The prototype applies the shares in every year (per-cohort shares would need one share row per cohort). Tiny for Egypt (the revenue gain before CPIntro is nearly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v0.5.7: rows fis.impp and fis.lagp (impulse 0 before CPIntro) feed every revenue use but the excise drag, as legacy rows 96-100.</w:t>
      </w:r>
      <w:r>
        <w:t xml:space="preserve"> </w:t>
      </w:r>
      <w:r>
        <w:rPr>
          <w:iCs/>
          <w:i/>
        </w:rPr>
        <w:t xml:space="preserve">Status:</w:t>
      </w:r>
      <w:r>
        <w:t xml:space="preserve"> </w:t>
      </w:r>
      <w:r>
        <w:t xml:space="preserve">Resolved.</w:t>
      </w:r>
    </w:p>
    <w:p>
      <w:pPr>
        <w:pStyle w:val="BodyText"/>
      </w:pPr>
      <w:r>
        <w:rPr>
          <w:bCs/>
          <w:b/>
        </w:rPr>
        <w:t xml:space="preserve">I44. Multipliers: the income-group spread added to manual and country multipliers (replicated v0.4.15).</w:t>
      </w:r>
      <w:r>
        <w:t xml:space="preserve"> </w:t>
      </w:r>
      <w:r>
        <w:t xml:space="preserve">Legacy Low / High (FmAdj) adds -/+ the standard deviation of the income group to every source, also to manual and country-estimated multipliers. Replicated in v0.4.15 (Inputs_mult est and man columns).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I45. Multipliers: excise estimates from the</w:t>
      </w:r>
      <w:r>
        <w:rPr>
          <w:bCs/>
          <w:b/>
        </w:rPr>
        <w:t xml:space="preserve"> </w:t>
      </w:r>
      <w:r>
        <w:rPr>
          <w:bCs/>
          <w:b/>
        </w:rPr>
        <w:t xml:space="preserve">“</w:t>
      </w:r>
      <w:r>
        <w:rPr>
          <w:bCs/>
          <w:b/>
        </w:rPr>
        <w:t xml:space="preserve">Excise tax</w:t>
      </w:r>
      <w:r>
        <w:rPr>
          <w:bCs/>
          <w:b/>
        </w:rPr>
        <w:t xml:space="preserve">”</w:t>
      </w:r>
      <w:r>
        <w:rPr>
          <w:bCs/>
          <w:b/>
        </w:rPr>
        <w:t xml:space="preserve"> </w:t>
      </w:r>
      <w:r>
        <w:rPr>
          <w:bCs/>
          <w:b/>
        </w:rPr>
        <w:t xml:space="preserve">table (replicated v0.4.15).</w:t>
      </w:r>
      <w:r>
        <w:t xml:space="preserve"> </w:t>
      </w:r>
      <w:r>
        <w:t xml:space="preserve">Legacy maps the energy excise instrument (EXC) to the</w:t>
      </w:r>
      <w:r>
        <w:t xml:space="preserve"> </w:t>
      </w:r>
      <w:r>
        <w:t xml:space="preserve">“</w:t>
      </w:r>
      <w:r>
        <w:t xml:space="preserve">Excise tax</w:t>
      </w:r>
      <w:r>
        <w:t xml:space="preserve">”</w:t>
      </w:r>
      <w:r>
        <w:t xml:space="preserve"> </w:t>
      </w:r>
      <w:r>
        <w:t xml:space="preserve">country table (rows 614-812); the</w:t>
      </w:r>
      <w:r>
        <w:t xml:space="preserve"> </w:t>
      </w:r>
      <w:r>
        <w:t xml:space="preserve">“</w:t>
      </w:r>
      <w:r>
        <w:t xml:space="preserve">Fuel tax</w:t>
      </w:r>
      <w:r>
        <w:t xml:space="preserve">”</w:t>
      </w:r>
      <w:r>
        <w:t xml:space="preserve"> </w:t>
      </w:r>
      <w:r>
        <w:t xml:space="preserve">table (rows 210-408) is never used. Replicated in v0.4.15.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v0.4.15.</w:t>
      </w:r>
      <w:r>
        <w:t xml:space="preserve"> </w:t>
      </w:r>
      <w:r>
        <w:rPr>
          <w:iCs/>
          <w:i/>
        </w:rPr>
        <w:t xml:space="preserve">Status:</w:t>
      </w:r>
      <w:r>
        <w:t xml:space="preserve"> </w:t>
      </w:r>
      <w:r>
        <w:t xml:space="preserve">Accepted.</w:t>
      </w:r>
    </w:p>
    <w:p>
      <w:pPr>
        <w:pStyle w:val="BodyText"/>
      </w:pPr>
      <w:r>
        <w:rPr>
          <w:bCs/>
          <w:b/>
        </w:rPr>
        <w:t xml:space="preserve">I46. Revenue by policy: transport and renewable subsidies not modelled.</w:t>
      </w:r>
      <w:r>
        <w:t xml:space="preserve"> </w:t>
      </w:r>
      <w:r>
        <w:t xml:space="preserve">Legacy total revenue (row 8012) includes the transport revenues of the engineer road model (customs and VAT on vehicles, feebates, vehicle and charging subsidies, distance tax; rows 7899-7985) and the renewable subsidy cost (from the elasticity power model even where the engineer model is used, rows 7882-7890). The prototype 12e block has both rows at 0 (road engineer revenues parked; no renewable subsidy policy). Egypt: transport +0.04 bn in 2030 against baseline.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Renewable subsidies: in the power model since v0.5.4 (prrns), counted in rsub, rtot and block 12e row rpol.ren, as legacy rows 7882-7890. Transport revenues: dropped with the engineer road model (I61, user 2026-10-20); row rpol.trs stays 0.</w:t>
      </w:r>
      <w:r>
        <w:t xml:space="preserve"> </w:t>
      </w:r>
      <w:r>
        <w:rPr>
          <w:iCs/>
          <w:i/>
        </w:rPr>
        <w:t xml:space="preserve">Status:</w:t>
      </w:r>
      <w:r>
        <w:t xml:space="preserve"> </w:t>
      </w:r>
      <w:r>
        <w:t xml:space="preserve">Resolved.</w:t>
      </w:r>
    </w:p>
    <w:p>
      <w:pPr>
        <w:pStyle w:val="BodyText"/>
      </w:pPr>
      <w:r>
        <w:rPr>
          <w:bCs/>
          <w:b/>
        </w:rPr>
        <w:t xml:space="preserve">I47. GDP effects: methane fee in the fiscal space on the scenario’s own activity.</w:t>
      </w:r>
      <w:r>
        <w:t xml:space="preserve"> </w:t>
      </w:r>
      <w:r>
        <w:t xml:space="preserve">Legacy counts the methane fee in total revenue (row 8010) and so in the fiscal space, on the scenario’s own activity; the prototype does the same since v0.9.0 (user 2026-10-29). Before (v0.6.2-v0.8.5), the prototype counted it with the stored scenario-1 activity of downstream gas and biomass use (v0.6.2, user decision 2026-10-20: no vulnerability to circular references through the GDP feedback). Differs from legacy only when a policy changes gas or biomass use and a methane fee applies. None for Egypt (no methane fee in the scenarios).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since v0.9.0 (user 2026-10-29): the fiscal space counts the methane fee on the scenario’s own activity, as legacy rows 8018-8025 (fis.rev + ch4.rev). Every reference is to the same year and the GDP feedback lags one year, so there is no circular reference (checked by a full recalculation). v0.6.2-v0.8.5 used the stored scenario-1 gas and biomass activity (ch4.revf, now a memo row).</w:t>
      </w:r>
      <w:r>
        <w:t xml:space="preserve"> </w:t>
      </w:r>
      <w:r>
        <w:rPr>
          <w:iCs/>
          <w:i/>
        </w:rPr>
        <w:t xml:space="preserve">Status:</w:t>
      </w:r>
      <w:r>
        <w:t xml:space="preserve"> </w:t>
      </w:r>
      <w:r>
        <w:t xml:space="preserve">Accepted.</w:t>
      </w:r>
    </w:p>
    <w:p>
      <w:pPr>
        <w:pStyle w:val="BodyText"/>
      </w:pPr>
      <w:r>
        <w:rPr>
          <w:bCs/>
          <w:b/>
        </w:rPr>
        <w:t xml:space="preserve">I48. Price-control phase-out uses the consumer subsidy share (replicated v0.4.16).</w:t>
      </w:r>
      <w:r>
        <w:t xml:space="preserve"> </w:t>
      </w:r>
      <w:r>
        <w:t xml:space="preserve">Legacy rows 2216-2217 take the floor and slope of the price-control factor from the consumer subsidy share (I2201): there is no price-control share, and a baseline price-control phase-out (share 0) has no effect. The phase-out also scales a floating tax, not only a floating subsidy. Replicated in v0.4.16 (po.sh.pc).</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v0.4.16; a price-control share would need an MTInputs row.</w:t>
      </w:r>
      <w:r>
        <w:t xml:space="preserve"> </w:t>
      </w:r>
      <w:r>
        <w:rPr>
          <w:iCs/>
          <w:i/>
        </w:rPr>
        <w:t xml:space="preserve">Status:</w:t>
      </w:r>
      <w:r>
        <w:t xml:space="preserve"> </w:t>
      </w:r>
      <w:r>
        <w:t xml:space="preserve">Accepted.</w:t>
      </w:r>
    </w:p>
    <w:p>
      <w:pPr>
        <w:pStyle w:val="BodyText"/>
      </w:pPr>
      <w:r>
        <w:rPr>
          <w:bCs/>
          <w:b/>
        </w:rPr>
        <w:t xml:space="preserve">I49. Producer subsidies spread over world or domestic demand, in the supply cost (replicated v0.9.0).</w:t>
      </w:r>
      <w:r>
        <w:t xml:space="preserve"> </w:t>
      </w:r>
      <w:r>
        <w:t xml:space="preserve">Legacy spreads a producer subsidy over world demand (oil) or half world, half domestic demand (coal, gas), and over domestic use (biomass): the per-unit subsidy is then near zero for oil, coal and gas, and enters the supply cost (the pass-through share reaches retail; the price controls absorb the rest). The prototype does the same since v0.9.0 (R7: psu x psf, block row psp in the supply cost; fiscal line rpsu); electricity producer subsidies enter the power price before policies (pseu, R7.5-R7.9). None for Egypt (data 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legacy (v0.9.0, R7): the phase-out in the supply cost (psu x psf, block row psp), the price controls absorb (1 - pass-through); the v0.6.2 wedge rows (psw, ppsw, psr) removed. Electricity producer subsidies built (R7.5-R7.9; I146). Egypt: no data (0).</w:t>
      </w:r>
      <w:r>
        <w:t xml:space="preserve"> </w:t>
      </w:r>
      <w:r>
        <w:rPr>
          <w:iCs/>
          <w:i/>
        </w:rPr>
        <w:t xml:space="preserve">Status:</w:t>
      </w:r>
      <w:r>
        <w:t xml:space="preserve"> </w:t>
      </w:r>
      <w:r>
        <w:t xml:space="preserve">Resolved.</w:t>
      </w:r>
    </w:p>
    <w:p>
      <w:pPr>
        <w:pStyle w:val="BodyText"/>
      </w:pPr>
      <w:r>
        <w:rPr>
          <w:bCs/>
          <w:b/>
        </w:rPr>
        <w:t xml:space="preserve">I50. Residential LPG and kerosene always exempted: all new policy removed (replicated v0.5.1).</w:t>
      </w:r>
      <w:r>
        <w:t xml:space="preserve"> </w:t>
      </w:r>
      <w:r>
        <w:t xml:space="preserve">AlwaysExemptResLPGKer (MTInputs 268, per scenario) removes the carbon tax, the ETS and the new excise with their VAT from the residential LPG and kerosene price (legacy rows 5546-5547); the shadow price is kept, and ETS-covered emissions still count the fuels.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(as legacy).</w:t>
      </w:r>
      <w:r>
        <w:t xml:space="preserve"> </w:t>
      </w:r>
      <w:r>
        <w:rPr>
          <w:iCs/>
          <w:i/>
        </w:rPr>
        <w:t xml:space="preserve">Status:</w:t>
      </w:r>
      <w:r>
        <w:t xml:space="preserve"> </w:t>
      </w:r>
      <w:r>
        <w:t xml:space="preserve">Accepted.</w:t>
      </w:r>
    </w:p>
    <w:p>
      <w:pPr>
        <w:pStyle w:val="BodyText"/>
      </w:pPr>
      <w:r>
        <w:rPr>
          <w:bCs/>
          <w:b/>
        </w:rPr>
        <w:t xml:space="preserve">I51. Residential leakage: the fossil change is efficiency-weighted (replicated v0.5.1).</w:t>
      </w:r>
      <w:r>
        <w:t xml:space="preserve"> </w:t>
      </w:r>
      <w:r>
        <w:t xml:space="preserve">dF = -F x e_m x p, as legacy (p read as a share of useful energy). The alternative dF = -F x p is equally defensible (Egypt, $20 scenario, 2027: about -45 ktoe LPG and +127 ktoe biomass instead of -25 and +71).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keep the efficiency weighting, as legacy.</w:t>
      </w:r>
      <w:r>
        <w:t xml:space="preserve"> </w:t>
      </w:r>
      <w:r>
        <w:rPr>
          <w:iCs/>
          <w:i/>
        </w:rPr>
        <w:t xml:space="preserve">Status:</w:t>
      </w:r>
      <w:r>
        <w:t xml:space="preserve"> </w:t>
      </w:r>
      <w:r>
        <w:t xml:space="preserve">Accepted.</w:t>
      </w:r>
    </w:p>
    <w:p>
      <w:pPr>
        <w:pStyle w:val="BodyText"/>
      </w:pPr>
      <w:r>
        <w:rPr>
          <w:bCs/>
          <w:b/>
        </w:rPr>
        <w:t xml:space="preserve">I52. ETS inclusion: construction, fuel transformation and other energy use follow the buildings flag.</w:t>
      </w:r>
      <w:r>
        <w:t xml:space="preserve"> </w:t>
      </w:r>
      <w:r>
        <w:t xml:space="preserve">Manual inputs V11:X11 read Dashboard Q30 (buildings) for construction, fuel transformation and other energy use: a grouping choice. The prototype types ETS coverage per scenario (MTInputs rows 99-115).</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Conditional: nothing to replicate now (the prototype types ETS coverage per sector). Decided (user 2026-10-19): replicate the legacy grouping when ETS coverage by Dashboard groups is built.</w:t>
      </w:r>
      <w:r>
        <w:t xml:space="preserve"> </w:t>
      </w:r>
      <w:r>
        <w:rPr>
          <w:iCs/>
          <w:i/>
        </w:rPr>
        <w:t xml:space="preserve">Status:</w:t>
      </w:r>
      <w:r>
        <w:t xml:space="preserve"> </w:t>
      </w:r>
      <w:r>
        <w:t xml:space="preserve">Accepted.</w:t>
      </w:r>
    </w:p>
    <w:p>
      <w:pPr>
        <w:pStyle w:val="BodyText"/>
      </w:pPr>
      <w:r>
        <w:rPr>
          <w:bCs/>
          <w:b/>
        </w:rPr>
        <w:t xml:space="preserve">I53. Manual domestic prices switch on only with a 2021 value.</w:t>
      </w:r>
      <w:r>
        <w:t xml:space="preserve"> </w:t>
      </w:r>
      <w:r>
        <w:t xml:space="preserve">A manual price row is</w:t>
      </w:r>
      <w:r>
        <w:t xml:space="preserve"> </w:t>
      </w:r>
      <w:r>
        <w:t xml:space="preserve">“</w:t>
      </w:r>
      <w:r>
        <w:t xml:space="preserve">Manual</w:t>
      </w:r>
      <w:r>
        <w:t xml:space="preserve">”</w:t>
      </w:r>
      <w:r>
        <w:t xml:space="preserve"> </w:t>
      </w:r>
      <w:r>
        <w:t xml:space="preserve">only if its 2021 value is filled (Mitigation F765:F829 test K$764); years without a value fall back to the data year by year. Could be a bug (intent unclear). Replicated since v0.9.0 (R8.1-R8.2, Inputs_prices MPU; I139).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R8.1-R8.2; I139): a manual row switches on with a 2021 value; manual years 2021-2026. Ask the CPAT team about the intent.</w:t>
      </w:r>
      <w:r>
        <w:t xml:space="preserve"> </w:t>
      </w:r>
      <w:r>
        <w:rPr>
          <w:iCs/>
          <w:i/>
        </w:rPr>
        <w:t xml:space="preserve">Status:</w:t>
      </w:r>
      <w:r>
        <w:t xml:space="preserve"> </w:t>
      </w:r>
      <w:r>
        <w:t xml:space="preserve">Accepted.</w:t>
      </w:r>
    </w:p>
    <w:p>
      <w:pPr>
        <w:pStyle w:val="BodyText"/>
      </w:pPr>
      <w:r>
        <w:t xml:space="preserve">**I54. PPAs: phase-out switch only on the exact text “Yes</w:t>
      </w:r>
      <w:r>
        <w:rPr>
          <w:iCs/>
          <w:i/>
        </w:rPr>
        <w:t xml:space="preserve">“</w:t>
      </w:r>
      <w:r>
        <w:rPr>
          <w:iCs/>
          <w:i/>
        </w:rPr>
        <w:t xml:space="preserve">; share to phase out typed 1.** Q2190 = IF(Q2189 =</w:t>
      </w:r>
      <w:r>
        <w:rPr>
          <w:iCs/>
          <w:i/>
        </w:rPr>
        <w:t xml:space="preserve">”</w:t>
      </w:r>
      <w:r>
        <w:rPr>
          <w:iCs/>
          <w:i/>
        </w:rPr>
        <w:t xml:space="preserve">Yes</w:t>
      </w:r>
      <w:r>
        <w:t xml:space="preserve">”, 1, 0): a plain</w:t>
      </w:r>
      <w:r>
        <w:t xml:space="preserve"> </w:t>
      </w:r>
      <w:r>
        <w:t xml:space="preserve">“</w:t>
      </w:r>
      <w:r>
        <w:t xml:space="preserve">Yes</w:t>
      </w:r>
      <w:r>
        <w:t xml:space="preserve">”</w:t>
      </w:r>
      <w:r>
        <w:t xml:space="preserve"> </w:t>
      </w:r>
      <w:r>
        <w:t xml:space="preserve">means no phase-out; the share of PPAs to phase out is typed 1 (Mitigation Q2190, Q2193, row 2218). Replicated with Yes or Yes* (LEFT 3), share 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2026-10-18).</w:t>
      </w:r>
      <w:r>
        <w:t xml:space="preserve"> </w:t>
      </w:r>
      <w:r>
        <w:rPr>
          <w:iCs/>
          <w:i/>
        </w:rPr>
        <w:t xml:space="preserve">Status:</w:t>
      </w:r>
      <w:r>
        <w:t xml:space="preserve"> </w:t>
      </w:r>
      <w:r>
        <w:t xml:space="preserve">Accepted.</w:t>
      </w:r>
    </w:p>
    <w:p>
      <w:pPr>
        <w:pStyle w:val="BodyText"/>
      </w:pPr>
      <w:r>
        <w:rPr>
          <w:bCs/>
          <w:b/>
        </w:rPr>
        <w:t xml:space="preserve">I55. Renewable subsidies: nominal inputs used as real.</w:t>
      </w:r>
      <w:r>
        <w:t xml:space="preserve"> </w:t>
      </w:r>
      <w:r>
        <w:t xml:space="preserve">MTInputs 352-353 are labelled $/kWh nominal and enter the real cost and revenue without deflation (Mitigation row 2743). Replicated (rows rnsp, rns).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Reclassified as legacy bug L114 (user 2026-10-19).</w:t>
      </w:r>
      <w:r>
        <w:t xml:space="preserve"> </w:t>
      </w:r>
      <w:r>
        <w:rPr>
          <w:iCs/>
          <w:i/>
        </w:rPr>
        <w:t xml:space="preserve">Status:</w:t>
      </w:r>
      <w:r>
        <w:t xml:space="preserve"> </w:t>
      </w:r>
      <w:r>
        <w:t xml:space="preserve">Resolved.</w:t>
      </w:r>
    </w:p>
    <w:p>
      <w:pPr>
        <w:pStyle w:val="BodyText"/>
      </w:pPr>
      <w:r>
        <w:rPr>
          <w:bCs/>
          <w:b/>
        </w:rPr>
        <w:t xml:space="preserve">I56. Electricity excise: base-year grid intensity of the energy balance.</w:t>
      </w:r>
      <w:r>
        <w:t xml:space="preserve"> </w:t>
      </w:r>
      <w:r>
        <w:t xml:space="preserve">The excise per kWh = CO2 of the fuel input to power / power output of the base-year balance x carbon price, the same intensity in every year and scenario (Mitigation C2253, row 2253). Replicated (row exs, PwGInt) with the prototype’s calibrated power EFs.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Decided (user 2026-10-19): legacy kept (base-year intensity); the yearly intensity would be an upgrade.</w:t>
      </w:r>
      <w:r>
        <w:t xml:space="preserve"> </w:t>
      </w:r>
      <w:r>
        <w:rPr>
          <w:iCs/>
          <w:i/>
        </w:rPr>
        <w:t xml:space="preserve">Status:</w:t>
      </w:r>
      <w:r>
        <w:t xml:space="preserve"> </w:t>
      </w:r>
      <w:r>
        <w:t xml:space="preserve">Accepted.</w:t>
      </w:r>
    </w:p>
    <w:p>
      <w:pPr>
        <w:pStyle w:val="BodyText"/>
      </w:pPr>
      <w:r>
        <w:rPr>
          <w:bCs/>
          <w:b/>
        </w:rPr>
        <w:t xml:space="preserve">I57. Final deficit to gas: a typed switch outside MTInputs.</w:t>
      </w:r>
      <w:r>
        <w:t xml:space="preserve"> </w:t>
      </w:r>
      <w:r>
        <w:t xml:space="preserve">The switch is a typed cell (Mitigation E4248, No), global. Replicated as a global switch on Settings C45 (PwDeficitGas, default No).</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None (user decision: Settings, as legacy).</w:t>
      </w:r>
      <w:r>
        <w:t xml:space="preserve"> </w:t>
      </w:r>
      <w:r>
        <w:rPr>
          <w:iCs/>
          <w:i/>
        </w:rPr>
        <w:t xml:space="preserve">Status:</w:t>
      </w:r>
      <w:r>
        <w:t xml:space="preserve"> </w:t>
      </w:r>
      <w:r>
        <w:t xml:space="preserve">Accepted.</w:t>
      </w:r>
    </w:p>
    <w:p>
      <w:pPr>
        <w:pStyle w:val="BodyText"/>
      </w:pPr>
      <w:r>
        <w:rPr>
          <w:bCs/>
          <w:b/>
        </w:rPr>
        <w:t xml:space="preserve">I58. Power switches tested for the exact</w:t>
      </w:r>
      <w:r>
        <w:rPr>
          <w:bCs/>
          <w:b/>
        </w:rPr>
        <w:t xml:space="preserve"> </w:t>
      </w:r>
      <w:r>
        <w:rPr>
          <w:bCs/>
          <w:b/>
        </w:rPr>
        <w:t xml:space="preserve">“</w:t>
      </w:r>
      <w:r>
        <w:rPr>
          <w:bCs/>
          <w:b/>
        </w:rPr>
        <w:t xml:space="preserve">Yes</w:t>
      </w:r>
      <w:r>
        <w:rPr>
          <w:bCs/>
          <w:b/>
        </w:rPr>
        <w:t xml:space="preserve">”</w:t>
      </w:r>
      <w:r>
        <w:rPr>
          <w:bCs/>
          <w:b/>
        </w:rPr>
        <w:t xml:space="preserve">.</w:t>
      </w:r>
      <w:r>
        <w:t xml:space="preserve"> </w:t>
      </w:r>
      <w:r>
        <w:t xml:space="preserve">PowerRebates (G261), RenewableSubsidyHydro (row 3150) and AdditionalExcise (F201) count a starred “Yes</w:t>
      </w:r>
      <w:r>
        <w:rPr>
          <w:iCs/>
          <w:i/>
        </w:rPr>
        <w:t xml:space="preserve">” as No. The prototype accepts Yes or Yes</w:t>
      </w:r>
      <w:r>
        <w:t xml:space="preserve"> </w:t>
      </w:r>
      <w:r>
        <w:t xml:space="preserve">(LEFT 3), as I54 and the other prototype switches.</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Reclassified as legacy bug L113 (user 2026-10-19).</w:t>
      </w:r>
      <w:r>
        <w:t xml:space="preserve"> </w:t>
      </w:r>
      <w:r>
        <w:rPr>
          <w:iCs/>
          <w:i/>
        </w:rPr>
        <w:t xml:space="preserve">Status:</w:t>
      </w:r>
      <w:r>
        <w:t xml:space="preserve"> </w:t>
      </w:r>
      <w:r>
        <w:t xml:space="preserve">Resolved.</w:t>
      </w:r>
    </w:p>
    <w:p>
      <w:pPr>
        <w:pStyle w:val="BodyText"/>
      </w:pPr>
      <w:r>
        <w:rPr>
          <w:bCs/>
          <w:b/>
        </w:rPr>
        <w:t xml:space="preserve">I59. Electricity fuel price reform not applied to electricity prices (not replicated yet).</w:t>
      </w:r>
      <w:r>
        <w:t xml:space="preserve"> </w:t>
      </w:r>
      <w:r>
        <w:t xml:space="preserve">Legacy adds the electricity fuel price reform (MTInputs 148/162) to the excise (row 216); the prototype computes fpr.ecy but does not apply it to the electricity price.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the electricity fuel price reform path enters the excise of policy scenarios (row entx).</w:t>
      </w:r>
      <w:r>
        <w:t xml:space="preserve"> </w:t>
      </w:r>
      <w:r>
        <w:rPr>
          <w:iCs/>
          <w:i/>
        </w:rPr>
        <w:t xml:space="preserve">Status:</w:t>
      </w:r>
      <w:r>
        <w:t xml:space="preserve"> </w:t>
      </w:r>
      <w:r>
        <w:t xml:space="preserve">Resolved.</w:t>
      </w:r>
    </w:p>
    <w:p>
      <w:pPr>
        <w:pStyle w:val="BodyText"/>
      </w:pPr>
      <w:r>
        <w:rPr>
          <w:bCs/>
          <w:b/>
        </w:rPr>
        <w:t xml:space="preserve">I60. End-user electricity price not floored at MinPostSubsidyPowerPrice (not replicated yet).</w:t>
      </w:r>
      <w:r>
        <w:t xml:space="preserve"> </w:t>
      </w:r>
      <w:r>
        <w:t xml:space="preserve">Legacy floors the end-user electricity price at MinPostSubsidyPowerPrice (rows 3617, 3646); the prototype has no floor (MinPostSubsidyPowerPrice is read per scenario since v0.5.4 but used only where legacy uses it in the cost side).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end-user electricity prices floored at MinPostSubsidyPowerPrice (row rp).</w:t>
      </w:r>
      <w:r>
        <w:t xml:space="preserve"> </w:t>
      </w:r>
      <w:r>
        <w:rPr>
          <w:iCs/>
          <w:i/>
        </w:rPr>
        <w:t xml:space="preserve">Status:</w:t>
      </w:r>
      <w:r>
        <w:t xml:space="preserve"> </w:t>
      </w:r>
      <w:r>
        <w:t xml:space="preserve">Resolved.</w:t>
      </w:r>
    </w:p>
    <w:p>
      <w:pPr>
        <w:pStyle w:val="BodyText"/>
      </w:pPr>
      <w:r>
        <w:rPr>
          <w:bCs/>
          <w:b/>
        </w:rPr>
        <w:t xml:space="preserve">I61. Engineer road model: follow-ups parked.</w:t>
      </w:r>
      <w:r>
        <w:t xml:space="preserve"> </w:t>
      </w:r>
      <w:r>
        <w:t xml:space="preserve">The engineer road model (v0.3.5) replicates legacy with its bugs fixed (L25-L41), but its follow-ups are parked (user 2026-10-18: too many issues, not to be fixed now): review of the engineer run in Excel (TrModel), a goal seek to re-solve range anxiety for the corrected model (LD63; Egypt 2025 passenger EV sales share 0.09% vs 0.15% actual), the elasticity branch of road biofuels (LD62) and vehicle revenues in 12b. The default run uses the elasticity road model,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v0.9.0: the range-anxiety goal seek (ra_goalseek.py, LegacyDiff 63) and the elasticity branch of road biofuels (R10, LegacyDiff 62) are built; the review of the engineer run in Excel and the vehicle revenues in 12b stay parked.</w:t>
      </w:r>
      <w:r>
        <w:t xml:space="preserve"> </w:t>
      </w:r>
      <w:r>
        <w:rPr>
          <w:iCs/>
          <w:i/>
        </w:rPr>
        <w:t xml:space="preserve">Status:</w:t>
      </w:r>
      <w:r>
        <w:t xml:space="preserve"> </w:t>
      </w:r>
      <w:r>
        <w:t xml:space="preserve">Accepted.</w:t>
      </w:r>
    </w:p>
    <w:p>
      <w:pPr>
        <w:pStyle w:val="BodyText"/>
      </w:pPr>
      <w:r>
        <w:rPr>
          <w:bCs/>
          <w:b/>
        </w:rPr>
        <w:t xml:space="preserve">I62. Fuel use: no partial-adjustment model.</w:t>
      </w:r>
      <w:r>
        <w:t xml:space="preserve"> </w:t>
      </w:r>
      <w:r>
        <w:t xml:space="preserve">Fuel use responds to prices and income with constant long-run elasticities, as legacy, with no partial (lagged) adjustment, so the full response comes in the year of the price change. Parked by the user (2026-10-09); was upgrade U12.</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add a partial-adjustment option: fuel use moves a share of the way to its long-run level each year (short-run and long-run elasticities), as an upgrade over legacy, switch off = legacy.</w:t>
      </w:r>
      <w:r>
        <w:t xml:space="preserve"> </w:t>
      </w:r>
      <w:r>
        <w:rPr>
          <w:iCs/>
          <w:i/>
        </w:rPr>
        <w:t xml:space="preserve">Status:</w:t>
      </w:r>
      <w:r>
        <w:t xml:space="preserve"> </w:t>
      </w:r>
      <w:r>
        <w:t xml:space="preserve">Accepted.</w:t>
      </w:r>
    </w:p>
    <w:p>
      <w:pPr>
        <w:pStyle w:val="BodyText"/>
      </w:pPr>
      <w:r>
        <w:rPr>
          <w:bCs/>
          <w:b/>
        </w:rPr>
        <w:t xml:space="preserve">I63. Demand responds to real USD prices, not real local-currency prices.</w:t>
      </w:r>
      <w:r>
        <w:t xml:space="preserve"> </w:t>
      </w:r>
      <w:r>
        <w:t xml:space="preserve">As legacy, fuel and electricity demand respond to prices in real USD. Under a devaluation the two diverge (Egypt gasoline 2022-2024: about -15% in real EGP against -42% in real USD), so demand responds to a price fall households do not see. Parked by the user (2026-10-09); related to I89 and U3.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Parked, then dropped by the user (2026-10-20).</w:t>
      </w:r>
      <w:r>
        <w:t xml:space="preserve"> </w:t>
      </w:r>
      <w:r>
        <w:rPr>
          <w:iCs/>
          <w:i/>
        </w:rPr>
        <w:t xml:space="preserve">Status:</w:t>
      </w:r>
      <w:r>
        <w:t xml:space="preserve"> </w:t>
      </w:r>
      <w:r>
        <w:t xml:space="preserve">Dropped.</w:t>
      </w:r>
    </w:p>
    <w:p>
      <w:pPr>
        <w:pStyle w:val="BodyText"/>
      </w:pPr>
      <w:r>
        <w:rPr>
          <w:bCs/>
          <w:b/>
        </w:rPr>
        <w:t xml:space="preserve">I66. Fuel production for supply methane held at the base year (not replicated).</w:t>
      </w:r>
      <w:r>
        <w:t xml:space="preserve"> </w:t>
      </w:r>
      <w:r>
        <w:t xml:space="preserve">Legacy grows crude oil, natural gas and coal production (rows 6132-6135) from 2024 with the producer-price response to the methane fee (rows 6123-6130: price increase x pass-through, Manual inputs J190:J194 elasticities) and the growth of world demand of the global demand scenario (Prices_int rows 323-333, lagged one year). The prototype holds production at the base year (rows ch4.act og, cm). Found 2026-10-19 checking I26.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v0.5.6: rows ch4.wd, ch4.fk, ch4.pi, ch4.prd (inventory-year activity = base production, to avoid a loop; legacy holds 2022-2023 at the base anyway). Note: legacy CHOOSE reads the Net Zero row for the third and fourth demand scenarios.</w:t>
      </w:r>
      <w:r>
        <w:t xml:space="preserve"> </w:t>
      </w:r>
      <w:r>
        <w:rPr>
          <w:iCs/>
          <w:i/>
        </w:rPr>
        <w:t xml:space="preserve">Status:</w:t>
      </w:r>
      <w:r>
        <w:t xml:space="preserve"> </w:t>
      </w:r>
      <w:r>
        <w:t xml:space="preserve">Resolved.</w:t>
      </w:r>
    </w:p>
    <w:p>
      <w:pPr>
        <w:pStyle w:val="BodyText"/>
      </w:pPr>
      <w:r>
        <w:rPr>
          <w:bCs/>
          <w:b/>
        </w:rPr>
        <w:t xml:space="preserve">I69. Air-pollution co-benefits (health, mortality) not built.</w:t>
      </w:r>
      <w:r>
        <w:t xml:space="preserve"> </w:t>
      </w:r>
      <w:r>
        <w:t xml:space="preserve">Legacy computes air-pollution mortality and its valuation from fuel use (sheets AP and the Mitigation co-benefit rows). The prototype keeps local pollutant emissions (section 15) only.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I70. Transport externalities (congestion, accidents, road damage) not built.</w:t>
      </w:r>
      <w:r>
        <w:t xml:space="preserve"> </w:t>
      </w:r>
      <w:r>
        <w:t xml:space="preserve">Legacy values the transport externalities of road fuel use and vehicle-km. Not in the prototype. Dropped by the user (2026-10-20); the plan stays for reference.</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Module dropped by the user (2026-10-20); plan kept for reference.</w:t>
      </w:r>
      <w:r>
        <w:t xml:space="preserve"> </w:t>
      </w:r>
      <w:r>
        <w:rPr>
          <w:iCs/>
          <w:i/>
        </w:rPr>
        <w:t xml:space="preserve">Status:</w:t>
      </w:r>
      <w:r>
        <w:t xml:space="preserve"> </w:t>
      </w:r>
      <w:r>
        <w:t xml:space="preserve">Dropped.</w:t>
      </w:r>
    </w:p>
    <w:p>
      <w:pPr>
        <w:pStyle w:val="BodyText"/>
      </w:pPr>
      <w:r>
        <w:rPr>
          <w:bCs/>
          <w:b/>
        </w:rPr>
        <w:t xml:space="preserve">I71. Fuel use grows with total GDP: population gets the income elasticity.</w:t>
      </w:r>
      <w:r>
        <w:t xml:space="preserve"> </w:t>
      </w:r>
      <w:r>
        <w:t xml:space="preserve">Legacy updates fuel use each year with GDP growth raised to the income elasticity (x the income factor), next to the price and efficiency terms (CPAT equation 3.3.3; legacy row 2433). Total GDP growth mixes per-capita income growth with population growth, so population growth acts through the income elasticity (typically below 1) instead of an exponent of about 1, and its effect is entangled with the price elasticities in the same multiplicative update. Replicated as legacy. High priority (user 2026-10-20).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Legacy issue, not a bug: high priority for the CPAT team, not for the prototype (user 2026-10-20); replicated as legacy. Recommendation: split the driver: fuel use x (1 + population growth)^1 x (1 + per-capita income growth)^income elasticity, keeping the price and efficiency terms separate; switch off = legacy.</w:t>
      </w:r>
      <w:r>
        <w:t xml:space="preserve"> </w:t>
      </w:r>
      <w:r>
        <w:rPr>
          <w:iCs/>
          <w:i/>
        </w:rPr>
        <w:t xml:space="preserve">Status:</w:t>
      </w:r>
      <w:r>
        <w:t xml:space="preserve"> </w:t>
      </w:r>
      <w:r>
        <w:t xml:space="preserve">Accepted.</w:t>
      </w:r>
    </w:p>
    <w:p>
      <w:pPr>
        <w:pStyle w:val="BodyText"/>
      </w:pPr>
      <w:r>
        <w:rPr>
          <w:bCs/>
          <w:b/>
        </w:rPr>
        <w:t xml:space="preserve">I72. GDP feedback timing: same-year effects must never reach same-year demand.</w:t>
      </w:r>
      <w:r>
        <w:t xml:space="preserve"> </w:t>
      </w:r>
      <w:r>
        <w:t xml:space="preserve">Legacy and the prototype let revenue of year t move GDP only from year t+1 (legacy row 8761 reads the previous column; prototype gdp.lvl = 1 + last year’s gdp.eff), and the fiscal space reads revenue of year t only. This lag is what keeps the model free of circular references whatever the revenue lines read; it is not stated anywhere. Recommendation to the CPAT team: make it an explicit rule of the method and keep it when the GDP block changes.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Stated as a rule (user 2026-10-20): Methods, chapter Macro and results section Timing rule and NORMS (circular references): revenue of year t moves GDP only from year t+1, the fiscal space reads revenue of year t only, and no same-year GDP effect reaches same-year demand. Recommendation to the CPAT team: state it in the legacy method too.</w:t>
      </w:r>
      <w:r>
        <w:t xml:space="preserve"> </w:t>
      </w:r>
      <w:r>
        <w:rPr>
          <w:iCs/>
          <w:i/>
        </w:rPr>
        <w:t xml:space="preserve">Status:</w:t>
      </w:r>
      <w:r>
        <w:t xml:space="preserve"> </w:t>
      </w:r>
      <w:r>
        <w:t xml:space="preserve">Resolved.</w:t>
      </w:r>
    </w:p>
    <w:p>
      <w:pPr>
        <w:pStyle w:val="BodyText"/>
      </w:pPr>
      <w:r>
        <w:rPr>
          <w:bCs/>
          <w:b/>
        </w:rPr>
        <w:t xml:space="preserve">I73. Scenario-1 lookups must end at the current column.</w:t>
      </w:r>
      <w:r>
        <w:t xml:space="preserve"> </w:t>
      </w:r>
      <w:r>
        <w:t xml:space="preserve">Lookups of the scenario-1 value of the same year (INDEX over a row, MATCH on the year) must not range over later columns: in a recalculation that evaluates the range, a lookup over the whole row reads its own scenario’s later years and closes a circular reference (the prototype had one such row, ener.ref, fixed in v0.6.2; all others end at the current column). Recommendation to the CPAT team: check the legacy lookups the same way.</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(v0.6.2 scan of every Mitigation formula for reads of later years): no scenario-1 lookup over whole rows (the policy block reads the baseline block in the same column); the cost breakdown (rows 3509-3517) reads the user’s CostBreakdownYear, a report only; the net revenue report rows read the next year: legacy bug L128. prototype: every lookup ends at the current column (ener.ref fixed in v0.6.2); the quick check tests reads of later years.</w:t>
      </w:r>
      <w:r>
        <w:t xml:space="preserve"> </w:t>
      </w:r>
      <w:r>
        <w:rPr>
          <w:iCs/>
          <w:i/>
        </w:rPr>
        <w:t xml:space="preserve">Status:</w:t>
      </w:r>
      <w:r>
        <w:t xml:space="preserve"> </w:t>
      </w:r>
      <w:r>
        <w:t xml:space="preserve">Resolved.</w:t>
      </w:r>
    </w:p>
    <w:p>
      <w:pPr>
        <w:pStyle w:val="BodyText"/>
      </w:pPr>
      <w:r>
        <w:rPr>
          <w:bCs/>
          <w:b/>
        </w:rPr>
        <w:t xml:space="preserve">I74. Methane calibration bases must be data or base-year values.</w:t>
      </w:r>
      <w:r>
        <w:t xml:space="preserve"> </w:t>
      </w:r>
      <w:r>
        <w:t xml:space="preserve">Source allocations and intensities of the methane fee must be calibrated on data or base-year activity, never on a later model year: legacy read GHGYear (2024) activity in the earlier years, a read of later years that becomes circular as soon as the fee revenue feeds the GDP effects. The prototype uses data activity since v0.6.0 and, for the fiscal space, the stored scenario-1 gas and biomass activity (I47). Recommendation to the CPAT team.</w:t>
      </w:r>
      <w:r>
        <w:t xml:space="preserve"> </w:t>
      </w:r>
      <w:r>
        <w:rPr>
          <w:iCs/>
          <w:i/>
        </w:rPr>
        <w:t xml:space="preserve">In the prototype:</w:t>
      </w:r>
      <w:r>
        <w:t xml:space="preserve"> </w:t>
      </w:r>
      <w:r>
        <w:t xml:space="preserve">Prototype limitation.</w:t>
      </w:r>
      <w:r>
        <w:t xml:space="preserve"> </w:t>
      </w:r>
      <w:r>
        <w:rPr>
          <w:iCs/>
          <w:i/>
        </w:rPr>
        <w:t xml:space="preserve">Next step:</w:t>
      </w:r>
      <w:r>
        <w:t xml:space="preserve"> </w:t>
      </w:r>
      <w:r>
        <w:t xml:space="preserve">Legacy checked: no bug. The source allocation uses energy-balance data (row 894) and the energy CH4 calibration (row 7548) uses the first two years and applies the factor from the third (it reads only earlier years). The prototype calibrated on GHGYear (2024) in every year (its own design) and now reads stored scenario-1 values; the fiscal space uses the stored scenario-1 activity (I47).</w:t>
      </w:r>
      <w:r>
        <w:t xml:space="preserve"> </w:t>
      </w:r>
      <w:r>
        <w:rPr>
          <w:iCs/>
          <w:i/>
        </w:rPr>
        <w:t xml:space="preserve">Status:</w:t>
      </w:r>
      <w:r>
        <w:t xml:space="preserve"> </w:t>
      </w:r>
      <w:r>
        <w:t xml:space="preserve">Resolved.</w:t>
      </w:r>
    </w:p>
    <w:p>
      <w:pPr>
        <w:pStyle w:val="BodyText"/>
      </w:pPr>
      <w:r>
        <w:rPr>
          <w:bCs/>
          <w:b/>
        </w:rPr>
        <w:t xml:space="preserve">I75. Legacy code inconsistencies (CPAT code protocol).</w:t>
      </w:r>
      <w:r>
        <w:t xml:space="preserve"> </w:t>
      </w:r>
      <w:r>
        <w:t xml:space="preserve">Legacy codes do not follow one protocol: variable names differ by module (trevst vs stockcalc), slots differ in order (fuel.sector and sector.fuel), totals are written all or tot, model letters (.e, .a, .t) end some codes. The prototype follows the protocol from v0.7.2 (codes R0-R9: legacy variable names, sector before fuel, tot for totals, no model letters); legacy codes that differ are aliases in the crosswalk.</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v0.7.2 (codes R0-R9): the prototype codes follow the protocol; legacy codes that differ are aliases (crosswalk, LiveOutputs alias column). Open review rows: excel_ai/core/plans/TODO_Codes.md.</w:t>
      </w:r>
      <w:r>
        <w:t xml:space="preserve"> </w:t>
      </w:r>
      <w:r>
        <w:rPr>
          <w:iCs/>
          <w:i/>
        </w:rPr>
        <w:t xml:space="preserve">Status:</w:t>
      </w:r>
      <w:r>
        <w:t xml:space="preserve"> </w:t>
      </w:r>
      <w:r>
        <w:t xml:space="preserve">Resolved.</w:t>
      </w:r>
    </w:p>
    <w:p>
      <w:pPr>
        <w:pStyle w:val="BodyText"/>
      </w:pPr>
      <w:r>
        <w:rPr>
          <w:bCs/>
          <w:b/>
        </w:rPr>
        <w:t xml:space="preserve">I76 (was distribution DI1). Spending in the base year.</w:t>
      </w:r>
      <w:r>
        <w:t xml:space="preserve"> </w:t>
      </w:r>
      <w:r>
        <w:t xml:space="preserve">Fuel spending is taken in the base year (legacy: the first calculation year), with the price changes of the analysis year.</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I77 (was distribution DI2). GTAP values converted with the local GDP deflator.</w:t>
      </w:r>
      <w:r>
        <w:t xml:space="preserve"> </w:t>
      </w:r>
      <w:r>
        <w:t xml:space="preserve">The GTAP input-output values are converted with the local GDP deflator (legacy I244).</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I78 (was distribution DI4). Recycled amounts per capita from the overall sample.</w:t>
      </w:r>
      <w:r>
        <w:t xml:space="preserve"> </w:t>
      </w:r>
      <w:r>
        <w:t xml:space="preserve">Applied to urban and rural consumption alike.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I79 (was distribution DI5). Gini from a fitted Lorenz curve.</w:t>
      </w:r>
      <w:r>
        <w:t xml:space="preserve"> </w:t>
      </w:r>
      <w:r>
        <w:t xml:space="preserve">The Gini comes from the fitted curve, not the trapezoid rule.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I80 (was distribution DI6). Carbon-pricing revenue stands for the revenue to recycle.</w:t>
      </w:r>
      <w:r>
        <w:t xml:space="preserve"> </w:t>
      </w:r>
      <w:r>
        <w:t xml:space="preserve">Revenue from new policies (rnew: carbon tax, VAT on it, auctioned ETS) is the revenue recycled, as legacy’s carbon-pricing revenue.</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I81 (was distribution DI7). ASPIRE-targeted transfers (TransferType other than Cash).</w:t>
      </w:r>
      <w:r>
        <w:t xml:space="preserve"> </w:t>
      </w:r>
      <w:r>
        <w:t xml:space="preserve">Modelled v0.6.0: the transfer follows the program’s incidence by quintile (legacy rows 2617-2629; bugs L147-L149 fixed).</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I82 (was distribution DI8). Poverty-line targeting (TargetBelow, with Cash only).</w:t>
      </w:r>
      <w:r>
        <w:t xml:space="preserve"> </w:t>
      </w:r>
      <w:r>
        <w:t xml:space="preserve">Modelled v0.6.0: the transfer weights each decile by its share below the line (HHSurvey pct_belowpl_</w:t>
      </w:r>
      <w:r>
        <w:rPr>
          <w:iCs/>
          <w:i/>
        </w:rPr>
        <w:t xml:space="preserve">, mean as legacy; bugs L151-L153).</w:t>
      </w:r>
      <w:r>
        <w:rPr>
          <w:iCs/>
          <w:i/>
        </w:rPr>
        <w:t xml:space="preserve"> </w:t>
      </w:r>
      <w:r>
        <w:t xml:space="preserve">In the prototype:* Replicated.</w:t>
      </w:r>
      <w:r>
        <w:t xml:space="preserve"> </w:t>
      </w:r>
      <w:r>
        <w:rPr>
          <w:iCs/>
          <w:i/>
        </w:rPr>
        <w:t xml:space="preserve">Status:</w:t>
      </w:r>
      <w:r>
        <w:t xml:space="preserve"> </w:t>
      </w:r>
      <w:r>
        <w:t xml:space="preserve">Accepted.</w:t>
      </w:r>
    </w:p>
    <w:p>
      <w:pPr>
        <w:pStyle w:val="BodyText"/>
      </w:pPr>
      <w:r>
        <w:rPr>
          <w:bCs/>
          <w:b/>
        </w:rPr>
        <w:t xml:space="preserve">I83 (was distribution DI9). Pass-through switch wired into the production-sector prices only.</w:t>
      </w:r>
      <w:r>
        <w:t xml:space="preserve"> </w:t>
      </w:r>
      <w:r>
        <w:t xml:space="preserve">PassthroughDist scales the sector price changes (legacy D.VI, bug L163 fixed), not the household effects,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I84 (was distribution DI10). Median statistic: the targeted transfer only reaches deciles where more than half receive.</w:t>
      </w:r>
      <w:r>
        <w:t xml:space="preserve"> </w:t>
      </w:r>
      <w:r>
        <w:t xml:space="preserve">Modelled v0.6.0 (legacy row 2685): the money not paid is not redistributed, as legacy.</w:t>
      </w:r>
      <w:r>
        <w:t xml:space="preserve"> </w:t>
      </w:r>
      <w:r>
        <w:rPr>
          <w:iCs/>
          <w:i/>
        </w:rPr>
        <w:t xml:space="preserve">In the prototype:</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I85. Percentages typed as whole numbers on 8 inputs.</w:t>
      </w:r>
      <w:r>
        <w:t xml:space="preserve"> </w:t>
      </w:r>
      <w:r>
        <w:t xml:space="preserve">MTInputs rows 197-201 and 203-205 (revenue use EXPLabortax, EXPCIT, EXPCapex, EXPGoodsandserv, EXPTransfers; TargettedPercentile, CoverageRate, LeakageRate) hold 30 for 30%; every other percentage input holds a fraction (0.3). Replicated: the prototype keeps legacy’s values and divides where legacy divides; the Python port keeps the same convention.</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2026-10-28: the inconsistency is an issue).</w:t>
      </w:r>
      <w:r>
        <w:t xml:space="preserve"> </w:t>
      </w:r>
      <w:r>
        <w:rPr>
          <w:iCs/>
          <w:i/>
        </w:rPr>
        <w:t xml:space="preserve">Status:</w:t>
      </w:r>
      <w:r>
        <w:t xml:space="preserve"> </w:t>
      </w:r>
      <w:r>
        <w:t xml:space="preserve">Accepted.</w:t>
      </w:r>
    </w:p>
    <w:p>
      <w:pPr>
        <w:pStyle w:val="BodyText"/>
      </w:pPr>
      <w:r>
        <w:rPr>
          <w:bCs/>
          <w:b/>
        </w:rPr>
        <w:t xml:space="preserve">I86. Input names: spelling not uniform.</w:t>
      </w:r>
      <w:r>
        <w:t xml:space="preserve"> </w:t>
      </w:r>
      <w:r>
        <w:t xml:space="preserve">Column H spells ShareofProdSubPha and ShareofConsSubPhaBA beside ShareOfConsSubPha and ShareOfProdSubPhaBA, FFPhaseOut for the consumer phase-out period, NDCTargetYear where the Name Manager has NDCtargetyear, and three cells carry a second name (Simple_CPATDefaultsOrUserDefined, EnergyPricesManualSwitch for DomPrTax, EngineerModeProportionOfCovidFactor). Replicated: the column H names are kept as they are (only bug L137 is corrected).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I87. Inputs without a name.</w:t>
      </w:r>
      <w:r>
        <w:t xml:space="preserve"> </w:t>
      </w:r>
      <w:r>
        <w:t xml:space="preserve">MTInputs rows 11, 12, 14, 15 (scenario identification), 66-82 (feebate sector coverage), 99-115 (ETS sector coverage), 117-121 (CBAM process goods) and 140-183 (fuel price reform) have no NameOfParameter, so they can be found only by row or by heading and label. Not replicated by user decision (2026-10-28: a complete set of names): the prototype names them (FbCovPow, ETSCovPow, CBAMProcMch, FprIntro, FprStartCoaPow, …); values and rows as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(2026-10-28); names in the codes map.</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I88. One Dashboard cell feeds two inputs.</w:t>
      </w:r>
      <w:r>
        <w:t xml:space="preserve"> </w:t>
      </w:r>
      <w:r>
        <w:t xml:space="preserve">D_ETSIntro and D_FeebateIntro both point to Dashboard D31 (D_ETSOutro and D_FeebateOutro to D32), D_ResSubstLPGEff and D_LPGEff to L147 (also kerosene, biomass, natural gas), D_PhaseOutCoalAndGasPPAs and its baseline twin to Q55: the Dashboard sets both MTInputs rows at once (their defaults differ: ETS 2026, feebates 2027). Replicated: ScenarioDefinition keeps the two rows, as MTInputs.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r>
        <w:t xml:space="preserve"> </w:t>
      </w:r>
      <w:r>
        <w:rPr>
          <w:iCs/>
          <w:i/>
        </w:rPr>
        <w:t xml:space="preserve">See also:</w:t>
      </w:r>
      <w:r>
        <w:t xml:space="preserve"> </w:t>
      </w:r>
      <w:r>
        <w:t xml:space="preserve">L137.</w:t>
      </w:r>
    </w:p>
    <w:p>
      <w:pPr>
        <w:pStyle w:val="BodyText"/>
      </w:pPr>
      <w:r>
        <w:rPr>
          <w:bCs/>
          <w:b/>
        </w:rPr>
        <w:t xml:space="preserve">I100. Transport co-benefits use the engineer road model whatever TrModel.</w:t>
      </w:r>
      <w:r>
        <w:t xml:space="preserve"> </w:t>
      </w:r>
      <w:r>
        <w:t xml:space="preserve">Legacy computes accidents, congestion and road damage (Transport sheet, Mitigation block E rows 15724-15823) from the engineer road model’s vehicle-km, freight vehicle-km, fuel economy and passenger/freight splits, even when TrModel = Elasticity (the default), while the road share of each fuel follows TrModel. The welfare change is then not consistent with the fuel use modelled: Egypt 2031, engineer vehicle-km -8.6% against road gasoline -12.9% and diesel -14.3% in the elasticity model. Replicated: the prototype computes section 5b in every scenario and reads it, as legacy.</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2026-10-29: match legacy). Plan for legacy: take vehicle-km from the switched road fuel use when TrModel = Elasticity.</w:t>
      </w:r>
      <w:r>
        <w:t xml:space="preserve"> </w:t>
      </w:r>
      <w:r>
        <w:rPr>
          <w:iCs/>
          <w:i/>
        </w:rPr>
        <w:t xml:space="preserve">Status:</w:t>
      </w:r>
      <w:r>
        <w:t xml:space="preserve"> </w:t>
      </w:r>
      <w:r>
        <w:t xml:space="preserve">Accepted.</w:t>
      </w:r>
    </w:p>
    <w:p>
      <w:pPr>
        <w:pStyle w:val="BodyText"/>
      </w:pPr>
      <w:r>
        <w:rPr>
          <w:bCs/>
          <w:b/>
        </w:rPr>
        <w:t xml:space="preserve">I101. Coal and gas margins read at a typed year (2024).</w:t>
      </w:r>
      <w:r>
        <w:t xml:space="preserve"> </w:t>
      </w:r>
      <w:r>
        <w:t xml:space="preserve">O747:O752 read the coal and gas margins at _Country_code &amp; 2024 (typed), while the oil-product margins (O755:O758), the production cost and the domestic-production share read FirstYearCalculations. Replicated (user decision R13): Inputs_prices column mary = 2024 for coal and gas, the base year otherwise.</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R13): margin year 2024 for coal and gas (MARGIN_YEAR).</w:t>
      </w:r>
      <w:r>
        <w:t xml:space="preserve"> </w:t>
      </w:r>
      <w:r>
        <w:rPr>
          <w:iCs/>
          <w:i/>
        </w:rPr>
        <w:t xml:space="preserve">Status:</w:t>
      </w:r>
      <w:r>
        <w:t xml:space="preserve"> </w:t>
      </w:r>
      <w:r>
        <w:t xml:space="preserve">Accepted.</w:t>
      </w:r>
    </w:p>
    <w:p>
      <w:pPr>
        <w:pStyle w:val="BodyText"/>
      </w:pPr>
      <w:r>
        <w:rPr>
          <w:bCs/>
          <w:b/>
        </w:rPr>
        <w:t xml:space="preserve">I102. Fuel price reform: strict target test; Percentage rate from the first-year step.</w:t>
      </w:r>
      <w:r>
        <w:t xml:space="preserve"> </w:t>
      </w:r>
      <w:r>
        <w:t xml:space="preserve">Rows 167-180: the test is t &lt; target (strict), and the Percentage rate K for a zero start price uses (H/(G+J))^(1/n) - 1 (growth from the first-year step). With the L171 fix the strict test has no effect. No effect for Egypt (no fuel price reform).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(FPRPATH helper rows); no effect once L171 is fixed.</w:t>
      </w:r>
      <w:r>
        <w:t xml:space="preserve"> </w:t>
      </w:r>
      <w:r>
        <w:rPr>
          <w:iCs/>
          <w:i/>
        </w:rPr>
        <w:t xml:space="preserve">Status:</w:t>
      </w:r>
      <w:r>
        <w:t xml:space="preserve"> </w:t>
      </w:r>
      <w:r>
        <w:t xml:space="preserve">Accepted.</w:t>
      </w:r>
    </w:p>
    <w:p>
      <w:pPr>
        <w:pStyle w:val="BodyText"/>
      </w:pPr>
      <w:r>
        <w:rPr>
          <w:bCs/>
          <w:b/>
        </w:rPr>
        <w:t xml:space="preserve">I103. Feebates held at the target rate whatever ExtendCarbonPriceBeyondOutro.</w:t>
      </w:r>
      <w:r>
        <w:t xml:space="preserve"> </w:t>
      </w:r>
      <w:r>
        <w:t xml:space="preserve">Rows 2001-2004 (IF(t&gt;J1977,$J,…)): feebates stay constant at the target rate after the target year whatever ExtendCarbonPriceBeyondOutro says. No effect for Egypt (no feebates). Replicated (user decision LD10).</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(user decision LD10): feebates flat after the target year.</w:t>
      </w:r>
      <w:r>
        <w:t xml:space="preserve"> </w:t>
      </w:r>
      <w:r>
        <w:rPr>
          <w:iCs/>
          <w:i/>
        </w:rPr>
        <w:t xml:space="preserve">Status:</w:t>
      </w:r>
      <w:r>
        <w:t xml:space="preserve"> </w:t>
      </w:r>
      <w:r>
        <w:t xml:space="preserve">Accepted.</w:t>
      </w:r>
    </w:p>
    <w:p>
      <w:pPr>
        <w:pStyle w:val="BodyText"/>
      </w:pPr>
      <w:r>
        <w:rPr>
          <w:bCs/>
          <w:b/>
        </w:rPr>
        <w:t xml:space="preserve">I104. Air-pollution unit costs are average, not marginal, damages.</w:t>
      </w:r>
      <w:r>
        <w:t xml:space="preserve"> </w:t>
      </w:r>
      <w:r>
        <w:t xml:space="preserve">The unit costs per fuel (F10 rows 17738-17749 from the Air pollution sheet) use baseline deaths per ug/m3 (plan AP I-b): sum of cost x change in use = 0.322 bn in 2030 against legacy wel.air 0.057 bn (5.7 times). Kept as legacy for social costs, subsidies, FFS and efficient prices; the welfare uses v_PM (R1.4).</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A legacy bug (user 2026-10-29): L224, fixed with marginal damages.</w:t>
      </w:r>
      <w:r>
        <w:t xml:space="preserve"> </w:t>
      </w:r>
      <w:r>
        <w:rPr>
          <w:iCs/>
          <w:i/>
        </w:rPr>
        <w:t xml:space="preserve">Status:</w:t>
      </w:r>
      <w:r>
        <w:t xml:space="preserve"> </w:t>
      </w:r>
      <w:r>
        <w:t xml:space="preserve">Closed.</w:t>
      </w:r>
    </w:p>
    <w:p>
      <w:pPr>
        <w:pStyle w:val="BodyText"/>
      </w:pPr>
      <w:r>
        <w:rPr>
          <w:bCs/>
          <w:b/>
        </w:rPr>
        <w:t xml:space="preserve">I105. wel.air linearised on one legacy policy run.</w:t>
      </w:r>
      <w:r>
        <w:t xml:space="preserve"> </w:t>
      </w:r>
      <w:r>
        <w:t xml:space="preserve">The prototype types v_PM = legacy wel.air / change in PM2.5 of one policy run (AP 3217 / (AP 981 - AP 1814)); 2023-2026 come from a change of about 1.5e-4 ug/m3, so they are noisy (0.196-0.291). O3 deaths and YLD scale with PM2.5; household air pollution does not respond.</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Prototype approximation; recompute v_PM from an AP module run for other policies.</w:t>
      </w:r>
      <w:r>
        <w:t xml:space="preserve"> </w:t>
      </w:r>
      <w:r>
        <w:rPr>
          <w:iCs/>
          <w:i/>
        </w:rPr>
        <w:t xml:space="preserve">Status:</w:t>
      </w:r>
      <w:r>
        <w:t xml:space="preserve"> </w:t>
      </w:r>
      <w:r>
        <w:t xml:space="preserve">Accepted.</w:t>
      </w:r>
    </w:p>
    <w:p>
      <w:pPr>
        <w:pStyle w:val="BodyText"/>
      </w:pPr>
      <w:r>
        <w:rPr>
          <w:bCs/>
          <w:b/>
        </w:rPr>
        <w:t xml:space="preserve">I106. Typed Egypt values freeze the AP and VSL options of the cached run.</w:t>
      </w:r>
      <w:r>
        <w:t xml:space="preserve"> </w:t>
      </w:r>
      <w:r>
        <w:t xml:space="preserve">The air-pollution and VSL options of the cached legacy run (SourceAppSel = Manual-FASST in MTInputs F322 and Dashboard F429, VSL Transfer from Group, 3% discount, cessation lag Yes) are frozen in the typed tables T1-T4; ScenarioDefinition rows 322-336 stay grey (inert). Other countries need their own typed values (R1 issue of the plan).</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Typed Egypt values on the module tabs FromAirPollution and FromTransportCB (other countries read 0) until the modules write them.</w:t>
      </w:r>
      <w:r>
        <w:t xml:space="preserve"> </w:t>
      </w:r>
      <w:r>
        <w:rPr>
          <w:iCs/>
          <w:i/>
        </w:rPr>
        <w:t xml:space="preserve">Status:</w:t>
      </w:r>
      <w:r>
        <w:t xml:space="preserve"> </w:t>
      </w:r>
      <w:r>
        <w:t xml:space="preserve">Accepted.</w:t>
      </w:r>
    </w:p>
    <w:p>
      <w:pPr>
        <w:pStyle w:val="BodyText"/>
      </w:pPr>
      <w:r>
        <w:rPr>
          <w:bCs/>
          <w:b/>
        </w:rPr>
        <w:t xml:space="preserve">I107. FFS lines: diesel valued at oil-product costs; global SCC; separate welfare.</w:t>
      </w:r>
      <w:r>
        <w:t xml:space="preserve"> </w:t>
      </w:r>
      <w:r>
        <w:t xml:space="preserve">F10 rows 17767-17784: the FFS lines value diesel in industry, power and</w:t>
      </w:r>
      <w:r>
        <w:t xml:space="preserve"> </w:t>
      </w:r>
      <w:r>
        <w:t xml:space="preserve">“</w:t>
      </w:r>
      <w:r>
        <w:t xml:space="preserve">other</w:t>
      </w:r>
      <w:r>
        <w:t xml:space="preserve">”</w:t>
      </w:r>
      <w:r>
        <w:t xml:space="preserve"> </w:t>
      </w:r>
      <w:r>
        <w:t xml:space="preserve">at the oil-product climate and air-pollution costs; the gasoline and diesel road lines take the transport sector; FFS uses the global SCC; the FFS welfare is a separate measure, not in wel.usd.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R2.9-R2.10).</w:t>
      </w:r>
      <w:r>
        <w:t xml:space="preserve"> </w:t>
      </w:r>
      <w:r>
        <w:rPr>
          <w:iCs/>
          <w:i/>
        </w:rPr>
        <w:t xml:space="preserve">Status:</w:t>
      </w:r>
      <w:r>
        <w:t xml:space="preserve"> </w:t>
      </w:r>
      <w:r>
        <w:t xml:space="preserve">Accepted.</w:t>
      </w:r>
    </w:p>
    <w:p>
      <w:pPr>
        <w:pStyle w:val="BodyText"/>
      </w:pPr>
      <w:r>
        <w:rPr>
          <w:bCs/>
          <w:b/>
        </w:rPr>
        <w:t xml:space="preserve">I108. Electricity externalities blank in the subsidy block.</w:t>
      </w:r>
      <w:r>
        <w:t xml:space="preserve"> </w:t>
      </w:r>
      <w:r>
        <w:t xml:space="preserve">F10 rows 17920-17946: the electricity lines have no externalities, so the implicit electricity subsidy is the VAT gap only.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 ext_ecy = 0).</w:t>
      </w:r>
      <w:r>
        <w:t xml:space="preserve"> </w:t>
      </w:r>
      <w:r>
        <w:rPr>
          <w:iCs/>
          <w:i/>
        </w:rPr>
        <w:t xml:space="preserve">Status:</w:t>
      </w:r>
      <w:r>
        <w:t xml:space="preserve"> </w:t>
      </w:r>
      <w:r>
        <w:t xml:space="preserve">Accepted.</w:t>
      </w:r>
    </w:p>
    <w:p>
      <w:pPr>
        <w:pStyle w:val="BodyText"/>
      </w:pPr>
      <w:r>
        <w:rPr>
          <w:bCs/>
          <w:b/>
        </w:rPr>
        <w:t xml:space="preserve">I109. Subsidy-block VAT: general rate, household share only.</w:t>
      </w:r>
      <w:r>
        <w:t xml:space="preserve"> </w:t>
      </w:r>
      <w:r>
        <w:t xml:space="preserve">The subsidy block applies the general VAT rate (the fuel-specific VAT rows 17790, 17802, 17813, 17824, 17835, 17855, 17892, 17929 are read but unused), on the household share only; none on industry and power.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R2.11).</w:t>
      </w:r>
      <w:r>
        <w:t xml:space="preserve"> </w:t>
      </w:r>
      <w:r>
        <w:rPr>
          <w:iCs/>
          <w:i/>
        </w:rPr>
        <w:t xml:space="preserve">Status:</w:t>
      </w:r>
      <w:r>
        <w:t xml:space="preserve"> </w:t>
      </w:r>
      <w:r>
        <w:t xml:space="preserve">Accepted.</w:t>
      </w:r>
    </w:p>
    <w:p>
      <w:pPr>
        <w:pStyle w:val="BodyText"/>
      </w:pPr>
      <w:r>
        <w:rPr>
          <w:bCs/>
          <w:b/>
        </w:rPr>
        <w:t xml:space="preserve">I110. Subsidies computed for scenario 1 only.</w:t>
      </w:r>
      <w:r>
        <w:t xml:space="preserve"> </w:t>
      </w:r>
      <w:r>
        <w:t xml:space="preserve">Legacy computes the subsidies (rows 17786-17951) and the .1 unit costs for scenario 1 only. The prototype computes them in every scenario group (group 1 = legacy).</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every scenario group computed; group 1 equals legacy.</w:t>
      </w:r>
      <w:r>
        <w:t xml:space="preserve"> </w:t>
      </w:r>
      <w:r>
        <w:rPr>
          <w:iCs/>
          <w:i/>
        </w:rPr>
        <w:t xml:space="preserve">Status:</w:t>
      </w:r>
      <w:r>
        <w:t xml:space="preserve"> </w:t>
      </w:r>
      <w:r>
        <w:t xml:space="preserve">Accepted.</w:t>
      </w:r>
    </w:p>
    <w:p>
      <w:pPr>
        <w:pStyle w:val="BodyText"/>
      </w:pPr>
      <w:r>
        <w:rPr>
          <w:bCs/>
          <w:b/>
        </w:rPr>
        <w:t xml:space="preserve">I111. Transport co-benefits: scenario-1 margins, fixed per-km costs, rectangle welfare.</w:t>
      </w:r>
      <w:r>
        <w:t xml:space="preserve"> </w:t>
      </w:r>
      <w:r>
        <w:t xml:space="preserve">Vehicle-km from the engineer model whatever TrModel (I100); margins from scenario 1 (plan T I111); per-km costs scenario-independent, congestion not responding to policy (T I-b); the welfare is a rectangle, road damage only for freight, 0.12 USD/km not deflated (T I-d, I-h).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pending user decisions B-c, B-d, B-e of the transport plan.</w:t>
      </w:r>
      <w:r>
        <w:t xml:space="preserve"> </w:t>
      </w:r>
      <w:r>
        <w:rPr>
          <w:iCs/>
          <w:i/>
        </w:rPr>
        <w:t xml:space="preserve">Status:</w:t>
      </w:r>
      <w:r>
        <w:t xml:space="preserve"> </w:t>
      </w:r>
      <w:r>
        <w:t xml:space="preserve">Accepted.</w:t>
      </w:r>
    </w:p>
    <w:p>
      <w:pPr>
        <w:pStyle w:val="BodyText"/>
      </w:pPr>
      <w:r>
        <w:rPr>
          <w:bCs/>
          <w:b/>
        </w:rPr>
        <w:t xml:space="preserve">I112. Air pollution horizon 2040: 2041 = 2040.</w:t>
      </w:r>
      <w:r>
        <w:t xml:space="preserve"> </w:t>
      </w:r>
      <w:r>
        <w:t xml:space="preserve">The Air pollution sheet stops at 2040 (K..AC); the AP-derived typed values take 2041 = 2040 (plan AP I-o).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2041 = 2040 in the typed AP values.</w:t>
      </w:r>
      <w:r>
        <w:t xml:space="preserve"> </w:t>
      </w:r>
      <w:r>
        <w:rPr>
          <w:iCs/>
          <w:i/>
        </w:rPr>
        <w:t xml:space="preserve">Status:</w:t>
      </w:r>
      <w:r>
        <w:t xml:space="preserve"> </w:t>
      </w:r>
      <w:r>
        <w:t xml:space="preserve">Accepted.</w:t>
      </w:r>
    </w:p>
    <w:p>
      <w:pPr>
        <w:pStyle w:val="BodyText"/>
      </w:pPr>
      <w:r>
        <w:rPr>
          <w:bCs/>
          <w:b/>
        </w:rPr>
        <w:t xml:space="preserve">I113. Pigouvian netting: top-up over existing taxes; climate charged twice.</w:t>
      </w:r>
      <w:r>
        <w:t xml:space="preserve"> </w:t>
      </w:r>
      <w:r>
        <w:t xml:space="preserve">With AddEfficientTaxes on, the whole new excise of the block (reform + manual excise + Pigouvian) becomes MIN(R, MAX(0, R - SUM(existing fixed tax, fixed subsidy, floating part, existing carbon tax, existing ETS))) (rows 8782-9012 O:AE): never below 0, never above R. The new carbon tax and ETS are not netted, so with ClimateEffTax = Yes* and a carbon tax the climate damage is charged twice. No effect for Egypt by default (AddEfficientTaxes No</w:t>
      </w:r>
      <w:r>
        <w:rPr>
          <w:iCs/>
          <w:i/>
        </w:rPr>
        <w:t xml:space="preserve">). Replicated.</w:t>
      </w:r>
      <w:r>
        <w:rPr>
          <w:iCs/>
          <w:i/>
        </w:rPr>
        <w:t xml:space="preserve"> </w:t>
      </w:r>
      <w:r>
        <w:t xml:space="preserve">In the prototype:* Replicated.</w:t>
      </w:r>
      <w:r>
        <w:t xml:space="preserve"> </w:t>
      </w:r>
      <w:r>
        <w:rPr>
          <w:iCs/>
          <w:i/>
        </w:rPr>
        <w:t xml:space="preserve">Next step:</w:t>
      </w:r>
      <w:r>
        <w:t xml:space="preserve"> </w:t>
      </w:r>
      <w:r>
        <w:t xml:space="preserve">Replicated (Equations_addendum R3.9).</w:t>
      </w:r>
      <w:r>
        <w:t xml:space="preserve"> </w:t>
      </w:r>
      <w:r>
        <w:rPr>
          <w:iCs/>
          <w:i/>
        </w:rPr>
        <w:t xml:space="preserve">Status:</w:t>
      </w:r>
      <w:r>
        <w:t xml:space="preserve"> </w:t>
      </w:r>
      <w:r>
        <w:t xml:space="preserve">Accepted.</w:t>
      </w:r>
    </w:p>
    <w:p>
      <w:pPr>
        <w:pStyle w:val="BodyText"/>
      </w:pPr>
      <w:r>
        <w:rPr>
          <w:bCs/>
          <w:b/>
        </w:rPr>
        <w:t xml:space="preserve">I114. Pigouvian phase-in anchored on CPIntro; applied in policy scenarios only.</w:t>
      </w:r>
      <w:r>
        <w:t xml:space="preserve"> </w:t>
      </w:r>
      <w:r>
        <w:t xml:space="preserve">Row 146: the phase-in starts at CPIntro (carbon tax start), linear over AddEfficientTaxesPhaseInYears; computed in every scenario, applied only in policy scenarios ($C&gt;1); ntx rows typed 0 for 2022-2024.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 R3.9).</w:t>
      </w:r>
      <w:r>
        <w:t xml:space="preserve"> </w:t>
      </w:r>
      <w:r>
        <w:rPr>
          <w:iCs/>
          <w:i/>
        </w:rPr>
        <w:t xml:space="preserve">Status:</w:t>
      </w:r>
      <w:r>
        <w:t xml:space="preserve"> </w:t>
      </w:r>
      <w:r>
        <w:t xml:space="preserve">Accepted.</w:t>
      </w:r>
    </w:p>
    <w:p>
      <w:pPr>
        <w:pStyle w:val="BodyText"/>
      </w:pPr>
      <w:r>
        <w:rPr>
          <w:bCs/>
          <w:b/>
        </w:rPr>
        <w:t xml:space="preserve">I115. Pigouvian and efficient prices use different externality vintages.</w:t>
      </w:r>
      <w:r>
        <w:t xml:space="preserve"> </w:t>
      </w:r>
      <w:r>
        <w:t xml:space="preserve">The Pigouvian tax (rows 128-133) uses baseline externalities (Transport mf.1, air pollution .1); the efficient prices (17965-17982) use transport mf.2 and air pollution .1.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R3.5, R3.14).</w:t>
      </w:r>
      <w:r>
        <w:t xml:space="preserve"> </w:t>
      </w:r>
      <w:r>
        <w:rPr>
          <w:iCs/>
          <w:i/>
        </w:rPr>
        <w:t xml:space="preserve">Status:</w:t>
      </w:r>
      <w:r>
        <w:t xml:space="preserve"> </w:t>
      </w:r>
      <w:r>
        <w:t xml:space="preserve">Accepted.</w:t>
      </w:r>
    </w:p>
    <w:p>
      <w:pPr>
        <w:pStyle w:val="BodyText"/>
      </w:pPr>
      <w:r>
        <w:rPr>
          <w:bCs/>
          <w:b/>
        </w:rPr>
        <w:t xml:space="preserve">I116. Climate damage per unit: national SCC x generic EF.</w:t>
      </w:r>
      <w:r>
        <w:t xml:space="preserve"> </w:t>
      </w:r>
      <w:r>
        <w:t xml:space="preserve">Rows 136-142 = 17678-17684: national SCC x a generic EF (IIASA average across 2-3 sectors, base-year column L, not the calibrated EF[f,s], not inventory-adjusted); the CO2-equivalent rows multiply by the global SCC (17959) and divide by the national damage.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R3.2-R3.3).</w:t>
      </w:r>
      <w:r>
        <w:t xml:space="preserve"> </w:t>
      </w:r>
      <w:r>
        <w:rPr>
          <w:iCs/>
          <w:i/>
        </w:rPr>
        <w:t xml:space="preserve">Status:</w:t>
      </w:r>
      <w:r>
        <w:t xml:space="preserve"> </w:t>
      </w:r>
      <w:r>
        <w:t xml:space="preserve">Accepted.</w:t>
      </w:r>
    </w:p>
    <w:p>
      <w:pPr>
        <w:pStyle w:val="BodyText"/>
      </w:pPr>
      <w:r>
        <w:rPr>
          <w:bCs/>
          <w:b/>
        </w:rPr>
        <w:t xml:space="preserve">I117. One Pigouvian for all other oil products, at the power-plant AP cost.</w:t>
      </w:r>
      <w:r>
        <w:t xml:space="preserve"> </w:t>
      </w:r>
      <w:r>
        <w:t xml:space="preserve">Row 123 (</w:t>
      </w:r>
      <w:r>
        <w:t xml:space="preserve">“</w:t>
      </w:r>
      <w:r>
        <w:t xml:space="preserve">Power</w:t>
      </w:r>
      <w:r>
        <w:t xml:space="preserve">”</w:t>
      </w:r>
      <w:r>
        <w:t xml:space="preserve">) uses the oil power-plant air-pollution cost for every oop use; the industrial oop cost (17749, 23.4 $/GJ in 2022) is unused.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R3.4).</w:t>
      </w:r>
      <w:r>
        <w:t xml:space="preserve"> </w:t>
      </w:r>
      <w:r>
        <w:rPr>
          <w:iCs/>
          <w:i/>
        </w:rPr>
        <w:t xml:space="preserve">Status:</w:t>
      </w:r>
      <w:r>
        <w:t xml:space="preserve"> </w:t>
      </w:r>
      <w:r>
        <w:t xml:space="preserve">Accepted.</w:t>
      </w:r>
    </w:p>
    <w:p>
      <w:pPr>
        <w:pStyle w:val="BodyText"/>
      </w:pPr>
      <w:r>
        <w:rPr>
          <w:bCs/>
          <w:b/>
        </w:rPr>
        <w:t xml:space="preserve">I118. Road damage only for diesel.</w:t>
      </w:r>
      <w:r>
        <w:t xml:space="preserve"> </w:t>
      </w:r>
      <w:r>
        <w:t xml:space="preserve">Row 132 and 17967 are empty (</w:t>
      </w:r>
      <w:r>
        <w:t xml:space="preserve">“</w:t>
      </w:r>
      <w:r>
        <w:t xml:space="preserve">No road damage externalities for gasoline</w:t>
      </w:r>
      <w:r>
        <w:t xml:space="preserve">”</w:t>
      </w:r>
      <w:r>
        <w:t xml:space="preserve">).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Transport part of the Pigouvian tax: the I151 proxy (no stored scenario-1 values).</w:t>
      </w:r>
      <w:r>
        <w:t xml:space="preserve"> </w:t>
      </w:r>
      <w:r>
        <w:rPr>
          <w:iCs/>
          <w:i/>
        </w:rPr>
        <w:t xml:space="preserve">Status:</w:t>
      </w:r>
      <w:r>
        <w:t xml:space="preserve"> </w:t>
      </w:r>
      <w:r>
        <w:t xml:space="preserve">Accepted.</w:t>
      </w:r>
    </w:p>
    <w:p>
      <w:pPr>
        <w:pStyle w:val="BodyText"/>
      </w:pPr>
      <w:r>
        <w:rPr>
          <w:bCs/>
          <w:b/>
        </w:rPr>
        <w:t xml:space="preserve">I119. Electricity Pigouvian tax always 0.</w:t>
      </w:r>
      <w:r>
        <w:t xml:space="preserve"> </w:t>
      </w:r>
      <w:r>
        <w:t xml:space="preserve">Rows 124-125 hold a formula only in K (2021) (=IFERROR(L18102,0), =IFERROR(L18090,0)); L:AE are blank, so L159:AE160 = 0 (checked in the cached run). Filling them would tax power-plant air pollution twice (already in the coal, gas and oil-for-power Pigouvian, rows 148, 151, 158). Proposed as bug Lnew-R1R2-18, classified as an issue. No effect by default (AddEfficientTaxes No</w:t>
      </w:r>
      <w:r>
        <w:rPr>
          <w:iCs/>
          <w:i/>
        </w:rPr>
        <w:t xml:space="preserve">). Replicated (0); K124:K125 are dead cells.</w:t>
      </w:r>
      <w:r>
        <w:rPr>
          <w:iCs/>
          <w:i/>
        </w:rPr>
        <w:t xml:space="preserve"> </w:t>
      </w:r>
      <w:r>
        <w:t xml:space="preserve">In the prototype:* Replicated.</w:t>
      </w:r>
      <w:r>
        <w:t xml:space="preserve"> </w:t>
      </w:r>
      <w:r>
        <w:rPr>
          <w:iCs/>
          <w:i/>
        </w:rPr>
        <w:t xml:space="preserve">Next step:</w:t>
      </w:r>
      <w:r>
        <w:t xml:space="preserve"> </w:t>
      </w:r>
      <w:r>
        <w:t xml:space="preserve">Replicated 0 (v0.9.0, R3.12: electricity entx unchanged); filling it would tax power-plant air pollution twice.</w:t>
      </w:r>
      <w:r>
        <w:t xml:space="preserve"> </w:t>
      </w:r>
      <w:r>
        <w:rPr>
          <w:iCs/>
          <w:i/>
        </w:rPr>
        <w:t xml:space="preserve">Status:</w:t>
      </w:r>
      <w:r>
        <w:t xml:space="preserve"> </w:t>
      </w:r>
      <w:r>
        <w:t xml:space="preserve">Accepted.</w:t>
      </w:r>
    </w:p>
    <w:p>
      <w:pPr>
        <w:pStyle w:val="BodyText"/>
      </w:pPr>
      <w:r>
        <w:rPr>
          <w:bCs/>
          <w:b/>
        </w:rPr>
        <w:t xml:space="preserve">I120. Efficient prices: VAT on consumer fuels only, 2022 rate, scenario-1 supply cost.</w:t>
      </w:r>
      <w:r>
        <w:t xml:space="preserve"> </w:t>
      </w:r>
      <w:r>
        <w:t xml:space="preserve">Rows 17955-18123: potential VAT only on consumer fuels (oil products, residential coal, gas, electricity), typed 0 for industry and power; the general VAT rate of 2022 for all years ($E$17956 = L726, label</w:t>
      </w:r>
      <w:r>
        <w:t xml:space="preserve"> </w:t>
      </w:r>
      <w:r>
        <w:t xml:space="preserve">“</w:t>
      </w:r>
      <w:r>
        <w:t xml:space="preserve">2018</w:t>
      </w:r>
      <w:r>
        <w:t xml:space="preserve">”</w:t>
      </w:r>
      <w:r>
        <w:t xml:space="preserve">); supply cost of scenario 1, retail price of the live scenario; computed for the live scenario only; no oop, no biomass. Replicated (the prototype computes it per scenario group).</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R3.16); the prototype computes every scenario group.</w:t>
      </w:r>
      <w:r>
        <w:t xml:space="preserve"> </w:t>
      </w:r>
      <w:r>
        <w:rPr>
          <w:iCs/>
          <w:i/>
        </w:rPr>
        <w:t xml:space="preserve">Status:</w:t>
      </w:r>
      <w:r>
        <w:t xml:space="preserve"> </w:t>
      </w:r>
      <w:r>
        <w:t xml:space="preserve">Accepted.</w:t>
      </w:r>
    </w:p>
    <w:p>
      <w:pPr>
        <w:pStyle w:val="BodyText"/>
      </w:pPr>
      <w:r>
        <w:rPr>
          <w:bCs/>
          <w:b/>
        </w:rPr>
        <w:t xml:space="preserve">I121. Electricity AP cost per kWh assumes a fixed 31% thermal efficiency.</w:t>
      </w:r>
      <w:r>
        <w:t xml:space="preserve"> </w:t>
      </w:r>
      <w:r>
        <w:t xml:space="preserve">Row 18090 = generation-share-weighted fuel cost ($/GJ of fuel) x _conv_ktoe_to_gwh/1000 = 0.01163 GJ/kWh, i.e. a fixed 31% thermal efficiency, with the baseline generation mix in every scenario. Replicated in the efficient prices (R3.15).</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in the efficient prices (Equations_addendum R3.15).</w:t>
      </w:r>
      <w:r>
        <w:t xml:space="preserve"> </w:t>
      </w:r>
      <w:r>
        <w:rPr>
          <w:iCs/>
          <w:i/>
        </w:rPr>
        <w:t xml:space="preserve">Status:</w:t>
      </w:r>
      <w:r>
        <w:t xml:space="preserve"> </w:t>
      </w:r>
      <w:r>
        <w:t xml:space="preserve">Accepted.</w:t>
      </w:r>
    </w:p>
    <w:p>
      <w:pPr>
        <w:pStyle w:val="BodyText"/>
      </w:pPr>
      <w:r>
        <w:rPr>
          <w:bCs/>
          <w:b/>
        </w:rPr>
        <w:t xml:space="preserve">I122. Exact switch texts; dead code cells I2202:I2203.</w:t>
      </w:r>
      <w:r>
        <w:t xml:space="preserve"> </w:t>
      </w:r>
      <w:r>
        <w:t xml:space="preserve">F144</w:t>
      </w:r>
      <w:r>
        <w:t xml:space="preserve"> </w:t>
      </w:r>
      <w:r>
        <w:t xml:space="preserve">“</w:t>
      </w:r>
      <w:r>
        <w:t xml:space="preserve">Yes</w:t>
      </w:r>
      <w:r>
        <w:rPr>
          <w:iCs/>
          <w:i/>
        </w:rPr>
        <w:t xml:space="preserve">”, F200 ”Yes”, F17955 ”No”, I2203 ”Yes</w:t>
      </w:r>
      <w:r>
        <w:t xml:space="preserve">”</w:t>
      </w:r>
      <w:r>
        <w:t xml:space="preserve"> </w:t>
      </w:r>
      <w:r>
        <w:t xml:space="preserve">are tested as exact texts that match their dropdowns; the prototype uses LEFT(x,3)=</w:t>
      </w:r>
      <w:r>
        <w:t xml:space="preserve">“</w:t>
      </w:r>
      <w:r>
        <w:t xml:space="preserve">Yes</w:t>
      </w:r>
      <w:r>
        <w:t xml:space="preserve">”</w:t>
      </w:r>
      <w:r>
        <w:t xml:space="preserve"> </w:t>
      </w:r>
      <w:r>
        <w:t xml:space="preserve">(L113 rule). I2202:I2203 (code for VAT optimal taxation) are dead.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values; the prototype tests LEFT(x,3)=</w:t>
      </w:r>
      <w:r>
        <w:t xml:space="preserve">“</w:t>
      </w:r>
      <w:r>
        <w:t xml:space="preserve">Yes</w:t>
      </w:r>
      <w:r>
        <w:t xml:space="preserve">”</w:t>
      </w:r>
      <w:r>
        <w:t xml:space="preserve"> </w:t>
      </w:r>
      <w:r>
        <w:t xml:space="preserve">(L113 rule).</w:t>
      </w:r>
      <w:r>
        <w:t xml:space="preserve"> </w:t>
      </w:r>
      <w:r>
        <w:rPr>
          <w:iCs/>
          <w:i/>
        </w:rPr>
        <w:t xml:space="preserve">Status:</w:t>
      </w:r>
      <w:r>
        <w:t xml:space="preserve"> </w:t>
      </w:r>
      <w:r>
        <w:t xml:space="preserve">Accepted.</w:t>
      </w:r>
    </w:p>
    <w:p>
      <w:pPr>
        <w:pStyle w:val="BodyText"/>
      </w:pPr>
      <w:r>
        <w:rPr>
          <w:bCs/>
          <w:b/>
        </w:rPr>
        <w:t xml:space="preserve">I123. CBAM block: Egypt only, no output read anywhere.</w:t>
      </w:r>
      <w:r>
        <w:t xml:space="preserve"> </w:t>
      </w:r>
      <w:r>
        <w:t xml:space="preserve">Rows 5867-6022: typed 2024 production and prices (IF(_Country_code=</w:t>
      </w:r>
      <w:r>
        <w:t xml:space="preserve">“</w:t>
      </w:r>
      <w:r>
        <w:t xml:space="preserve">EGY</w:t>
      </w:r>
      <w:r>
        <w:t xml:space="preserve">”</w:t>
      </w:r>
      <w:r>
        <w:t xml:space="preserve">,…)), master switch Dashboard G20 (Manual inputs row 22), switch of the live scenario read by both blocks (shared rows 1832-1836); abatement uses the auctioned ETS price; product fuel CO2 is also in the energy model (memo rows only); no output is read by revenue, GHG totals, the ETS cap or MTOutputs. No effect for Egypt (CBAM off). Replicated; the link to totals is decision D-R4.</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CBAM process emissions (U15) is an upgrade, not built; replicate if it is ever built (Replicated; link to revenue, GHG and ETS totals by decision D-R4.)</w:t>
      </w:r>
      <w:r>
        <w:t xml:space="preserve"> </w:t>
      </w:r>
      <w:r>
        <w:rPr>
          <w:iCs/>
          <w:i/>
        </w:rPr>
        <w:t xml:space="preserve">Status:</w:t>
      </w:r>
      <w:r>
        <w:t xml:space="preserve"> </w:t>
      </w:r>
      <w:r>
        <w:t xml:space="preserve">Dropped.</w:t>
      </w:r>
    </w:p>
    <w:p>
      <w:pPr>
        <w:pStyle w:val="BodyText"/>
      </w:pPr>
      <w:r>
        <w:rPr>
          <w:bCs/>
          <w:b/>
        </w:rPr>
        <w:t xml:space="preserve">I124. Green investment: cumulative need uses 35 years, the phase-out 34.</w:t>
      </w:r>
      <w:r>
        <w:t xml:space="preserve"> </w:t>
      </w:r>
      <w:r>
        <w:t xml:space="preserve">H6250 =H6227</w:t>
      </w:r>
      <w:r>
        <w:rPr>
          <w:iCs/>
          <w:i/>
        </w:rPr>
        <w:t xml:space="preserve">(2060-2025): 35 years hard-coded, while the phase-out spans D6222 - D6221 = 34 years and reaches 0 in 2059. Replicated (35; step 1/34).</w:t>
      </w:r>
      <w:r>
        <w:rPr>
          <w:iCs/>
          <w:i/>
        </w:rPr>
        <w:t xml:space="preserve"> </w:t>
      </w:r>
      <w:r>
        <w:t xml:space="preserve">In the prototype:* 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R5.10).)</w:t>
      </w:r>
      <w:r>
        <w:t xml:space="preserve"> </w:t>
      </w:r>
      <w:r>
        <w:rPr>
          <w:iCs/>
          <w:i/>
        </w:rPr>
        <w:t xml:space="preserve">Status:</w:t>
      </w:r>
      <w:r>
        <w:t xml:space="preserve"> </w:t>
      </w:r>
      <w:r>
        <w:t xml:space="preserve">Dropped.</w:t>
      </w:r>
    </w:p>
    <w:p>
      <w:pPr>
        <w:pStyle w:val="BodyText"/>
      </w:pPr>
      <w:r>
        <w:rPr>
          <w:bCs/>
          <w:b/>
        </w:rPr>
        <w:t xml:space="preserve">I125. Green investment section stops at 2040.</w:t>
      </w:r>
      <w:r>
        <w:t xml:space="preserve"> </w:t>
      </w:r>
      <w:r>
        <w:t xml:space="preserve">Section 10 (rows 6215-6267) covers K:AD (2021-2040), as the revenue allocation rows 2178-2184; 2041 is blank. Replicated (2041 blank).</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2041 blank (Equations_addendum R5).)</w:t>
      </w:r>
      <w:r>
        <w:t xml:space="preserve"> </w:t>
      </w:r>
      <w:r>
        <w:rPr>
          <w:iCs/>
          <w:i/>
        </w:rPr>
        <w:t xml:space="preserve">Status:</w:t>
      </w:r>
      <w:r>
        <w:t xml:space="preserve"> </w:t>
      </w:r>
      <w:r>
        <w:t xml:space="preserve">Dropped.</w:t>
      </w:r>
    </w:p>
    <w:p>
      <w:pPr>
        <w:pStyle w:val="BodyText"/>
      </w:pPr>
      <w:r>
        <w:rPr>
          <w:bCs/>
          <w:b/>
        </w:rPr>
        <w:t xml:space="preserve">I126. Green public investment is report only; constants typed in Mitigation.</w:t>
      </w:r>
      <w:r>
        <w:t xml:space="preserve"> </w:t>
      </w:r>
      <w:r>
        <w:t xml:space="preserve">No cell outside section 10 reads it: it changes neither emissions nor GDP; its five parameters are typed in Mitigation D6219-D6224, not MTInputs. Replicated; constants on Settings, labelled legacy hard-coded.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constants on Settings labelled legacy hard-coded.)</w:t>
      </w:r>
      <w:r>
        <w:t xml:space="preserve"> </w:t>
      </w:r>
      <w:r>
        <w:rPr>
          <w:iCs/>
          <w:i/>
        </w:rPr>
        <w:t xml:space="preserve">Status:</w:t>
      </w:r>
      <w:r>
        <w:t xml:space="preserve"> </w:t>
      </w:r>
      <w:r>
        <w:t xml:space="preserve">Dropped.</w:t>
      </w:r>
    </w:p>
    <w:p>
      <w:pPr>
        <w:pStyle w:val="BodyText"/>
      </w:pPr>
      <w:r>
        <w:rPr>
          <w:bCs/>
          <w:b/>
        </w:rPr>
        <w:t xml:space="preserve">I127. Green investment: #N/A for countries outside the CCDR list.</w:t>
      </w:r>
      <w:r>
        <w:t xml:space="preserve"> </w:t>
      </w:r>
      <w:r>
        <w:t xml:space="preserve">Countries outside the CCDR list (ETS+LTS rows 261-302, 42 rows) get #N/A in D6218 and every row of section 10. Egypt is in the list. Replicated (IFERROR would be a departure).</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(#N/A outside the CCDR list); IFERROR would be a departure.)</w:t>
      </w:r>
      <w:r>
        <w:t xml:space="preserve"> </w:t>
      </w:r>
      <w:r>
        <w:rPr>
          <w:iCs/>
          <w:i/>
        </w:rPr>
        <w:t xml:space="preserve">Status:</w:t>
      </w:r>
      <w:r>
        <w:t xml:space="preserve"> </w:t>
      </w:r>
      <w:r>
        <w:t xml:space="preserve">Dropped.</w:t>
      </w:r>
    </w:p>
    <w:p>
      <w:pPr>
        <w:pStyle w:val="BodyText"/>
      </w:pPr>
      <w:r>
        <w:rPr>
          <w:bCs/>
          <w:b/>
        </w:rPr>
        <w:t xml:space="preserve">I128. Green investment: annual GDP shares summed against a discounted ratio.</w:t>
      </w:r>
      <w:r>
        <w:t xml:space="preserve"> </w:t>
      </w:r>
      <w:r>
        <w:t xml:space="preserve">The cumulative green investment sums annual GDP shares of different years against a cumulative ratio of discounted CCDR GDP; the net revenue includes base erosion (rev.new.usd, I41).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green public investment (U16) is an upgrade, not built; replicate if it is ever built (Replicated (Equations_addendum R5.18).)</w:t>
      </w:r>
      <w:r>
        <w:t xml:space="preserve"> </w:t>
      </w:r>
      <w:r>
        <w:rPr>
          <w:iCs/>
          <w:i/>
        </w:rPr>
        <w:t xml:space="preserve">Status:</w:t>
      </w:r>
      <w:r>
        <w:t xml:space="preserve"> </w:t>
      </w:r>
      <w:r>
        <w:t xml:space="preserve">Dropped.</w:t>
      </w:r>
    </w:p>
    <w:p>
      <w:pPr>
        <w:pStyle w:val="BodyText"/>
      </w:pPr>
      <w:r>
        <w:rPr>
          <w:bCs/>
          <w:b/>
        </w:rPr>
        <w:t xml:space="preserve">I129. Current account % GDP: GDP implied by CA / CA%.</w:t>
      </w:r>
      <w:r>
        <w:t xml:space="preserve"> </w:t>
      </w:r>
      <w:r>
        <w:t xml:space="preserve">The % of GDP effects (rows 18192-18194) divide by the GDP implied by the current account and its % of GDP (row 18192); this fails when the current account is 0.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R11.6).</w:t>
      </w:r>
      <w:r>
        <w:t xml:space="preserve"> </w:t>
      </w:r>
      <w:r>
        <w:rPr>
          <w:iCs/>
          <w:i/>
        </w:rPr>
        <w:t xml:space="preserve">Status:</w:t>
      </w:r>
      <w:r>
        <w:t xml:space="preserve"> </w:t>
      </w:r>
      <w:r>
        <w:t xml:space="preserve">Accepted.</w:t>
      </w:r>
    </w:p>
    <w:p>
      <w:pPr>
        <w:pStyle w:val="BodyText"/>
      </w:pPr>
      <w:r>
        <w:rPr>
          <w:bCs/>
          <w:b/>
        </w:rPr>
        <w:t xml:space="preserve">I130. Current account in current prices: no hold rule after the data.</w:t>
      </w:r>
      <w:r>
        <w:t xml:space="preserve"> </w:t>
      </w:r>
      <w:r>
        <w:t xml:space="preserve">Row 18198 has no hold rule: 0 for 2032-2040 (blank WEO cells), AE = AD; the USD row 18182 tests the % row (J18191) for non-zero.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R11.9).</w:t>
      </w:r>
      <w:r>
        <w:t xml:space="preserve"> </w:t>
      </w:r>
      <w:r>
        <w:rPr>
          <w:iCs/>
          <w:i/>
        </w:rPr>
        <w:t xml:space="preserve">Status:</w:t>
      </w:r>
      <w:r>
        <w:t xml:space="preserve"> </w:t>
      </w:r>
      <w:r>
        <w:t xml:space="preserve">Accepted.</w:t>
      </w:r>
    </w:p>
    <w:p>
      <w:pPr>
        <w:pStyle w:val="BodyText"/>
      </w:pPr>
      <w:r>
        <w:rPr>
          <w:bCs/>
          <w:b/>
        </w:rPr>
        <w:t xml:space="preserve">I131. GVA shares floored at 1% for the chart.</w:t>
      </w:r>
      <w:r>
        <w:t xml:space="preserve"> </w:t>
      </w:r>
      <w:r>
        <w:t xml:space="preserve">L18747:L18756 floor the GVA shares at 1% (sum 1.0032) and pass them to MTOutputs.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R12.7).)</w:t>
      </w:r>
      <w:r>
        <w:t xml:space="preserve"> </w:t>
      </w:r>
      <w:r>
        <w:rPr>
          <w:iCs/>
          <w:i/>
        </w:rPr>
        <w:t xml:space="preserve">Status:</w:t>
      </w:r>
      <w:r>
        <w:t xml:space="preserve"> </w:t>
      </w:r>
      <w:r>
        <w:t xml:space="preserve">Dropped.</w:t>
      </w:r>
    </w:p>
    <w:p>
      <w:pPr>
        <w:pStyle w:val="BodyText"/>
      </w:pPr>
      <w:r>
        <w:rPr>
          <w:bCs/>
          <w:b/>
        </w:rPr>
        <w:t xml:space="preserve">I132.</w:t>
      </w:r>
      <w:r>
        <w:rPr>
          <w:bCs/>
          <w:b/>
        </w:rPr>
        <w:t xml:space="preserve"> </w:t>
      </w:r>
      <w:r>
        <w:rPr>
          <w:bCs/>
          <w:b/>
        </w:rPr>
        <w:t xml:space="preserve">“</w:t>
      </w:r>
      <w:r>
        <w:rPr>
          <w:bCs/>
          <w:b/>
        </w:rPr>
        <w:t xml:space="preserve">GVA</w:t>
      </w:r>
      <w:r>
        <w:rPr>
          <w:bCs/>
          <w:b/>
        </w:rPr>
        <w:t xml:space="preserve">”</w:t>
      </w:r>
      <w:r>
        <w:rPr>
          <w:bCs/>
          <w:b/>
        </w:rPr>
        <w:t xml:space="preserve"> </w:t>
      </w:r>
      <w:r>
        <w:rPr>
          <w:bCs/>
          <w:b/>
        </w:rPr>
        <w:t xml:space="preserve">is GTAP gross output; 2014 IO inflated by a fixed CPI index.</w:t>
      </w:r>
      <w:r>
        <w:t xml:space="preserve"> </w:t>
      </w:r>
      <w:r>
        <w:t xml:space="preserve">The GVA is the GTAP OUTPUT column (gross output), so intensities are per USD of output; the 2014 IO values are inflated by the fixed 2014 CPI index $G$15631; label</w:t>
      </w:r>
      <w:r>
        <w:t xml:space="preserve"> </w:t>
      </w:r>
      <w:r>
        <w:t xml:space="preserve">“</w:t>
      </w:r>
      <w:r>
        <w:t xml:space="preserve">thousands US$</w:t>
      </w:r>
      <w:r>
        <w:t xml:space="preserve">”</w:t>
      </w:r>
      <w:r>
        <w:t xml:space="preserve"> </w:t>
      </w:r>
      <w:r>
        <w:t xml:space="preserve">but the values are USD m. Replicated (typed values).</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 Equations_addendum R12.1).)</w:t>
      </w:r>
      <w:r>
        <w:t xml:space="preserve"> </w:t>
      </w:r>
      <w:r>
        <w:rPr>
          <w:iCs/>
          <w:i/>
        </w:rPr>
        <w:t xml:space="preserve">Status:</w:t>
      </w:r>
      <w:r>
        <w:t xml:space="preserve"> </w:t>
      </w:r>
      <w:r>
        <w:t xml:space="preserve">Dropped.</w:t>
      </w:r>
    </w:p>
    <w:p>
      <w:pPr>
        <w:pStyle w:val="BodyText"/>
      </w:pPr>
      <w:r>
        <w:rPr>
          <w:bCs/>
          <w:b/>
        </w:rPr>
        <w:t xml:space="preserve">I133. Cumulative table: direct emissions only; repeated MTOutputs codes.</w:t>
      </w:r>
      <w:r>
        <w:t xml:space="preserve"> </w:t>
      </w:r>
      <w:r>
        <w:t xml:space="preserve">The cumulative table uses direct emissions only (H18762:H18771) next to total intensities; MTOutputs codes repeat (emin.cem in rows 124 and 138) and construction is cst (132) and con (140). Replicated.</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(Equations_addendum R12.9).)</w:t>
      </w:r>
      <w:r>
        <w:t xml:space="preserve"> </w:t>
      </w:r>
      <w:r>
        <w:rPr>
          <w:iCs/>
          <w:i/>
        </w:rPr>
        <w:t xml:space="preserve">Status:</w:t>
      </w:r>
      <w:r>
        <w:t xml:space="preserve"> </w:t>
      </w:r>
      <w:r>
        <w:t xml:space="preserve">Dropped.</w:t>
      </w:r>
    </w:p>
    <w:p>
      <w:pPr>
        <w:pStyle w:val="BodyText"/>
      </w:pPr>
      <w:r>
        <w:rPr>
          <w:bCs/>
          <w:b/>
        </w:rPr>
        <w:t xml:space="preserve">I134. GTAP mapping: coal mining to food, crude to fuel transformation, gas to power.</w:t>
      </w:r>
      <w:r>
        <w:t xml:space="preserve"> </w:t>
      </w:r>
      <w:r>
        <w:t xml:space="preserve">Mapping column R sends GTAP coa (coal mining) to foo, oil (crude extraction) to ftr, nga to pow. Replicated (typed GVA).</w:t>
      </w:r>
      <w:r>
        <w:t xml:space="preserve"> </w:t>
      </w:r>
      <w:r>
        <w:rPr>
          <w:iCs/>
          <w:i/>
        </w:rPr>
        <w:t xml:space="preserve">In the prototype:</w:t>
      </w:r>
      <w:r>
        <w:t xml:space="preserve"> </w:t>
      </w:r>
      <w:r>
        <w:t xml:space="preserve">Out of scope (user 2026-10-29): not built; an upgrade (U15-U17).</w:t>
      </w:r>
      <w:r>
        <w:t xml:space="preserve"> </w:t>
      </w:r>
      <w:r>
        <w:rPr>
          <w:iCs/>
          <w:i/>
        </w:rPr>
        <w:t xml:space="preserve">Next step:</w:t>
      </w:r>
      <w:r>
        <w:t xml:space="preserve"> </w:t>
      </w:r>
      <w:r>
        <w:t xml:space="preserve">Out of scope (user 2026-10-29): emissions intensity of industrial output (U17) is an upgrade, not built; replicate if it is ever built (Replicated (typed GVA).)</w:t>
      </w:r>
      <w:r>
        <w:t xml:space="preserve"> </w:t>
      </w:r>
      <w:r>
        <w:rPr>
          <w:iCs/>
          <w:i/>
        </w:rPr>
        <w:t xml:space="preserve">Status:</w:t>
      </w:r>
      <w:r>
        <w:t xml:space="preserve"> </w:t>
      </w:r>
      <w:r>
        <w:t xml:space="preserve">Dropped.</w:t>
      </w:r>
    </w:p>
    <w:p>
      <w:pPr>
        <w:pStyle w:val="BodyText"/>
      </w:pPr>
      <w:r>
        <w:rPr>
          <w:bCs/>
          <w:b/>
        </w:rPr>
        <w:t xml:space="preserve">I135. Initially exempt demand mutes the usage response to every price change.</w:t>
      </w:r>
      <w:r>
        <w:t xml:space="preserve"> </w:t>
      </w:r>
      <w:r>
        <w:t xml:space="preserve">Rows 5568-5570 raise the after-tax price ratio to eU x phase, phase = 0 before the phase-out, in every scenario including scenario 1 (baseline world-price moves too). The prototype already does this (lkx). Replicated.</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(prototype lkx, unchanged).</w:t>
      </w:r>
      <w:r>
        <w:t xml:space="preserve"> </w:t>
      </w:r>
      <w:r>
        <w:rPr>
          <w:iCs/>
          <w:i/>
        </w:rPr>
        <w:t xml:space="preserve">Status:</w:t>
      </w:r>
      <w:r>
        <w:t xml:space="preserve"> </w:t>
      </w:r>
      <w:r>
        <w:t xml:space="preserve">Accepted.</w:t>
      </w:r>
    </w:p>
    <w:p>
      <w:pPr>
        <w:pStyle w:val="BodyText"/>
      </w:pPr>
      <w:r>
        <w:rPr>
          <w:bCs/>
          <w:b/>
        </w:rPr>
        <w:t xml:space="preserve">I136. Exempt share denominator: basket spend, not the sum of deciles.</w:t>
      </w:r>
      <w:r>
        <w:t xml:space="preserve"> </w:t>
      </w:r>
      <w:r>
        <w:t xml:space="preserve">K1793 = basket budget share x total consumption is the economy-wide spend; with mean budget shares the ten decile parts do not sum to 1 (Egypt LPG: sum of deciles / basket = 0.822). Egypt, 4 deciles, LPG: legacy 27.26%, prototype before v0.9.0 33.16% (sum of deciles). Replicated in v0.9.0 (Settings C83, R6.3).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R6.3): Settings C83 basket denominator; Egypt 4 deciles LPG 0.27259 = legacy 0.2726.</w:t>
      </w:r>
      <w:r>
        <w:t xml:space="preserve"> </w:t>
      </w:r>
      <w:r>
        <w:rPr>
          <w:iCs/>
          <w:i/>
        </w:rPr>
        <w:t xml:space="preserve">Status:</w:t>
      </w:r>
      <w:r>
        <w:t xml:space="preserve"> </w:t>
      </w:r>
      <w:r>
        <w:t xml:space="preserve">Accepted.</w:t>
      </w:r>
    </w:p>
    <w:p>
      <w:pPr>
        <w:pStyle w:val="BodyText"/>
      </w:pPr>
      <w:r>
        <w:rPr>
          <w:bCs/>
          <w:b/>
        </w:rPr>
        <w:t xml:space="preserve">I137. Most-used cooking fuel defaults to LPG when the WHO code is missing.</w:t>
      </w:r>
      <w:r>
        <w:t xml:space="preserve"> </w:t>
      </w:r>
      <w:r>
        <w:t xml:space="preserve">L1784 IFNA(…,</w:t>
      </w:r>
      <w:r>
        <w:t xml:space="preserve">“</w:t>
      </w:r>
      <w:r>
        <w:t xml:space="preserve">lpg</w:t>
      </w:r>
      <w:r>
        <w:t xml:space="preserve">”</w:t>
      </w:r>
      <w:r>
        <w:t xml:space="preserve">): the most-used cooking fuel is</w:t>
      </w:r>
      <w:r>
        <w:t xml:space="preserve"> </w:t>
      </w:r>
      <w:r>
        <w:t xml:space="preserve">“</w:t>
      </w:r>
      <w:r>
        <w:t xml:space="preserve">lpg</w:t>
      </w:r>
      <w:r>
        <w:t xml:space="preserve">”</w:t>
      </w:r>
      <w:r>
        <w:t xml:space="preserve"> </w:t>
      </w:r>
      <w:r>
        <w:t xml:space="preserve">when the WHOCooking code is missing; the prototype before v0.9.0 gave “” (Settings C65; affects leakage too). Replicated in v0.9.0 (R6.1).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R6.1): Settings C65 fallback</w:t>
      </w:r>
      <w:r>
        <w:t xml:space="preserve"> </w:t>
      </w:r>
      <w:r>
        <w:t xml:space="preserve">“</w:t>
      </w:r>
      <w:r>
        <w:t xml:space="preserve">lpg</w:t>
      </w:r>
      <w:r>
        <w:t xml:space="preserve">”</w:t>
      </w:r>
      <w:r>
        <w:t xml:space="preserve">.</w:t>
      </w:r>
      <w:r>
        <w:t xml:space="preserve"> </w:t>
      </w:r>
      <w:r>
        <w:rPr>
          <w:iCs/>
          <w:i/>
        </w:rPr>
        <w:t xml:space="preserve">Status:</w:t>
      </w:r>
      <w:r>
        <w:t xml:space="preserve"> </w:t>
      </w:r>
      <w:r>
        <w:t xml:space="preserve">Accepted.</w:t>
      </w:r>
    </w:p>
    <w:p>
      <w:pPr>
        <w:pStyle w:val="BodyText"/>
      </w:pPr>
      <w:r>
        <w:rPr>
          <w:bCs/>
          <w:b/>
        </w:rPr>
        <w:t xml:space="preserve">I138. Leakage to biomass on the not-exempt use only.</w:t>
      </w:r>
      <w:r>
        <w:t xml:space="preserve"> </w:t>
      </w:r>
      <w:r>
        <w:t xml:space="preserve">Rows 5577, 5583, 5588 (5577 = -L5564 x share …): the leakage is computed on the not-exempt use only. Replicated (R6.7).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(v0.9.0, R6.7): lkd on the not-exempt use.</w:t>
      </w:r>
      <w:r>
        <w:t xml:space="preserve"> </w:t>
      </w:r>
      <w:r>
        <w:rPr>
          <w:iCs/>
          <w:i/>
        </w:rPr>
        <w:t xml:space="preserve">Status:</w:t>
      </w:r>
      <w:r>
        <w:t xml:space="preserve"> </w:t>
      </w:r>
      <w:r>
        <w:t xml:space="preserve">Accepted.</w:t>
      </w:r>
    </w:p>
    <w:p>
      <w:pPr>
        <w:pStyle w:val="BodyText"/>
      </w:pPr>
      <w:r>
        <w:rPr>
          <w:bCs/>
          <w:b/>
        </w:rPr>
        <w:t xml:space="preserve">I139. Manual price rows switch on only with a 2021 value; years 2021-2026 only.</w:t>
      </w:r>
      <w:r>
        <w:t xml:space="preserve"> </w:t>
      </w:r>
      <w:r>
        <w:t xml:space="preserve">F765:F829 (I53 known): a manual price row is used only if it has a 2021 value; manual years are 2021-2026 only. Replicated (R8.1).</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R8.1; I53).</w:t>
      </w:r>
      <w:r>
        <w:t xml:space="preserve"> </w:t>
      </w:r>
      <w:r>
        <w:rPr>
          <w:iCs/>
          <w:i/>
        </w:rPr>
        <w:t xml:space="preserve">Status:</w:t>
      </w:r>
      <w:r>
        <w:t xml:space="preserve"> </w:t>
      </w:r>
      <w:r>
        <w:t xml:space="preserve">Accepted.</w:t>
      </w:r>
    </w:p>
    <w:p>
      <w:pPr>
        <w:pStyle w:val="BodyText"/>
      </w:pPr>
      <w:r>
        <w:rPr>
          <w:bCs/>
          <w:b/>
        </w:rPr>
        <w:t xml:space="preserve">I140. Blank manual elasticity gives</w:t>
      </w:r>
      <w:r>
        <w:rPr>
          <w:bCs/>
          <w:b/>
        </w:rPr>
        <w:t xml:space="preserve"> </w:t>
      </w:r>
      <w:r>
        <w:rPr>
          <w:bCs/>
          <w:b/>
        </w:rPr>
        <w:t xml:space="preserve">“</w:t>
      </w:r>
      <w:r>
        <w:rPr>
          <w:bCs/>
          <w:b/>
        </w:rPr>
        <w:t xml:space="preserve">no data</w:t>
      </w:r>
      <w:r>
        <w:rPr>
          <w:bCs/>
          <w:b/>
        </w:rPr>
        <w:t xml:space="preserve">”</w:t>
      </w:r>
      <w:r>
        <w:rPr>
          <w:bCs/>
          <w:b/>
        </w:rPr>
        <w:t xml:space="preserve"> </w:t>
      </w:r>
      <w:r>
        <w:rPr>
          <w:bCs/>
          <w:b/>
        </w:rPr>
        <w:t xml:space="preserve">and an error.</w:t>
      </w:r>
      <w:r>
        <w:t xml:space="preserve"> </w:t>
      </w:r>
      <w:r>
        <w:t xml:space="preserve">A blank manual elasticity gives</w:t>
      </w:r>
      <w:r>
        <w:t xml:space="preserve"> </w:t>
      </w:r>
      <w:r>
        <w:t xml:space="preserve">“</w:t>
      </w:r>
      <w:r>
        <w:t xml:space="preserve">no data</w:t>
      </w:r>
      <w:r>
        <w:t xml:space="preserve">”</w:t>
      </w:r>
      <w:r>
        <w:t xml:space="preserve"> </w:t>
      </w:r>
      <w:r>
        <w:t xml:space="preserve">and an error in the elasticity (Elasticities F column). Replicated as #N/A plus a check, not a silent fallback.</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as #N/A plus a check (Equations_addendum R8.5).</w:t>
      </w:r>
      <w:r>
        <w:t xml:space="preserve"> </w:t>
      </w:r>
      <w:r>
        <w:rPr>
          <w:iCs/>
          <w:i/>
        </w:rPr>
        <w:t xml:space="preserve">Status:</w:t>
      </w:r>
      <w:r>
        <w:t xml:space="preserve"> </w:t>
      </w:r>
      <w:r>
        <w:t xml:space="preserve">Accepted.</w:t>
      </w:r>
    </w:p>
    <w:p>
      <w:pPr>
        <w:pStyle w:val="BodyText"/>
      </w:pPr>
      <w:r>
        <w:rPr>
          <w:bCs/>
          <w:b/>
        </w:rPr>
        <w:t xml:space="preserve">I141. Methane intensity decline: rates borrowed across sources, decline from 2024.</w:t>
      </w:r>
      <w:r>
        <w:t xml:space="preserve"> </w:t>
      </w:r>
      <w:r>
        <w:t xml:space="preserve">Biomass and downstream gas use the oil-and-gas rate J185 (rows 6078, 6079); coal J186 = 0; agriculture J187 = 0.4719%/y; waste J188 = 0.5%/y. Decline from 2024 (index 1 in 2023). Replicated (R8.6).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R8.6).</w:t>
      </w:r>
      <w:r>
        <w:t xml:space="preserve"> </w:t>
      </w:r>
      <w:r>
        <w:rPr>
          <w:iCs/>
          <w:i/>
        </w:rPr>
        <w:t xml:space="preserve">Status:</w:t>
      </w:r>
      <w:r>
        <w:t xml:space="preserve"> </w:t>
      </w:r>
      <w:r>
        <w:t xml:space="preserve">Accepted.</w:t>
      </w:r>
    </w:p>
    <w:p>
      <w:pPr>
        <w:pStyle w:val="BodyText"/>
      </w:pPr>
      <w:r>
        <w:rPr>
          <w:bCs/>
          <w:b/>
        </w:rPr>
        <w:t xml:space="preserve">I142. Power cost breakdown: no shadow-price column, floor ignored.</w:t>
      </w:r>
      <w:r>
        <w:t xml:space="preserve"> </w:t>
      </w:r>
      <w:r>
        <w:t xml:space="preserve">E5 cost breakdown (rows 3508-3517) has no shadow-price (D6) column and ignores the MinPostSubsidyPowerPrice floor; checksum S shows the gap (0 for Egypt in both scenarios). Replicated; the checksum kept.</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checksum kept (Equations_addendum R9.12).</w:t>
      </w:r>
      <w:r>
        <w:t xml:space="preserve"> </w:t>
      </w:r>
      <w:r>
        <w:rPr>
          <w:iCs/>
          <w:i/>
        </w:rPr>
        <w:t xml:space="preserve">Status:</w:t>
      </w:r>
      <w:r>
        <w:t xml:space="preserve"> </w:t>
      </w:r>
      <w:r>
        <w:t xml:space="preserve">Accepted.</w:t>
      </w:r>
    </w:p>
    <w:p>
      <w:pPr>
        <w:pStyle w:val="BodyText"/>
      </w:pPr>
      <w:r>
        <w:rPr>
          <w:bCs/>
          <w:b/>
        </w:rPr>
        <w:t xml:space="preserve">I143. Road other biofuels use oil elasticities and oil AEEI.</w:t>
      </w:r>
      <w:r>
        <w:t xml:space="preserve"> </w:t>
      </w:r>
      <w:r>
        <w:t xml:space="preserve">Row 5406: road other biofuels (elasticity model) use the oil elasticities and the oil AEEI with the biomass price. Replicated (R10.3).</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R10.3).</w:t>
      </w:r>
      <w:r>
        <w:t xml:space="preserve"> </w:t>
      </w:r>
      <w:r>
        <w:rPr>
          <w:iCs/>
          <w:i/>
        </w:rPr>
        <w:t xml:space="preserve">Status:</w:t>
      </w:r>
      <w:r>
        <w:t xml:space="preserve"> </w:t>
      </w:r>
      <w:r>
        <w:t xml:space="preserve">Accepted.</w:t>
      </w:r>
    </w:p>
    <w:p>
      <w:pPr>
        <w:pStyle w:val="BodyText"/>
      </w:pPr>
      <w:r>
        <w:rPr>
          <w:bCs/>
          <w:b/>
        </w:rPr>
        <w:t xml:space="preserve">I144. Self-generated renewables priced at the solar investment cost, no policy.</w:t>
      </w:r>
      <w:r>
        <w:t xml:space="preserve"> </w:t>
      </w:r>
      <w:r>
        <w:t xml:space="preserve">Rows 2805-2806, 5480, 5505: self-generated renewables in aviation and navigation are priced at the solar levelised investment cost (row 3468), carry no new policy (nce typed 0) and no shadow price, with the transport (</w:t>
      </w:r>
      <w:r>
        <w:t xml:space="preserve">“</w:t>
      </w:r>
      <w:r>
        <w:t xml:space="preserve">rod</w:t>
      </w:r>
      <w:r>
        <w:t xml:space="preserve">”</w:t>
      </w:r>
      <w:r>
        <w:t xml:space="preserve">) renewables elasticities. Egypt use 0. Replicated (R10.5-R10.6).</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R10.5-R10.6).</w:t>
      </w:r>
      <w:r>
        <w:t xml:space="preserve"> </w:t>
      </w:r>
      <w:r>
        <w:rPr>
          <w:iCs/>
          <w:i/>
        </w:rPr>
        <w:t xml:space="preserve">Status:</w:t>
      </w:r>
      <w:r>
        <w:t xml:space="preserve"> </w:t>
      </w:r>
      <w:r>
        <w:t xml:space="preserve">Accepted.</w:t>
      </w:r>
    </w:p>
    <w:p>
      <w:pPr>
        <w:pStyle w:val="BodyText"/>
      </w:pPr>
      <w:r>
        <w:rPr>
          <w:bCs/>
          <w:b/>
        </w:rPr>
        <w:t xml:space="preserve">I145. Range anxiety: negative values held; one-year fit.</w:t>
      </w:r>
      <w:r>
        <w:t xml:space="preserve"> </w:t>
      </w:r>
      <w:r>
        <w:t xml:space="preserve">Rows 4354-4356 IF(N&lt;0,N,…): range anxiety may be negative and a negative start value is then held; the fit uses one year (Transport3 A1 = 2025); the freight residual is scaled x 10 (no effect on the root); a missing country gets the average of the stored table. Replicated (R10.9).</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R10.8-R10.9).</w:t>
      </w:r>
      <w:r>
        <w:t xml:space="preserve"> </w:t>
      </w:r>
      <w:r>
        <w:rPr>
          <w:iCs/>
          <w:i/>
        </w:rPr>
        <w:t xml:space="preserve">Status:</w:t>
      </w:r>
      <w:r>
        <w:t xml:space="preserve"> </w:t>
      </w:r>
      <w:r>
        <w:t xml:space="preserve">Accepted.</w:t>
      </w:r>
    </w:p>
    <w:p>
      <w:pPr>
        <w:pStyle w:val="BodyText"/>
      </w:pPr>
      <w:r>
        <w:rPr>
          <w:bCs/>
          <w:b/>
        </w:rPr>
        <w:t xml:space="preserve">I146. Electricity producer subsidy per kWh floored at -0.3 $/kWh.</w:t>
      </w:r>
      <w:r>
        <w:t xml:space="preserve"> </w:t>
      </w:r>
      <w:r>
        <w:t xml:space="preserve">H3590:H3591 floor the electricity producer subsidy per kWh at -0.3 $/kWh; the part above the floor is a residual (3592) outside prices; allocation by the pre-tax gap x consumption (3588). Replicated (R7.5-R7.7).</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 (Equations_addendum R7.6-R7.7).</w:t>
      </w:r>
      <w:r>
        <w:t xml:space="preserve"> </w:t>
      </w:r>
      <w:r>
        <w:rPr>
          <w:iCs/>
          <w:i/>
        </w:rPr>
        <w:t xml:space="preserve">Status:</w:t>
      </w:r>
      <w:r>
        <w:t xml:space="preserve"> </w:t>
      </w:r>
      <w:r>
        <w:t xml:space="preserve">Accepted.</w:t>
      </w:r>
    </w:p>
    <w:p>
      <w:pPr>
        <w:pStyle w:val="BodyText"/>
      </w:pPr>
      <w:r>
        <w:rPr>
          <w:bCs/>
          <w:b/>
        </w:rPr>
        <w:t xml:space="preserve">I147. Food &amp; forestry local pollutants far above the legacy air-pollution input.</w:t>
      </w:r>
      <w:r>
        <w:t xml:space="preserve"> </w:t>
      </w:r>
      <w:r>
        <w:t xml:space="preserve">The modelled PM2.5 of section 17b (coefficients x section-15 emissions, R1.5) matches legacy for power and road (AP 975-977, 2022) but food &amp; forestry gives 85.3 ug/m3 against 2.74 in legacy: the prototype’s section-15 food &amp; forestry emissions are far above the legacy AP input (BC 2,199 t against 3.8 t; NOx 40 kt against 5.5 kt; SO2 0.78 kt against 3.3 kt); total 115.6 against 30.2 ug/m3. The food &amp; forestry change drives wel.air (Egypt $20 tax, 2030: 3.76 bn). Cause not found yet (section 15 food &amp; forestry block, LegacyDiff 53, against the legacy E3 rows).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Resolved in v0.9.0 (EF465): the cause was the emission factors (our L58/L59 fallback gave food &amp; forestry diesel the construction factor, 2.51 t BC/ktoe against legacy 465’s regional 0.0044); with the 465 lookup section 15 equals legacy in 2022 (food &amp; forestry BC 3.8 t) and modelled PM2.5 is 33.06 against 30.17 ug/m3 (the difference: navigation, L22).</w:t>
      </w:r>
      <w:r>
        <w:t xml:space="preserve"> </w:t>
      </w:r>
      <w:r>
        <w:rPr>
          <w:iCs/>
          <w:i/>
        </w:rPr>
        <w:t xml:space="preserve">Status:</w:t>
      </w:r>
      <w:r>
        <w:t xml:space="preserve"> </w:t>
      </w:r>
      <w:r>
        <w:t xml:space="preserve">Closed.</w:t>
      </w:r>
      <w:r>
        <w:t xml:space="preserve"> </w:t>
      </w:r>
      <w:r>
        <w:rPr>
          <w:iCs/>
          <w:i/>
        </w:rPr>
        <w:t xml:space="preserve">See also:</w:t>
      </w:r>
      <w:r>
        <w:t xml:space="preserve"> </w:t>
      </w:r>
      <w:r>
        <w:t xml:space="preserve">LD53, LD81.</w:t>
      </w:r>
    </w:p>
    <w:p>
      <w:pPr>
        <w:pStyle w:val="BodyText"/>
      </w:pPr>
      <w:r>
        <w:rPr>
          <w:bCs/>
          <w:b/>
        </w:rPr>
        <w:t xml:space="preserve">I149. Other energy use takes the largest emission factor of each fuel across the other subsectors.</w:t>
      </w:r>
      <w:r>
        <w:t xml:space="preserve"> </w:t>
      </w:r>
      <w:r>
        <w:t xml:space="preserve">Legacy 465 rows 1117-1124 and the oen rows of every pollutant block (note</w:t>
      </w:r>
      <w:r>
        <w:t xml:space="preserve"> </w:t>
      </w:r>
      <w:r>
        <w:t xml:space="preserve">“</w:t>
      </w:r>
      <w:r>
        <w:t xml:space="preserve">The EF of this sector is equal to the max across other sectors</w:t>
      </w:r>
      <w:r>
        <w:t xml:space="preserve">”</w:t>
      </w:r>
      <w:r>
        <w:t xml:space="preserve">), power included; CH4 rows blank in legacy. Replicated (Inputs_nc oen rows, MAXIFS). Legacy takes the maximum year by year, the prototype on the base and final factors and the line between: exact for Egypt (other energy burns only other oil products).</w:t>
      </w:r>
      <w:r>
        <w:t xml:space="preserve"> </w:t>
      </w:r>
      <w:r>
        <w:rPr>
          <w:iCs/>
          <w:i/>
        </w:rPr>
        <w:t xml:space="preserve">In the prototype:</w:t>
      </w:r>
      <w:r>
        <w:t xml:space="preserve"> </w:t>
      </w:r>
      <w:r>
        <w:t xml:space="preserve">Replicated.</w:t>
      </w:r>
      <w:r>
        <w:t xml:space="preserve"> </w:t>
      </w:r>
      <w:r>
        <w:rPr>
          <w:iCs/>
          <w:i/>
        </w:rPr>
        <w:t xml:space="preserve">Next step:</w:t>
      </w:r>
      <w:r>
        <w:t xml:space="preserve"> </w:t>
      </w:r>
      <w:r>
        <w:t xml:space="preserve">Replicated.</w:t>
      </w:r>
      <w:r>
        <w:t xml:space="preserve"> </w:t>
      </w:r>
      <w:r>
        <w:rPr>
          <w:iCs/>
          <w:i/>
        </w:rPr>
        <w:t xml:space="preserve">Status:</w:t>
      </w:r>
      <w:r>
        <w:t xml:space="preserve"> </w:t>
      </w:r>
      <w:r>
        <w:t xml:space="preserve">Accepted.</w:t>
      </w:r>
    </w:p>
    <w:p>
      <w:pPr>
        <w:pStyle w:val="BodyText"/>
      </w:pPr>
      <w:r>
        <w:rPr>
          <w:bCs/>
          <w:b/>
        </w:rPr>
        <w:t xml:space="preserve">I151. Pigouvian road-transport component: base-year value x growth of the per-km costs.</w:t>
      </w:r>
      <w:r>
        <w:t xml:space="preserve"> </w:t>
      </w:r>
      <w:r>
        <w:t xml:space="preserve">Legacy’s Pigouvian tax uses scenario 1’s transport externalities per litre (mf.1, Transport 322-344), which follow scenario 1’s road model. The prototype, live and acyclic in every scenario group, takes base-year fuel economy, passenger/freight split (Transport1 fuel shares), driving share and road share, x the growth of the typed per-km costs. Egypt against legacy 465 mf.1: gasoline -5.0% (2030), -9.2% (2040); diesel +6.7%, +3.9%.</w:t>
      </w:r>
      <w:r>
        <w:t xml:space="preserve"> </w:t>
      </w:r>
      <w:r>
        <w:rPr>
          <w:iCs/>
          <w:i/>
        </w:rPr>
        <w:t xml:space="preserve">In the prototype:</w:t>
      </w:r>
      <w:r>
        <w:t xml:space="preserve"> </w:t>
      </w:r>
      <w:r>
        <w:t xml:space="preserve">Departs (user decision).</w:t>
      </w:r>
      <w:r>
        <w:t xml:space="preserve"> </w:t>
      </w:r>
      <w:r>
        <w:rPr>
          <w:iCs/>
          <w:i/>
        </w:rPr>
        <w:t xml:space="preserve">Next step:</w:t>
      </w:r>
      <w:r>
        <w:t xml:space="preserve"> </w:t>
      </w:r>
      <w:r>
        <w:t xml:space="preserve">Departure by user decision (2026-10-29: dynamic, copy-pastable, no stored scenario-1 values).</w:t>
      </w:r>
      <w:r>
        <w:t xml:space="preserve"> </w:t>
      </w:r>
      <w:r>
        <w:rPr>
          <w:iCs/>
          <w:i/>
        </w:rPr>
        <w:t xml:space="preserve">Status:</w:t>
      </w:r>
      <w:r>
        <w:t xml:space="preserve"> </w:t>
      </w:r>
      <w:r>
        <w:t xml:space="preserve">Accepted.</w:t>
      </w:r>
    </w:p>
    <w:p>
      <w:pPr>
        <w:pStyle w:val="BodyText"/>
      </w:pPr>
      <w:r>
        <w:rPr>
          <w:bCs/>
          <w:b/>
        </w:rPr>
        <w:t xml:space="preserve">I152. Methane abatement curves: no fallback to the Average coefficients.</w:t>
      </w:r>
      <w:r>
        <w:t xml:space="preserve"> </w:t>
      </w:r>
      <w:r>
        <w:t xml:space="preserve">Legacy takes each abatement-curve coefficient (a, b) of the country, and the Average row where the country value is 0 or missing (Mitigation L6084:M6084 and the rows of the other sources: IF(country = 0, Average, IFNA(country, Average))). The prototype reads the country value, 0 when missing (section 14 ch4.abt D:E). Example: DMA livestock b = 0 (legacy: the Average b, 0.7005). Egypt: none (its coefficients are non-zero).</w:t>
      </w:r>
      <w:r>
        <w:t xml:space="preserve"> </w:t>
      </w:r>
      <w:r>
        <w:rPr>
          <w:iCs/>
          <w:i/>
        </w:rPr>
        <w:t xml:space="preserve">In the prototype:</w:t>
      </w:r>
      <w:r>
        <w:t xml:space="preserve"> </w:t>
      </w:r>
      <w:r>
        <w:t xml:space="preserve">Not replicated yet: queued to be replicated (no user decision).</w:t>
      </w:r>
      <w:r>
        <w:t xml:space="preserve"> </w:t>
      </w:r>
      <w:r>
        <w:rPr>
          <w:iCs/>
          <w:i/>
        </w:rPr>
        <w:t xml:space="preserve">Next step:</w:t>
      </w:r>
      <w:r>
        <w:t xml:space="preserve"> </w:t>
      </w:r>
      <w:r>
        <w:t xml:space="preserve">Departure not decided by the user: queued to be replicated (NORMS 0): take the Average row where the country coefficient is 0 or missing, as legacy.</w:t>
      </w:r>
      <w:r>
        <w:t xml:space="preserve"> </w:t>
      </w:r>
      <w:r>
        <w:rPr>
          <w:iCs/>
          <w:i/>
        </w:rPr>
        <w:t xml:space="preserve">Status:</w:t>
      </w:r>
      <w:r>
        <w:t xml:space="preserve"> </w:t>
      </w:r>
      <w:r>
        <w:t xml:space="preserve">Open.</w:t>
      </w:r>
    </w:p>
    <w:bookmarkEnd w:id="37"/>
    <w:bookmarkStart w:id="38" w:name="X3175de83433cae6ead4882f8125f4fef16e060c"/>
    <w:p>
      <w:pPr>
        <w:pStyle w:val="Heading1"/>
      </w:pPr>
      <w:r>
        <w:t xml:space="preserve">Appendix D. Departures from legacy (LD, sheet LegacyDiff)</w:t>
      </w:r>
    </w:p>
    <w:tbl>
      <w:tblPr>
        <w:tblStyle w:val="Table"/>
        <w:tblW w:type="pct" w:w="5000"/>
        <w:tblLook w:firstRow="1" w:lastRow="0" w:firstColumn="0" w:lastColumn="0" w:noHBand="0" w:noVBand="0" w:val="0020"/>
        <w:jc w:val="start"/>
      </w:tblPr>
      <w:tblGrid>
        <w:gridCol w:w="416"/>
        <w:gridCol w:w="833"/>
        <w:gridCol w:w="1250"/>
        <w:gridCol w:w="3334"/>
        <w:gridCol w:w="2084"/>
      </w:tblGrid>
      <w:tr>
        <w:trPr>
          <w:tblHeader w:val="true"/>
        </w:trPr>
        <w:tc>
          <w:tcPr/>
          <w:p>
            <w:pPr>
              <w:pStyle w:val="Compact"/>
              <w:jc w:val="left"/>
            </w:pPr>
            <w:r>
              <w:t xml:space="preserve">Code</w:t>
            </w:r>
          </w:p>
        </w:tc>
        <w:tc>
          <w:tcPr/>
          <w:p>
            <w:pPr>
              <w:pStyle w:val="Compact"/>
              <w:jc w:val="left"/>
            </w:pPr>
            <w:r>
              <w:t xml:space="preserve">Type</w:t>
            </w:r>
          </w:p>
        </w:tc>
        <w:tc>
          <w:tcPr/>
          <w:p>
            <w:pPr>
              <w:pStyle w:val="Compact"/>
              <w:jc w:val="left"/>
            </w:pPr>
            <w:r>
              <w:t xml:space="preserve">Area</w:t>
            </w:r>
          </w:p>
        </w:tc>
        <w:tc>
          <w:tcPr/>
          <w:p>
            <w:pPr>
              <w:pStyle w:val="Compact"/>
              <w:jc w:val="left"/>
            </w:pPr>
            <w:r>
              <w:t xml:space="preserve">Departure</w:t>
            </w:r>
          </w:p>
        </w:tc>
        <w:tc>
          <w:tcPr/>
          <w:p>
            <w:pPr>
              <w:pStyle w:val="Compact"/>
              <w:jc w:val="left"/>
            </w:pPr>
            <w:r>
              <w:t xml:space="preserve">Why</w:t>
            </w:r>
          </w:p>
        </w:tc>
      </w:tr>
      <w:tr>
        <w:tc>
          <w:tcPr/>
          <w:p>
            <w:pPr>
              <w:pStyle w:val="Compact"/>
              <w:jc w:val="left"/>
            </w:pPr>
            <w:r>
              <w:t xml:space="preserve">LD2</w:t>
            </w:r>
          </w:p>
        </w:tc>
        <w:tc>
          <w:tcPr/>
          <w:p>
            <w:pPr>
              <w:pStyle w:val="Compact"/>
              <w:jc w:val="left"/>
            </w:pPr>
            <w:r>
              <w:t xml:space="preserve">Decision</w:t>
            </w:r>
          </w:p>
        </w:tc>
        <w:tc>
          <w:tcPr/>
          <w:p>
            <w:pPr>
              <w:pStyle w:val="Compact"/>
              <w:jc w:val="left"/>
            </w:pPr>
            <w:r>
              <w:t xml:space="preserve">Other oil products: pass-through and margin</w:t>
            </w:r>
          </w:p>
        </w:tc>
        <w:tc>
          <w:tcPr/>
          <w:p>
            <w:pPr>
              <w:pStyle w:val="Compact"/>
              <w:jc w:val="left"/>
            </w:pPr>
            <w:r>
              <w:t xml:space="preserve">Legacy: Hardcoded 1 and 0. Prototype: From the IMF dataset like the other oil products (Egypt 0 and 7.95 $/bbl).</w:t>
            </w:r>
          </w:p>
        </w:tc>
        <w:tc>
          <w:tcPr/>
          <w:p>
            <w:pPr>
              <w:pStyle w:val="Compact"/>
              <w:jc w:val="left"/>
            </w:pPr>
            <w:r>
              <w:t xml:space="preserve">User decision v0.0.10: the legacy rule drove the retail price to the 0.01 floor and fuel use 10x by 2030</w:t>
            </w:r>
          </w:p>
        </w:tc>
      </w:tr>
      <w:tr>
        <w:tc>
          <w:tcPr/>
          <w:p>
            <w:pPr>
              <w:pStyle w:val="Compact"/>
              <w:jc w:val="left"/>
            </w:pPr>
            <w:r>
              <w:t xml:space="preserve">LD3</w:t>
            </w:r>
          </w:p>
        </w:tc>
        <w:tc>
          <w:tcPr/>
          <w:p>
            <w:pPr>
              <w:pStyle w:val="Compact"/>
              <w:jc w:val="left"/>
            </w:pPr>
            <w:r>
              <w:t xml:space="preserve">Bug fix</w:t>
            </w:r>
          </w:p>
        </w:tc>
        <w:tc>
          <w:tcPr/>
          <w:p>
            <w:pPr>
              <w:pStyle w:val="Compact"/>
              <w:jc w:val="left"/>
            </w:pPr>
            <w:r>
              <w:t xml:space="preserve">VAT rate where the dataset is blank</w:t>
            </w:r>
          </w:p>
        </w:tc>
        <w:tc>
          <w:tcPr/>
          <w:p>
            <w:pPr>
              <w:pStyle w:val="Compact"/>
              <w:jc w:val="left"/>
            </w:pPr>
            <w:r>
              <w:t xml:space="preserve">Legacy: 0. Prototype: General VAT rate VAT_WEO for residential coal and gas and all-sector oil products; 0 for power, industry, biomass. Only for blank cells (v0.0.14).</w:t>
            </w:r>
          </w:p>
        </w:tc>
        <w:tc>
          <w:tcPr/>
          <w:p>
            <w:pPr>
              <w:pStyle w:val="Compact"/>
              <w:jc w:val="left"/>
            </w:pPr>
            <w:r>
              <w:t xml:space="preserve">Legacy bug L170 (v0.8.5, user 2026-10-29; was data bug DB2): a blank is a missing value, not a zero; the data problem is issue I97 (very high)</w:t>
            </w:r>
          </w:p>
        </w:tc>
      </w:tr>
      <w:tr>
        <w:tc>
          <w:tcPr/>
          <w:p>
            <w:pPr>
              <w:pStyle w:val="Compact"/>
              <w:jc w:val="left"/>
            </w:pPr>
            <w:r>
              <w:t xml:space="preserve">LD5</w:t>
            </w:r>
          </w:p>
        </w:tc>
        <w:tc>
          <w:tcPr/>
          <w:p>
            <w:pPr>
              <w:pStyle w:val="Compact"/>
              <w:jc w:val="left"/>
            </w:pPr>
            <w:r>
              <w:t xml:space="preserve">Bug fix</w:t>
            </w:r>
          </w:p>
        </w:tc>
        <w:tc>
          <w:tcPr/>
          <w:p>
            <w:pPr>
              <w:pStyle w:val="Compact"/>
              <w:jc w:val="left"/>
            </w:pPr>
            <w:r>
              <w:t xml:space="preserve">Oil-product share in the VAT of transport fuels</w:t>
            </w:r>
          </w:p>
        </w:tc>
        <w:tc>
          <w:tcPr/>
          <w:p>
            <w:pPr>
              <w:pStyle w:val="Compact"/>
              <w:jc w:val="left"/>
            </w:pPr>
            <w:r>
              <w:t xml:space="preserve">Legacy: VAT rate x oil-product share. Prototype: VAT rate x household share of the oil product (sheet OilProductShares, as legacy rows 801-816; v0.4.12); VAT payment = (supply cost + taxes) x rate x share.</w:t>
            </w:r>
          </w:p>
        </w:tc>
        <w:tc>
          <w:tcPr/>
          <w:p>
            <w:pPr>
              <w:pStyle w:val="Compact"/>
              <w:jc w:val="left"/>
            </w:pPr>
            <w:r>
              <w:t xml:space="preserve">Replicated (user decision 2026-10-18: an issue, not a bug: legacy means to charge VAT only on the household share, firms reclaim it; issue I39); legacy bug L60 fixed (VAT payment divided by 1 + full rate)</w:t>
            </w:r>
          </w:p>
        </w:tc>
      </w:tr>
      <w:tr>
        <w:tc>
          <w:tcPr/>
          <w:p>
            <w:pPr>
              <w:pStyle w:val="Compact"/>
              <w:jc w:val="left"/>
            </w:pPr>
            <w:r>
              <w:t xml:space="preserve">LD6</w:t>
            </w:r>
          </w:p>
        </w:tc>
        <w:tc>
          <w:tcPr/>
          <w:p>
            <w:pPr>
              <w:pStyle w:val="Compact"/>
              <w:jc w:val="left"/>
            </w:pPr>
            <w:r>
              <w:t xml:space="preserve">Bug fix</w:t>
            </w:r>
          </w:p>
        </w:tc>
        <w:tc>
          <w:tcPr/>
          <w:p>
            <w:pPr>
              <w:pStyle w:val="Compact"/>
              <w:jc w:val="left"/>
            </w:pPr>
            <w:r>
              <w:t xml:space="preserve">New ETS price</w:t>
            </w:r>
          </w:p>
        </w:tc>
        <w:tc>
          <w:tcPr/>
          <w:p>
            <w:pPr>
              <w:pStyle w:val="Compact"/>
              <w:jc w:val="left"/>
            </w:pPr>
            <w:r>
              <w:t xml:space="preserve">Legacy: Cap relative to baseline; quick estimate (linear in the semi-elasticity) and a VBA goal seek on an override row. Prototype: Same cap; fast estimate in log form LN(cap/baseline)/(semi x effectiveness x volatility adjustment); override row pasted from ets_goalseek.py (Python, same damped log-space step, no VBA); baseline covered emissions are data from scenario 1 (bco2).</w:t>
            </w:r>
          </w:p>
        </w:tc>
        <w:tc>
          <w:tcPr/>
          <w:p>
            <w:pPr>
              <w:pStyle w:val="Compact"/>
              <w:jc w:val="left"/>
            </w:pPr>
            <w:r>
              <w:t xml:space="preserve">Legacy bug L57 (user 2026-10-18): the quick estimate is linear in the semi-elasticity, while the cap is a relative change of emissions (legacy note</w:t>
            </w:r>
            <w:r>
              <w:t xml:space="preserve"> </w:t>
            </w:r>
            <w:r>
              <w:t xml:space="preserve">“</w:t>
            </w:r>
            <w:r>
              <w:t xml:space="preserve">arguably exp/ln</w:t>
            </w:r>
            <w:r>
              <w:t xml:space="preserve">”</w:t>
            </w:r>
            <w:r>
              <w:t xml:space="preserve">); the log form hits the cap. No circular reference</w:t>
            </w:r>
          </w:p>
        </w:tc>
      </w:tr>
      <w:tr>
        <w:tc>
          <w:tcPr/>
          <w:p>
            <w:pPr>
              <w:pStyle w:val="Compact"/>
              <w:jc w:val="left"/>
            </w:pPr>
            <w:r>
              <w:t xml:space="preserve">LD8</w:t>
            </w:r>
          </w:p>
        </w:tc>
        <w:tc>
          <w:tcPr/>
          <w:p>
            <w:pPr>
              <w:pStyle w:val="Compact"/>
              <w:jc w:val="left"/>
            </w:pPr>
            <w:r>
              <w:t xml:space="preserve">Bug fix</w:t>
            </w:r>
          </w:p>
        </w:tc>
        <w:tc>
          <w:tcPr/>
          <w:p>
            <w:pPr>
              <w:pStyle w:val="Compact"/>
              <w:jc w:val="left"/>
            </w:pPr>
            <w:r>
              <w:t xml:space="preserve">ETS volatility</w:t>
            </w:r>
          </w:p>
        </w:tc>
        <w:tc>
          <w:tcPr/>
          <w:p>
            <w:pPr>
              <w:pStyle w:val="Compact"/>
              <w:jc w:val="left"/>
            </w:pPr>
            <w:r>
              <w:t xml:space="preserve">Legacy: Relative price ETS vs tax hardcoded 1.1 (row 1843); volatility inputs feed a factor not used. Prototype: Volatility adjustment (1 + policy risk x impact)/(1 + volatility x impact) from MTInputs 95-97 (1/1.1 at Medium) on the tax-equivalent price and in the fast estimate.</w:t>
            </w:r>
          </w:p>
        </w:tc>
        <w:tc>
          <w:tcPr/>
          <w:p>
            <w:pPr>
              <w:pStyle w:val="Compact"/>
              <w:jc w:val="left"/>
            </w:pPr>
            <w:r>
              <w:t xml:space="preserve">Legacy bug L15: the relative price is a hardcoded 1.1 and the volatility inputs are not used (user suggestion v0.1.02: volatility-dependent effectiveness)</w:t>
            </w:r>
          </w:p>
        </w:tc>
      </w:tr>
      <w:tr>
        <w:tc>
          <w:tcPr/>
          <w:p>
            <w:pPr>
              <w:pStyle w:val="Compact"/>
              <w:jc w:val="left"/>
            </w:pPr>
            <w:r>
              <w:t xml:space="preserve">LD10</w:t>
            </w:r>
          </w:p>
        </w:tc>
        <w:tc>
          <w:tcPr/>
          <w:p>
            <w:pPr>
              <w:pStyle w:val="Compact"/>
              <w:jc w:val="left"/>
            </w:pPr>
            <w:r>
              <w:t xml:space="preserve">Bug fix</w:t>
            </w:r>
          </w:p>
        </w:tc>
        <w:tc>
          <w:tcPr/>
          <w:p>
            <w:pPr>
              <w:pStyle w:val="Compact"/>
              <w:jc w:val="left"/>
            </w:pPr>
            <w:r>
              <w:t xml:space="preserve">Policy paths after the target year</w:t>
            </w:r>
          </w:p>
        </w:tc>
        <w:tc>
          <w:tcPr/>
          <w:p>
            <w:pPr>
              <w:pStyle w:val="Compact"/>
              <w:jc w:val="left"/>
            </w:pPr>
            <w:r>
              <w:t xml:space="preserve">Legacy: Per instrument: carbon price and fuel price reform follow the ExtendCarbonPriceBeyondOutro switch (reform: 0 under No, rate x last year under Percentage); feebates constant. Prototype: The same (v0.9.0; v0.0.8-v0.8.5: linear for the reform and feebates); legacy bugs L171 (hold the target under No) and L173 (1 + rate) fixed; ETS benchmarks constant; ETS cap per MTInputs switch.</w:t>
            </w:r>
          </w:p>
        </w:tc>
        <w:tc>
          <w:tcPr/>
          <w:p>
            <w:pPr>
              <w:pStyle w:val="Compact"/>
              <w:jc w:val="left"/>
            </w:pPr>
            <w:r>
              <w:t xml:space="preserve">User decision 2026-10-29: revert to legacy</w:t>
            </w:r>
          </w:p>
        </w:tc>
      </w:tr>
      <w:tr>
        <w:tc>
          <w:tcPr/>
          <w:p>
            <w:pPr>
              <w:pStyle w:val="Compact"/>
              <w:jc w:val="left"/>
            </w:pPr>
            <w:r>
              <w:t xml:space="preserve">LD13</w:t>
            </w:r>
          </w:p>
        </w:tc>
        <w:tc>
          <w:tcPr/>
          <w:p>
            <w:pPr>
              <w:pStyle w:val="Compact"/>
              <w:jc w:val="left"/>
            </w:pPr>
            <w:r>
              <w:t xml:space="preserve">Decision</w:t>
            </w:r>
          </w:p>
        </w:tc>
        <w:tc>
          <w:tcPr/>
          <w:p>
            <w:pPr>
              <w:pStyle w:val="Compact"/>
              <w:jc w:val="left"/>
            </w:pPr>
            <w:r>
              <w:t xml:space="preserve">Biomass carbon-tax coverage</w:t>
            </w:r>
          </w:p>
        </w:tc>
        <w:tc>
          <w:tcPr/>
          <w:p>
            <w:pPr>
              <w:pStyle w:val="Compact"/>
              <w:jc w:val="left"/>
            </w:pPr>
            <w:r>
              <w:t xml:space="preserve">Legacy: No switch. Prototype: TRUE (EF 0).</w:t>
            </w:r>
          </w:p>
        </w:tc>
        <w:tc>
          <w:tcPr/>
          <w:p>
            <w:pPr>
              <w:pStyle w:val="Compact"/>
              <w:jc w:val="left"/>
            </w:pPr>
            <w:r>
              <w:t xml:space="preserve">User decision v0.0.8</w:t>
            </w:r>
          </w:p>
        </w:tc>
      </w:tr>
      <w:tr>
        <w:tc>
          <w:tcPr/>
          <w:p>
            <w:pPr>
              <w:pStyle w:val="Compact"/>
              <w:jc w:val="left"/>
            </w:pPr>
            <w:r>
              <w:t xml:space="preserve">LD14</w:t>
            </w:r>
          </w:p>
        </w:tc>
        <w:tc>
          <w:tcPr/>
          <w:p>
            <w:pPr>
              <w:pStyle w:val="Compact"/>
              <w:jc w:val="left"/>
            </w:pPr>
            <w:r>
              <w:t xml:space="preserve">Decision</w:t>
            </w:r>
          </w:p>
        </w:tc>
        <w:tc>
          <w:tcPr/>
          <w:p>
            <w:pPr>
              <w:pStyle w:val="Compact"/>
              <w:jc w:val="left"/>
            </w:pPr>
            <w:r>
              <w:t xml:space="preserve">Sign of subsidies</w:t>
            </w:r>
          </w:p>
        </w:tc>
        <w:tc>
          <w:tcPr/>
          <w:p>
            <w:pPr>
              <w:pStyle w:val="Compact"/>
              <w:jc w:val="left"/>
            </w:pPr>
            <w:r>
              <w:t xml:space="preserve">Legacy: Subsidy cost reported as a positive number. Prototype: Subsidies negative: esub, esubpu, rsub, prsub, sgap, rgap; net existing revenue rnet = rtx + rsub.</w:t>
            </w:r>
          </w:p>
        </w:tc>
        <w:tc>
          <w:tcPr/>
          <w:p>
            <w:pPr>
              <w:pStyle w:val="Compact"/>
              <w:jc w:val="left"/>
            </w:pPr>
            <w:r>
              <w:t xml:space="preserve">User rule v0.2.4</w:t>
            </w:r>
          </w:p>
        </w:tc>
      </w:tr>
      <w:tr>
        <w:tc>
          <w:tcPr/>
          <w:p>
            <w:pPr>
              <w:pStyle w:val="Compact"/>
              <w:jc w:val="left"/>
            </w:pPr>
            <w:r>
              <w:t xml:space="preserve">LD15</w:t>
            </w:r>
          </w:p>
        </w:tc>
        <w:tc>
          <w:tcPr/>
          <w:p>
            <w:pPr>
              <w:pStyle w:val="Compact"/>
              <w:jc w:val="left"/>
            </w:pPr>
            <w:r>
              <w:t xml:space="preserve">Decision</w:t>
            </w:r>
          </w:p>
        </w:tc>
        <w:tc>
          <w:tcPr/>
          <w:p>
            <w:pPr>
              <w:pStyle w:val="Compact"/>
              <w:jc w:val="left"/>
            </w:pPr>
            <w:r>
              <w:t xml:space="preserve">Constants and row pointers</w:t>
            </w:r>
          </w:p>
        </w:tc>
        <w:tc>
          <w:tcPr/>
          <w:p>
            <w:pPr>
              <w:pStyle w:val="Compact"/>
              <w:jc w:val="left"/>
            </w:pPr>
            <w:r>
              <w:t xml:space="preserve">Legacy: Typed in cells and formulas (e.g. 8760, 8.76, 1000, 0.01, MTInputs row numbers, baseline values). Prototype: Looked up: named constants and policy assumptions on sheet Constants, MTInputs rows on Mapping (by NameOfParameter or label), baseline CO2 on sheet BaselineCO2.</w:t>
            </w:r>
          </w:p>
        </w:tc>
        <w:tc>
          <w:tcPr/>
          <w:p>
            <w:pPr>
              <w:pStyle w:val="Compact"/>
              <w:jc w:val="left"/>
            </w:pPr>
            <w:r>
              <w:t xml:space="preserve">User rule v0.2.4</w:t>
            </w:r>
          </w:p>
        </w:tc>
      </w:tr>
      <w:tr>
        <w:tc>
          <w:tcPr/>
          <w:p>
            <w:pPr>
              <w:pStyle w:val="Compact"/>
              <w:jc w:val="left"/>
            </w:pPr>
            <w:r>
              <w:t xml:space="preserve">LD16</w:t>
            </w:r>
          </w:p>
        </w:tc>
        <w:tc>
          <w:tcPr/>
          <w:p>
            <w:pPr>
              <w:pStyle w:val="Compact"/>
              <w:jc w:val="left"/>
            </w:pPr>
            <w:r>
              <w:t xml:space="preserve">Bug fix</w:t>
            </w:r>
          </w:p>
        </w:tc>
        <w:tc>
          <w:tcPr/>
          <w:p>
            <w:pPr>
              <w:pStyle w:val="Compact"/>
              <w:jc w:val="left"/>
            </w:pPr>
            <w:r>
              <w:t xml:space="preserve">Margins and production costs</w:t>
            </w:r>
          </w:p>
        </w:tc>
        <w:tc>
          <w:tcPr/>
          <w:p>
            <w:pPr>
              <w:pStyle w:val="Compact"/>
              <w:jc w:val="left"/>
            </w:pPr>
            <w:r>
              <w:t xml:space="preserve">Legacy: Coal and gas margin read at 2024 (typed), oil products at the base year; production cost weighted by the share produced domestically; both added unconverted (nominal). Prototype: The same years and weight (v0.9.0), converted to real with the CPI index of the year read.</w:t>
            </w:r>
          </w:p>
        </w:tc>
        <w:tc>
          <w:tcPr/>
          <w:p>
            <w:pPr>
              <w:pStyle w:val="Compact"/>
              <w:jc w:val="left"/>
            </w:pPr>
            <w:r>
              <w:t xml:space="preserve">User decision 2026-10-29: as legacy; legacy bug L172 fixed (nominal added to real); typed year issue I101; domestic-production weight LD80</w:t>
            </w:r>
          </w:p>
        </w:tc>
      </w:tr>
      <w:tr>
        <w:tc>
          <w:tcPr/>
          <w:p>
            <w:pPr>
              <w:pStyle w:val="Compact"/>
              <w:jc w:val="left"/>
            </w:pPr>
            <w:r>
              <w:t xml:space="preserve">LD23</w:t>
            </w:r>
          </w:p>
        </w:tc>
        <w:tc>
          <w:tcPr/>
          <w:p>
            <w:pPr>
              <w:pStyle w:val="Compact"/>
              <w:jc w:val="left"/>
            </w:pPr>
            <w:r>
              <w:t xml:space="preserve">Bug fix</w:t>
            </w:r>
          </w:p>
        </w:tc>
        <w:tc>
          <w:tcPr/>
          <w:p>
            <w:pPr>
              <w:pStyle w:val="Compact"/>
              <w:jc w:val="left"/>
            </w:pPr>
            <w:r>
              <w:t xml:space="preserve">Power: bug fixes (v0.1.06)</w:t>
            </w:r>
          </w:p>
        </w:tc>
        <w:tc>
          <w:tcPr/>
          <w:p>
            <w:pPr>
              <w:pStyle w:val="Compact"/>
              <w:jc w:val="left"/>
            </w:pPr>
            <w:r>
              <w:t xml:space="preserve">Legacy: Ten defects (CPAT-AI-Mitigation-Prototype_BugsIssuesUpgrades_v0.6.4.docx): services demand with the industrial multiple from 2024; efficiency exponent with eps_F; income factor twice; LT storage allocation twice; investment spending at base capital cost; investment logit normalised by non-permitted types; early-retirement units; coal effective retirement uncapped; feebate rebate x 1.22; capacity check on the plan; v0.4.14: new capacity sized for this year’s demand although it comes online next year (L67, was I8). Prototype: Fixed.</w:t>
            </w:r>
          </w:p>
        </w:tc>
        <w:tc>
          <w:tcPr/>
          <w:p>
            <w:pPr>
              <w:pStyle w:val="Compact"/>
              <w:jc w:val="left"/>
            </w:pPr>
            <w:r>
              <w:t xml:space="preserve">User request v0.1.06; L67 by user decision 2026-10-18</w:t>
            </w:r>
          </w:p>
        </w:tc>
      </w:tr>
      <w:tr>
        <w:tc>
          <w:tcPr/>
          <w:p>
            <w:pPr>
              <w:pStyle w:val="Compact"/>
              <w:jc w:val="left"/>
            </w:pPr>
            <w:r>
              <w:t xml:space="preserve">LD28</w:t>
            </w:r>
          </w:p>
        </w:tc>
        <w:tc>
          <w:tcPr/>
          <w:p>
            <w:pPr>
              <w:pStyle w:val="Compact"/>
              <w:jc w:val="left"/>
            </w:pPr>
            <w:r>
              <w:t xml:space="preserve">Simplification</w:t>
            </w:r>
          </w:p>
        </w:tc>
        <w:tc>
          <w:tcPr/>
          <w:p>
            <w:pPr>
              <w:pStyle w:val="Compact"/>
              <w:jc w:val="left"/>
            </w:pPr>
            <w:r>
              <w:t xml:space="preserve">Power: features not built</w:t>
            </w:r>
          </w:p>
        </w:tc>
        <w:tc>
          <w:tcPr/>
          <w:p>
            <w:pPr>
              <w:pStyle w:val="Compact"/>
              <w:jc w:val="left"/>
            </w:pPr>
            <w:r>
              <w:t xml:space="preserve">Legacy: Power demand from the elasticity model, carbon price on power use (feebate on demand). Prototype: Dropped (user decisions 4 and 5 of the power plan; the rebate covers the demand-side feebate). Built: v0.5.4 PPAs, deficit to gas, renewable subsidies, rebate, electricity excise, every power input by scenario; v0.5.6 manual capacity and investment (P3: rows mancap, mani, needm; Manual inputs 349-357 scenario 1, 363-371 other scenarios; legacy bug L118 fixed: logit investment sized on the need net of manual investment).</w:t>
            </w:r>
          </w:p>
        </w:tc>
        <w:tc>
          <w:tcPr/>
          <w:p>
            <w:pPr>
              <w:pStyle w:val="Compact"/>
              <w:jc w:val="left"/>
            </w:pPr>
            <w:r>
              <w:t xml:space="preserve">Scope (power plan)</w:t>
            </w:r>
          </w:p>
        </w:tc>
      </w:tr>
      <w:tr>
        <w:tc>
          <w:tcPr/>
          <w:p>
            <w:pPr>
              <w:pStyle w:val="Compact"/>
              <w:jc w:val="left"/>
            </w:pPr>
            <w:r>
              <w:t xml:space="preserve">LD38</w:t>
            </w:r>
          </w:p>
        </w:tc>
        <w:tc>
          <w:tcPr/>
          <w:p>
            <w:pPr>
              <w:pStyle w:val="Compact"/>
              <w:jc w:val="left"/>
            </w:pPr>
            <w:r>
              <w:t xml:space="preserve">Bug fix</w:t>
            </w:r>
          </w:p>
        </w:tc>
        <w:tc>
          <w:tcPr/>
          <w:p>
            <w:pPr>
              <w:pStyle w:val="Compact"/>
              <w:jc w:val="left"/>
            </w:pPr>
            <w:r>
              <w:t xml:space="preserve">Existing carbon pricing</w:t>
            </w:r>
          </w:p>
        </w:tc>
        <w:tc>
          <w:tcPr/>
          <w:p>
            <w:pPr>
              <w:pStyle w:val="Compact"/>
              <w:jc w:val="left"/>
            </w:pPr>
            <w:r>
              <w:t xml:space="preserve">Legacy: ECP data by country (national and regional ETS blocks, carbon tax with fuel-specific rates), coverage by year; ctx and ets inside txo; free allocation and revenue data. Prototype: As legacy (v0.4.12): carbon tax with the single rate or fuel rates (single price? flag), national ETS and the EU ETS (EU ETS? = Yes or Both) added up, coverage of each data year (blank = 0), the last data year after; each scheme read from its own block of sheet ECP; the sector of the price fuel (oil products: transport; other oil products: industry); only the change against the level in the price data enters prices and revenue (legacy: ctx and ets inside txo, same numbers); existing ETS revenue at full price and free-allocation and revenue data unused, as legacy.</w:t>
            </w:r>
          </w:p>
        </w:tc>
        <w:tc>
          <w:tcPr/>
          <w:p>
            <w:pPr>
              <w:pStyle w:val="Compact"/>
              <w:jc w:val="left"/>
            </w:pPr>
            <w:r>
              <w:t xml:space="preserve">User decision 2026-10-18 (replicate legacy, several schemes; was issue I7); legacy bugs fixed: L61 (EU ETS grows with the carbon-tax growth), L62 (transport diesel, LPG, kerosene tax rows take the rate row as coverage), L63 (fuel coverage range cut short), L64 (no ETS on other oil products outside power), L65 (complementary tax with last year’s ETS coverage)</w:t>
            </w:r>
          </w:p>
        </w:tc>
      </w:tr>
      <w:tr>
        <w:tc>
          <w:tcPr/>
          <w:p>
            <w:pPr>
              <w:pStyle w:val="Compact"/>
              <w:jc w:val="left"/>
            </w:pPr>
            <w:r>
              <w:t xml:space="preserve">LD40</w:t>
            </w:r>
          </w:p>
        </w:tc>
        <w:tc>
          <w:tcPr/>
          <w:p>
            <w:pPr>
              <w:pStyle w:val="Compact"/>
              <w:jc w:val="left"/>
            </w:pPr>
            <w:r>
              <w:t xml:space="preserve">Decision</w:t>
            </w:r>
          </w:p>
        </w:tc>
        <w:tc>
          <w:tcPr/>
          <w:p>
            <w:pPr>
              <w:pStyle w:val="Compact"/>
              <w:jc w:val="left"/>
            </w:pPr>
            <w:r>
              <w:t xml:space="preserve">Horizon and indices</w:t>
            </w:r>
          </w:p>
        </w:tc>
        <w:tc>
          <w:tcPr/>
          <w:p>
            <w:pPr>
              <w:pStyle w:val="Compact"/>
              <w:jc w:val="left"/>
            </w:pPr>
            <w:r>
              <w:t xml:space="preserve">Legacy: To 2050 (power block to 2041); CPI held flat after 2031. Prototype: To 2041 (v0.2.3; the last year is the LAMBDA year); same indices; values after 2030 not a legacy target.</w:t>
            </w:r>
          </w:p>
        </w:tc>
        <w:tc>
          <w:tcPr/>
          <w:p>
            <w:pPr>
              <w:pStyle w:val="Compact"/>
              <w:jc w:val="left"/>
            </w:pPr>
            <w:r>
              <w:t xml:space="preserve">User decisions v0.0.9 / v0.0.11 / v0.2.3</w:t>
            </w:r>
          </w:p>
        </w:tc>
      </w:tr>
      <w:tr>
        <w:tc>
          <w:tcPr/>
          <w:p>
            <w:pPr>
              <w:pStyle w:val="Compact"/>
              <w:jc w:val="left"/>
            </w:pPr>
            <w:r>
              <w:t xml:space="preserve">LD43</w:t>
            </w:r>
          </w:p>
        </w:tc>
        <w:tc>
          <w:tcPr/>
          <w:p>
            <w:pPr>
              <w:pStyle w:val="Compact"/>
              <w:jc w:val="left"/>
            </w:pPr>
            <w:r>
              <w:t xml:space="preserve">Bug fix</w:t>
            </w:r>
          </w:p>
        </w:tc>
        <w:tc>
          <w:tcPr/>
          <w:p>
            <w:pPr>
              <w:pStyle w:val="Compact"/>
              <w:jc w:val="left"/>
            </w:pPr>
            <w:r>
              <w:t xml:space="preserve">GHGs: non-energy methane (v0.2.8)</w:t>
            </w:r>
          </w:p>
        </w:tc>
        <w:tc>
          <w:tcPr/>
          <w:p>
            <w:pPr>
              <w:pStyle w:val="Compact"/>
              <w:jc w:val="left"/>
            </w:pPr>
            <w:r>
              <w:t xml:space="preserve">Legacy: Livestock, rice and waste CH4 constant (inventory); abatement computed but not applied; waste uses the livestock curve. Prototype: Grow with income and population (legacy elasticities); the methane fee abates each source along its own CH4Inputs curve.</w:t>
            </w:r>
          </w:p>
        </w:tc>
        <w:tc>
          <w:tcPr/>
          <w:p>
            <w:pPr>
              <w:pStyle w:val="Compact"/>
              <w:jc w:val="left"/>
            </w:pPr>
            <w:r>
              <w:t xml:space="preserve">Legacy bugs L18, L21</w:t>
            </w:r>
          </w:p>
        </w:tc>
      </w:tr>
      <w:tr>
        <w:tc>
          <w:tcPr/>
          <w:p>
            <w:pPr>
              <w:pStyle w:val="Compact"/>
              <w:jc w:val="left"/>
            </w:pPr>
            <w:r>
              <w:t xml:space="preserve">LD44</w:t>
            </w:r>
          </w:p>
        </w:tc>
        <w:tc>
          <w:tcPr/>
          <w:p>
            <w:pPr>
              <w:pStyle w:val="Compact"/>
              <w:jc w:val="left"/>
            </w:pPr>
            <w:r>
              <w:t xml:space="preserve">Bug fix</w:t>
            </w:r>
          </w:p>
        </w:tc>
        <w:tc>
          <w:tcPr/>
          <w:p>
            <w:pPr>
              <w:pStyle w:val="Compact"/>
              <w:jc w:val="left"/>
            </w:pPr>
            <w:r>
              <w:t xml:space="preserve">GHGs: flaring (v0.2.8)</w:t>
            </w:r>
          </w:p>
        </w:tc>
        <w:tc>
          <w:tcPr/>
          <w:p>
            <w:pPr>
              <w:pStyle w:val="Compact"/>
              <w:jc w:val="left"/>
            </w:pPr>
            <w:r>
              <w:t xml:space="preserve">Legacy: CO2 from flaring abated oil and gas methane added to CH4 (divided by the CH4 GWP). Prototype: Reported as CO2 in energy (ghg.flr).</w:t>
            </w:r>
          </w:p>
        </w:tc>
        <w:tc>
          <w:tcPr/>
          <w:p>
            <w:pPr>
              <w:pStyle w:val="Compact"/>
              <w:jc w:val="left"/>
            </w:pPr>
            <w:r>
              <w:t xml:space="preserve">Legacy bug L19</w:t>
            </w:r>
          </w:p>
        </w:tc>
      </w:tr>
      <w:tr>
        <w:tc>
          <w:tcPr/>
          <w:p>
            <w:pPr>
              <w:pStyle w:val="Compact"/>
              <w:jc w:val="left"/>
            </w:pPr>
            <w:r>
              <w:t xml:space="preserve">LD45</w:t>
            </w:r>
          </w:p>
        </w:tc>
        <w:tc>
          <w:tcPr/>
          <w:p>
            <w:pPr>
              <w:pStyle w:val="Compact"/>
              <w:jc w:val="left"/>
            </w:pPr>
            <w:r>
              <w:t xml:space="preserve">Bug fix</w:t>
            </w:r>
          </w:p>
        </w:tc>
        <w:tc>
          <w:tcPr/>
          <w:p>
            <w:pPr>
              <w:pStyle w:val="Compact"/>
              <w:jc w:val="left"/>
            </w:pPr>
            <w:r>
              <w:t xml:space="preserve">GHGs: population (v0.2.8)</w:t>
            </w:r>
          </w:p>
        </w:tc>
        <w:tc>
          <w:tcPr/>
          <w:p>
            <w:pPr>
              <w:pStyle w:val="Compact"/>
              <w:jc w:val="left"/>
            </w:pPr>
            <w:r>
              <w:t xml:space="preserve">Legacy: Growth path 2-4% a year from 2027 (rows 481, 2428). Prototype: UN WPP (sheet UNPop).</w:t>
            </w:r>
          </w:p>
        </w:tc>
        <w:tc>
          <w:tcPr/>
          <w:p>
            <w:pPr>
              <w:pStyle w:val="Compact"/>
              <w:jc w:val="left"/>
            </w:pPr>
            <w:r>
              <w:t xml:space="preserve">Legacy bug L20</w:t>
            </w:r>
          </w:p>
        </w:tc>
      </w:tr>
      <w:tr>
        <w:tc>
          <w:tcPr/>
          <w:p>
            <w:pPr>
              <w:pStyle w:val="Compact"/>
              <w:jc w:val="left"/>
            </w:pPr>
            <w:r>
              <w:t xml:space="preserve">LD50</w:t>
            </w:r>
          </w:p>
        </w:tc>
        <w:tc>
          <w:tcPr/>
          <w:p>
            <w:pPr>
              <w:pStyle w:val="Compact"/>
              <w:jc w:val="left"/>
            </w:pPr>
            <w:r>
              <w:t xml:space="preserve">Bug fix</w:t>
            </w:r>
          </w:p>
        </w:tc>
        <w:tc>
          <w:tcPr/>
          <w:p>
            <w:pPr>
              <w:pStyle w:val="Compact"/>
              <w:jc w:val="left"/>
            </w:pPr>
            <w:r>
              <w:t xml:space="preserve">Local pollutants: navigation (v0.2.9)</w:t>
            </w:r>
          </w:p>
        </w:tc>
        <w:tc>
          <w:tcPr/>
          <w:p>
            <w:pPr>
              <w:pStyle w:val="Compact"/>
              <w:jc w:val="left"/>
            </w:pPr>
            <w:r>
              <w:t xml:space="preserve">Legacy: Navigation missing from the pollutant totals. Prototype: Navigation included in the transport and total rows.</w:t>
            </w:r>
          </w:p>
        </w:tc>
        <w:tc>
          <w:tcPr/>
          <w:p>
            <w:pPr>
              <w:pStyle w:val="Compact"/>
              <w:jc w:val="left"/>
            </w:pPr>
            <w:r>
              <w:t xml:space="preserve">Legacy bug L22</w:t>
            </w:r>
          </w:p>
        </w:tc>
      </w:tr>
      <w:tr>
        <w:tc>
          <w:tcPr/>
          <w:p>
            <w:pPr>
              <w:pStyle w:val="Compact"/>
              <w:jc w:val="left"/>
            </w:pPr>
            <w:r>
              <w:t xml:space="preserve">LD52</w:t>
            </w:r>
          </w:p>
        </w:tc>
        <w:tc>
          <w:tcPr/>
          <w:p>
            <w:pPr>
              <w:pStyle w:val="Compact"/>
              <w:jc w:val="left"/>
            </w:pPr>
            <w:r>
              <w:t xml:space="preserve">Bug fix</w:t>
            </w:r>
          </w:p>
        </w:tc>
        <w:tc>
          <w:tcPr/>
          <w:p>
            <w:pPr>
              <w:pStyle w:val="Compact"/>
              <w:jc w:val="left"/>
            </w:pPr>
            <w:r>
              <w:t xml:space="preserve">Local pollutants: total (v0.3.0)</w:t>
            </w:r>
          </w:p>
        </w:tc>
        <w:tc>
          <w:tcPr/>
          <w:p>
            <w:pPr>
              <w:pStyle w:val="Compact"/>
              <w:jc w:val="left"/>
            </w:pPr>
            <w:r>
              <w:t xml:space="preserve">Legacy: Total of a pollutant leaves out services and food &amp; forestry (the sectors include them). Prototype: Total = all subsectors + power = sum of the seven air-pollution sectors.</w:t>
            </w:r>
          </w:p>
        </w:tc>
        <w:tc>
          <w:tcPr/>
          <w:p>
            <w:pPr>
              <w:pStyle w:val="Compact"/>
              <w:jc w:val="left"/>
            </w:pPr>
            <w:r>
              <w:t xml:space="preserve">Legacy bug L23</w:t>
            </w:r>
          </w:p>
        </w:tc>
      </w:tr>
      <w:tr>
        <w:tc>
          <w:tcPr/>
          <w:p>
            <w:pPr>
              <w:pStyle w:val="Compact"/>
              <w:jc w:val="left"/>
            </w:pPr>
            <w:r>
              <w:t xml:space="preserve">LD54</w:t>
            </w:r>
          </w:p>
        </w:tc>
        <w:tc>
          <w:tcPr/>
          <w:p>
            <w:pPr>
              <w:pStyle w:val="Compact"/>
              <w:jc w:val="left"/>
            </w:pPr>
            <w:r>
              <w:t xml:space="preserve">Bug fix</w:t>
            </w:r>
          </w:p>
        </w:tc>
        <w:tc>
          <w:tcPr/>
          <w:p>
            <w:pPr>
              <w:pStyle w:val="Compact"/>
              <w:jc w:val="left"/>
            </w:pPr>
            <w:r>
              <w:t xml:space="preserve">GDP effects: feedback (v0.3.1)</w:t>
            </w:r>
          </w:p>
        </w:tc>
        <w:tc>
          <w:tcPr/>
          <w:p>
            <w:pPr>
              <w:pStyle w:val="Compact"/>
              <w:jc w:val="left"/>
            </w:pPr>
            <w:r>
              <w:t xml:space="preserve">Legacy: GDP effect (a change of the GDP level) added to GDP growth every year (row 2446 = 2444 + 2445). Prototype: GDP level raised by the effect: growth = (1 + baseline growth) x (1 + effect(t-1)) / (1 + effect(t-2)) - 1.</w:t>
            </w:r>
          </w:p>
        </w:tc>
        <w:tc>
          <w:tcPr/>
          <w:p>
            <w:pPr>
              <w:pStyle w:val="Compact"/>
              <w:jc w:val="left"/>
            </w:pPr>
            <w:r>
              <w:t xml:space="preserve">Legacy bug L24 (user decision v0.3.1: fix)</w:t>
            </w:r>
          </w:p>
        </w:tc>
      </w:tr>
      <w:tr>
        <w:tc>
          <w:tcPr/>
          <w:p>
            <w:pPr>
              <w:pStyle w:val="Compact"/>
              <w:jc w:val="left"/>
            </w:pPr>
            <w:r>
              <w:t xml:space="preserve">LD59</w:t>
            </w:r>
          </w:p>
        </w:tc>
        <w:tc>
          <w:tcPr/>
          <w:p>
            <w:pPr>
              <w:pStyle w:val="Compact"/>
              <w:jc w:val="left"/>
            </w:pPr>
            <w:r>
              <w:t xml:space="preserve">Decision</w:t>
            </w:r>
          </w:p>
        </w:tc>
        <w:tc>
          <w:tcPr/>
          <w:p>
            <w:pPr>
              <w:pStyle w:val="Compact"/>
              <w:jc w:val="left"/>
            </w:pPr>
            <w:r>
              <w:t xml:space="preserve">Road transport: engineer model (v0.3.5)</w:t>
            </w:r>
          </w:p>
        </w:tc>
        <w:tc>
          <w:tcPr/>
          <w:p>
            <w:pPr>
              <w:pStyle w:val="Compact"/>
              <w:jc w:val="left"/>
            </w:pPr>
            <w:r>
              <w:t xml:space="preserve">Legacy: Key inputs 15 and section 5 (rows 2017-5378), switch TrModel (MTInputs F340; template default Engineer, Egypt run Elasticity). Prototype: Section 5b of every scenario group, every row live (Methods, chapter Transport); TrModel default Elasticity, Engineer by switch; the 17 legacy bugs of Methods, chapter Transport section 3 fixed (B1-B23).</w:t>
            </w:r>
          </w:p>
        </w:tc>
        <w:tc>
          <w:tcPr/>
          <w:p>
            <w:pPr>
              <w:pStyle w:val="Compact"/>
              <w:jc w:val="left"/>
            </w:pPr>
            <w:r>
              <w:t xml:space="preserve">User rule 2026-10-14: match legacy except where legacy has a bug; results unchanged until the engineer run is reviewed</w:t>
            </w:r>
          </w:p>
        </w:tc>
      </w:tr>
      <w:tr>
        <w:tc>
          <w:tcPr/>
          <w:p>
            <w:pPr>
              <w:pStyle w:val="Compact"/>
              <w:jc w:val="left"/>
            </w:pPr>
            <w:r>
              <w:t xml:space="preserve">LD60</w:t>
            </w:r>
          </w:p>
        </w:tc>
        <w:tc>
          <w:tcPr/>
          <w:p>
            <w:pPr>
              <w:pStyle w:val="Compact"/>
              <w:jc w:val="left"/>
            </w:pPr>
            <w:r>
              <w:t xml:space="preserve">Decision</w:t>
            </w:r>
          </w:p>
        </w:tc>
        <w:tc>
          <w:tcPr/>
          <w:p>
            <w:pPr>
              <w:pStyle w:val="Compact"/>
              <w:jc w:val="left"/>
            </w:pPr>
            <w:r>
              <w:t xml:space="preserve">Road transport: policy inputs (v0.3.5)</w:t>
            </w:r>
          </w:p>
        </w:tc>
        <w:tc>
          <w:tcPr/>
          <w:p>
            <w:pPr>
              <w:pStyle w:val="Compact"/>
              <w:jc w:val="left"/>
            </w:pPr>
            <w:r>
              <w:t xml:space="preserve">Legacy: Dashboard rows 61-98 and 540-559 (outside MTInputs). Prototype: Policies: MTInputs rows after the template (New policies and Treatment of existing policies; scenario-specific, legacy Dashboard defaults, all off); parameters and hardcoded literals (Gompertz constant, gas liters per GJ, PHEV kWh per liter, insurance factor, BEV distance caps, price elasticities): sheets TransportParams, TransportPaths and named constants.</w:t>
            </w:r>
          </w:p>
        </w:tc>
        <w:tc>
          <w:tcPr/>
          <w:p>
            <w:pPr>
              <w:pStyle w:val="Compact"/>
              <w:jc w:val="left"/>
            </w:pPr>
            <w:r>
              <w:t xml:space="preserve">Scenarios carry the transport policies; no literal in a formula (Methods, chapter Transport section 2)</w:t>
            </w:r>
          </w:p>
        </w:tc>
      </w:tr>
      <w:tr>
        <w:tc>
          <w:tcPr/>
          <w:p>
            <w:pPr>
              <w:pStyle w:val="Compact"/>
              <w:jc w:val="left"/>
            </w:pPr>
            <w:r>
              <w:t xml:space="preserve">LD61</w:t>
            </w:r>
          </w:p>
        </w:tc>
        <w:tc>
          <w:tcPr/>
          <w:p>
            <w:pPr>
              <w:pStyle w:val="Compact"/>
              <w:jc w:val="left"/>
            </w:pPr>
            <w:r>
              <w:t xml:space="preserve">Assumption</w:t>
            </w:r>
          </w:p>
        </w:tc>
        <w:tc>
          <w:tcPr/>
          <w:p>
            <w:pPr>
              <w:pStyle w:val="Compact"/>
              <w:jc w:val="left"/>
            </w:pPr>
            <w:r>
              <w:t xml:space="preserve">Road transport: inputs from the rest of the model (v0.3.5)</w:t>
            </w:r>
          </w:p>
        </w:tc>
        <w:tc>
          <w:tcPr/>
          <w:p>
            <w:pPr>
              <w:pStyle w:val="Compact"/>
              <w:jc w:val="left"/>
            </w:pPr>
            <w:r>
              <w:t xml:space="preserve">Legacy: Legacy rows of the price, power and macro blocks. Prototype: Section 5 road after-tax prices x GJ per liter (gas $/GJ / gas liters per GJ); industrial gas: section 2 price + road new policies; power prices of section 3 G (last year); GDP growth of row 7 (last year); population and real GDP after the feedback; carbon price x road feebate coverage; 2-3 wheelers: the gasoline price incl. new policies (legacy row 4438: before new policies); VAT on vehicles: VAT_WEO of the customs year (Egypt 0.14; legacy 0.1531).</w:t>
            </w:r>
          </w:p>
        </w:tc>
        <w:tc>
          <w:tcPr/>
          <w:p>
            <w:pPr>
              <w:pStyle w:val="Compact"/>
              <w:jc w:val="left"/>
            </w:pPr>
            <w:r>
              <w:t xml:space="preserve">One source for each input in the prototype; carbon pricing reaches 2-3 wheelers</w:t>
            </w:r>
          </w:p>
        </w:tc>
      </w:tr>
      <w:tr>
        <w:tc>
          <w:tcPr/>
          <w:p>
            <w:pPr>
              <w:pStyle w:val="Compact"/>
              <w:jc w:val="left"/>
            </w:pPr>
            <w:r>
              <w:t xml:space="preserve">LD64</w:t>
            </w:r>
          </w:p>
        </w:tc>
        <w:tc>
          <w:tcPr/>
          <w:p>
            <w:pPr>
              <w:pStyle w:val="Compact"/>
              <w:jc w:val="left"/>
            </w:pPr>
            <w:r>
              <w:t xml:space="preserve">To check (bucket 5)</w:t>
            </w:r>
          </w:p>
        </w:tc>
        <w:tc>
          <w:tcPr/>
          <w:p>
            <w:pPr>
              <w:pStyle w:val="Compact"/>
              <w:jc w:val="left"/>
            </w:pPr>
            <w:r>
              <w:t xml:space="preserve">Road transport: kept as legacy (v0.3.5)</w:t>
            </w:r>
          </w:p>
        </w:tc>
        <w:tc>
          <w:tcPr/>
          <w:p>
            <w:pPr>
              <w:pStyle w:val="Compact"/>
              <w:jc w:val="left"/>
            </w:pPr>
            <w:r>
              <w:t xml:space="preserve">Legacy: Freight distance (survey B14), data years of customs, VAT and import shares, the externality sheet Transport. Prototype: Kept (freight distance, data years: parameters) or not built (externalities).</w:t>
            </w:r>
          </w:p>
        </w:tc>
        <w:tc>
          <w:tcPr/>
          <w:p>
            <w:pPr>
              <w:pStyle w:val="Compact"/>
              <w:jc w:val="left"/>
            </w:pPr>
            <w:r>
              <w:t xml:space="preserve">Data decisions; scope (Methods, chapter Transport section 6)</w:t>
            </w:r>
          </w:p>
        </w:tc>
      </w:tr>
      <w:tr>
        <w:tc>
          <w:tcPr/>
          <w:p>
            <w:pPr>
              <w:pStyle w:val="Compact"/>
              <w:jc w:val="left"/>
            </w:pPr>
            <w:r>
              <w:t xml:space="preserve">LD69</w:t>
            </w:r>
          </w:p>
        </w:tc>
        <w:tc>
          <w:tcPr/>
          <w:p>
            <w:pPr>
              <w:pStyle w:val="Compact"/>
              <w:jc w:val="left"/>
            </w:pPr>
            <w:r>
              <w:t xml:space="preserve">Decision</w:t>
            </w:r>
          </w:p>
        </w:tc>
        <w:tc>
          <w:tcPr/>
          <w:p>
            <w:pPr>
              <w:pStyle w:val="Compact"/>
              <w:jc w:val="left"/>
            </w:pPr>
            <w:r>
              <w:t xml:space="preserve">ETS goal-seek settings (v0.5.2)</w:t>
            </w:r>
          </w:p>
        </w:tc>
        <w:tc>
          <w:tcPr/>
          <w:p>
            <w:pPr>
              <w:pStyle w:val="Compact"/>
              <w:jc w:val="left"/>
            </w:pPr>
            <w:r>
              <w:t xml:space="preserve">Legacy: Manual inputs E10:E12 (names ETSMaxIterations 30, ETSStartFreshContinue</w:t>
            </w:r>
            <w:r>
              <w:t xml:space="preserve"> </w:t>
            </w:r>
            <w:r>
              <w:t xml:space="preserve">‘</w:t>
            </w:r>
            <w:r>
              <w:t xml:space="preserve">Continue</w:t>
            </w:r>
            <w:r>
              <w:t xml:space="preserve">’</w:t>
            </w:r>
            <w:r>
              <w:t xml:space="preserve">, ETSErrorTolerance 0.001), read by the VBA goal seek (SolveFast). Prototype: The same cells and names, read by the macro SolveETS and ets_goalseek.py (before v0.5.2: constants in the code); values 20, Continue, 0.005, the prototype error being the worst yearly /covered / cap - 1/; StartFresh starts from the fast estimate ets.est, Continue from the override row if it holds prices.</w:t>
            </w:r>
          </w:p>
        </w:tc>
        <w:tc>
          <w:tcPr/>
          <w:p>
            <w:pPr>
              <w:pStyle w:val="Compact"/>
              <w:jc w:val="left"/>
            </w:pPr>
            <w:r>
              <w:t xml:space="preserve">User decision 2026-10-19: keep the values the prototype goal seek has always used, so that stored results do not change; the legacy defaults are noted on the sheet</w:t>
            </w:r>
          </w:p>
        </w:tc>
      </w:tr>
      <w:tr>
        <w:tc>
          <w:tcPr/>
          <w:p>
            <w:pPr>
              <w:pStyle w:val="Compact"/>
              <w:jc w:val="left"/>
            </w:pPr>
            <w:r>
              <w:t xml:space="preserve">LD72</w:t>
            </w:r>
          </w:p>
        </w:tc>
        <w:tc>
          <w:tcPr/>
          <w:p>
            <w:pPr>
              <w:pStyle w:val="Compact"/>
              <w:jc w:val="left"/>
            </w:pPr>
            <w:r>
              <w:t xml:space="preserve">Bug fix</w:t>
            </w:r>
          </w:p>
        </w:tc>
        <w:tc>
          <w:tcPr/>
          <w:p>
            <w:pPr>
              <w:pStyle w:val="Compact"/>
              <w:jc w:val="left"/>
            </w:pPr>
            <w:r>
              <w:t xml:space="preserve">Non-energy GHG elasticities (v0.5.2)</w:t>
            </w:r>
          </w:p>
        </w:tc>
        <w:tc>
          <w:tcPr/>
          <w:p>
            <w:pPr>
              <w:pStyle w:val="Compact"/>
              <w:jc w:val="left"/>
            </w:pPr>
            <w:r>
              <w:t xml:space="preserve">Legacy: Manual inputs K326:M327 never used: K326 is a broken formula (#REF!) and Mitigation K366:M367 test the switch ElastIncAdjustment for</w:t>
            </w:r>
            <w:r>
              <w:t xml:space="preserve"> </w:t>
            </w:r>
            <w:r>
              <w:t xml:space="preserve">“</w:t>
            </w:r>
            <w:r>
              <w:t xml:space="preserve">Manual</w:t>
            </w:r>
            <w:r>
              <w:t xml:space="preserve">”</w:t>
            </w:r>
            <w:r>
              <w:t xml:space="preserve">, which it never holds, so the fixed values 0.9, 1, 1, 0.15 apply. Prototype: Read from Manual inputs K326:M327 (legacy default values typed; text</w:t>
            </w:r>
            <w:r>
              <w:t xml:space="preserve"> </w:t>
            </w:r>
            <w:r>
              <w:t xml:space="preserve">“</w:t>
            </w:r>
            <w:r>
              <w:t xml:space="preserve">na</w:t>
            </w:r>
            <w:r>
              <w:t xml:space="preserve">”</w:t>
            </w:r>
            <w:r>
              <w:t xml:space="preserve"> </w:t>
            </w:r>
            <w:r>
              <w:t xml:space="preserve">= 0) by the rows ghg.dr and ch4.act of section 14; before v0.5.2 sheet Constants (ghg.el).</w:t>
            </w:r>
          </w:p>
        </w:tc>
        <w:tc>
          <w:tcPr/>
          <w:p>
            <w:pPr>
              <w:pStyle w:val="Compact"/>
              <w:jc w:val="left"/>
            </w:pPr>
            <w:r>
              <w:t xml:space="preserve">Legacy bug (the manual cells cannot take effect; L102): fixed, the cells are the input</w:t>
            </w:r>
          </w:p>
        </w:tc>
      </w:tr>
      <w:tr>
        <w:tc>
          <w:tcPr/>
          <w:p>
            <w:pPr>
              <w:pStyle w:val="Compact"/>
              <w:jc w:val="left"/>
            </w:pPr>
            <w:r>
              <w:t xml:space="preserve">LD74</w:t>
            </w:r>
          </w:p>
        </w:tc>
        <w:tc>
          <w:tcPr/>
          <w:p>
            <w:pPr>
              <w:pStyle w:val="Compact"/>
              <w:jc w:val="left"/>
            </w:pPr>
            <w:r>
              <w:t xml:space="preserve">Decision</w:t>
            </w:r>
          </w:p>
        </w:tc>
        <w:tc>
          <w:tcPr/>
          <w:p>
            <w:pPr>
              <w:pStyle w:val="Compact"/>
              <w:jc w:val="left"/>
            </w:pPr>
            <w:r>
              <w:t xml:space="preserve">Power: inputs by scenario (v0.5.4, P2)</w:t>
            </w:r>
          </w:p>
        </w:tc>
        <w:tc>
          <w:tcPr/>
          <w:p>
            <w:pPr>
              <w:pStyle w:val="Compact"/>
              <w:jc w:val="left"/>
            </w:pPr>
            <w:r>
              <w:t xml:space="preserve">Legacy: Each MTInputs column runs with its own baseline and policy run, so every power input can differ by scenario. Prototype: Every MTInputs power input (rows 242, 262, 340-413, 482) read in the scenario’s own column (section-1 rows; section 3 sub-table A0 applies them to the power data); scenario 1 is the baseline of every scenario, so a technical input changed in a policy scenario changes that scenario only.</w:t>
            </w:r>
          </w:p>
        </w:tc>
        <w:tc>
          <w:tcPr/>
          <w:p>
            <w:pPr>
              <w:pStyle w:val="Compact"/>
              <w:jc w:val="left"/>
            </w:pPr>
            <w:r>
              <w:t xml:space="preserve">User decisions 2 and 8 of the power plan (2026-10-18)</w:t>
            </w:r>
          </w:p>
        </w:tc>
      </w:tr>
      <w:tr>
        <w:tc>
          <w:tcPr/>
          <w:p>
            <w:pPr>
              <w:pStyle w:val="Compact"/>
              <w:jc w:val="left"/>
            </w:pPr>
            <w:r>
              <w:t xml:space="preserve">LD76</w:t>
            </w:r>
          </w:p>
        </w:tc>
        <w:tc>
          <w:tcPr/>
          <w:p>
            <w:pPr>
              <w:pStyle w:val="Compact"/>
              <w:jc w:val="left"/>
            </w:pPr>
            <w:r>
              <w:t xml:space="preserve">Bug fix</w:t>
            </w:r>
          </w:p>
        </w:tc>
        <w:tc>
          <w:tcPr/>
          <w:p>
            <w:pPr>
              <w:pStyle w:val="Compact"/>
              <w:jc w:val="left"/>
            </w:pPr>
            <w:r>
              <w:t xml:space="preserve">Power: renewable subsidies (v0.5.4)</w:t>
            </w:r>
          </w:p>
        </w:tc>
        <w:tc>
          <w:tcPr/>
          <w:p>
            <w:pPr>
              <w:pStyle w:val="Compact"/>
              <w:jc w:val="left"/>
            </w:pPr>
            <w:r>
              <w:t xml:space="preserve">Legacy: Base subsidy (MTInputs 352) + additional subsidy of the policy run (353) phased out over 354 years from the consumer-subsidy phase-out year (MTInputs 132, bug L107); hydro if 355 = Yes; in the levelised cost (C5) and revenue (3665-3669);</w:t>
            </w:r>
            <w:r>
              <w:t xml:space="preserve"> </w:t>
            </w:r>
            <w:r>
              <w:t xml:space="preserve">“</w:t>
            </w:r>
            <w:r>
              <w:t xml:space="preserve">Cost of renewable subsidies</w:t>
            </w:r>
            <w:r>
              <w:t xml:space="preserve">”</w:t>
            </w:r>
            <w:r>
              <w:t xml:space="preserve"> </w:t>
            </w:r>
            <w:r>
              <w:t xml:space="preserve">counts the base subsidy twice and omits biomass (rows 7897-7903, bug L108); inputs in nominal $/kWh used as real (issue I55). Prototype: Rows rnsp, rns, lfx, prrns: own start year RenSubsidyAddStartYear (MTInputs row 482, default 2027 = the default of row 132); revenue = subsidy x generation by type, in the power subsidies and 12e row ren; nominal inputs used as real, as legacy.</w:t>
            </w:r>
          </w:p>
        </w:tc>
        <w:tc>
          <w:tcPr/>
          <w:p>
            <w:pPr>
              <w:pStyle w:val="Compact"/>
              <w:jc w:val="left"/>
            </w:pPr>
            <w:r>
              <w:t xml:space="preserve">Legacy feature; bugs L107, L108 fixed</w:t>
            </w:r>
          </w:p>
        </w:tc>
      </w:tr>
      <w:tr>
        <w:tc>
          <w:tcPr/>
          <w:p>
            <w:pPr>
              <w:pStyle w:val="Compact"/>
              <w:jc w:val="left"/>
            </w:pPr>
            <w:r>
              <w:t xml:space="preserve">LD77</w:t>
            </w:r>
          </w:p>
        </w:tc>
        <w:tc>
          <w:tcPr/>
          <w:p>
            <w:pPr>
              <w:pStyle w:val="Compact"/>
              <w:jc w:val="left"/>
            </w:pPr>
            <w:r>
              <w:t xml:space="preserve">Bug fix</w:t>
            </w:r>
          </w:p>
        </w:tc>
        <w:tc>
          <w:tcPr/>
          <w:p>
            <w:pPr>
              <w:pStyle w:val="Compact"/>
              <w:jc w:val="left"/>
            </w:pPr>
            <w:r>
              <w:t xml:space="preserve">Power: revenue rebate and electricity excise (v0.5.4)</w:t>
            </w:r>
          </w:p>
        </w:tc>
        <w:tc>
          <w:tcPr/>
          <w:p>
            <w:pPr>
              <w:pStyle w:val="Compact"/>
              <w:jc w:val="left"/>
            </w:pPr>
            <w:r>
              <w:t xml:space="preserve">Legacy: Rebate: carbon cost removed from end-user prices (PowerRebates or a feebate scenario, policy run; rows 3595, 3615, 3644), memo 3663 incl. VAT never counted as revenue (bug L110). Excise: grid intensity of the base year x carbon price in the scenario Electricity excise (row 2253; issue I56) and the manual excise of Manual inputs 161-162 (AdditionalExcise; rows 3602, 3631), whose revenue memo counts the whole excise (row 3660, bug L111). Prototype: Rows rbs, exs, entxd, entx, pex, rp, rnvat, rreb, rpex, rexs, rexm: rebate = carbon cost x pass-through (its VAT falls out of rnvat); excise revenue = the excise in the price x consumption; switches accept Yes or Yes* (issue I58).</w:t>
            </w:r>
          </w:p>
        </w:tc>
        <w:tc>
          <w:tcPr/>
          <w:p>
            <w:pPr>
              <w:pStyle w:val="Compact"/>
              <w:jc w:val="left"/>
            </w:pPr>
            <w:r>
              <w:t xml:space="preserve">Legacy features; bugs L110, L111 fixed</w:t>
            </w:r>
          </w:p>
        </w:tc>
      </w:tr>
      <w:tr>
        <w:tc>
          <w:tcPr/>
          <w:p>
            <w:pPr>
              <w:pStyle w:val="Compact"/>
              <w:jc w:val="left"/>
            </w:pPr>
            <w:r>
              <w:t xml:space="preserve">LD79</w:t>
            </w:r>
          </w:p>
        </w:tc>
        <w:tc>
          <w:tcPr/>
          <w:p>
            <w:pPr>
              <w:pStyle w:val="Compact"/>
              <w:jc w:val="left"/>
            </w:pPr>
            <w:r>
              <w:t xml:space="preserve">Bug fix</w:t>
            </w:r>
          </w:p>
        </w:tc>
        <w:tc>
          <w:tcPr/>
          <w:p>
            <w:pPr>
              <w:pStyle w:val="Compact"/>
              <w:jc w:val="left"/>
            </w:pPr>
            <w:r>
              <w:t xml:space="preserve">Power: capex decline options Low and Vhigh (v0.5.4)</w:t>
            </w:r>
          </w:p>
        </w:tc>
        <w:tc>
          <w:tcPr/>
          <w:p>
            <w:pPr>
              <w:pStyle w:val="Compact"/>
              <w:jc w:val="left"/>
            </w:pPr>
            <w:r>
              <w:t xml:space="preserve">Legacy: The Power tab has no Low and Vhigh capex time factors for wind and solar (only the older series oldlow, oldvhg) and no Vhigh for other renewables: the lookup fails (rows 3038-3046; bug L109). Prototype: The missing series falls back to the older series of the same option (wind, solar) or Medium (Inputs_ppath rows tcf/</w:t>
            </w:r>
            <w:r>
              <w:t xml:space="preserve">/</w:t>
            </w:r>
            <w:r>
              <w:t xml:space="preserve">).</w:t>
            </w:r>
          </w:p>
        </w:tc>
        <w:tc>
          <w:tcPr/>
          <w:p>
            <w:pPr>
              <w:pStyle w:val="Compact"/>
              <w:jc w:val="left"/>
            </w:pPr>
            <w:r>
              <w:t xml:space="preserve">Legacy bug L109 fixed</w:t>
            </w:r>
          </w:p>
        </w:tc>
      </w:tr>
      <w:tr>
        <w:tc>
          <w:tcPr/>
          <w:p>
            <w:pPr>
              <w:pStyle w:val="Compact"/>
              <w:jc w:val="left"/>
            </w:pPr>
            <w:r>
              <w:t xml:space="preserve">LD81</w:t>
            </w:r>
          </w:p>
        </w:tc>
        <w:tc>
          <w:tcPr/>
          <w:p>
            <w:pPr>
              <w:pStyle w:val="Compact"/>
              <w:jc w:val="left"/>
            </w:pPr>
            <w:r>
              <w:t xml:space="preserve">Bug fix</w:t>
            </w:r>
          </w:p>
        </w:tc>
        <w:tc>
          <w:tcPr/>
          <w:p>
            <w:pPr>
              <w:pStyle w:val="Compact"/>
              <w:jc w:val="left"/>
            </w:pPr>
            <w:r>
              <w:t xml:space="preserve">Welfare: co-benefits</w:t>
            </w:r>
          </w:p>
        </w:tc>
        <w:tc>
          <w:tcPr/>
          <w:p>
            <w:pPr>
              <w:pStyle w:val="Compact"/>
              <w:jc w:val="left"/>
            </w:pPr>
            <w:r>
              <w:t xml:space="preserve">Legacy: wel.air and the road co-benefits from the Air pollution and Transport sheets’ own runs (wel.air from AP 3217); unit-cost bugs L189, L190, L191, L192, L193. Prototype: wel.usd = climate + air pollution (value per ug/m3 x change in the modelled PM2.5 of the prototype’s emissions, section 17b) + road co-benefits (accidents, congestion, road damage per litre) - efficiency costs (v0.9.0, R1-R2); typed Egypt inputs on the module tabs FromAirPollution and FromTransportCB (other countries 0).</w:t>
            </w:r>
          </w:p>
        </w:tc>
        <w:tc>
          <w:tcPr/>
          <w:p>
            <w:pPr>
              <w:pStyle w:val="Compact"/>
              <w:jc w:val="left"/>
            </w:pPr>
            <w:r>
              <w:t xml:space="preserve">R2, user decision 2026-10-29; never replicate a bug; unit costs as marginal damages (L224); issues I105, I106, I111, I112</w:t>
            </w:r>
          </w:p>
        </w:tc>
      </w:tr>
      <w:tr>
        <w:tc>
          <w:tcPr/>
          <w:p>
            <w:pPr>
              <w:pStyle w:val="Compact"/>
              <w:jc w:val="left"/>
            </w:pPr>
            <w:r>
              <w:t xml:space="preserve">LD82</w:t>
            </w:r>
          </w:p>
        </w:tc>
        <w:tc>
          <w:tcPr/>
          <w:p>
            <w:pPr>
              <w:pStyle w:val="Compact"/>
              <w:jc w:val="left"/>
            </w:pPr>
            <w:r>
              <w:t xml:space="preserve">Bug fix</w:t>
            </w:r>
          </w:p>
        </w:tc>
        <w:tc>
          <w:tcPr/>
          <w:p>
            <w:pPr>
              <w:pStyle w:val="Compact"/>
              <w:jc w:val="left"/>
            </w:pPr>
            <w:r>
              <w:t xml:space="preserve">Social costs, FFS and subsidies</w:t>
            </w:r>
          </w:p>
        </w:tc>
        <w:tc>
          <w:tcPr/>
          <w:p>
            <w:pPr>
              <w:pStyle w:val="Compact"/>
              <w:jc w:val="left"/>
            </w:pPr>
            <w:r>
              <w:t xml:space="preserve">Legacy: Rows 17678-17951 with bugs L176, L177, L178, L179, L180, L181, L182, L183, L184, L185, L186, L187, L188. Prototype: Section 18 (v0.9.0, R2): climate costs per GJ, own-sector quantities, consumption-weighted other lines, GDP of the year; explicit and implicit subsidies (16 lines x 8 variables) in every scenario group (I110).</w:t>
            </w:r>
          </w:p>
        </w:tc>
        <w:tc>
          <w:tcPr/>
          <w:p>
            <w:pPr>
              <w:pStyle w:val="Compact"/>
              <w:jc w:val="left"/>
            </w:pPr>
            <w:r>
              <w:t xml:space="preserve">Never replicate a bug; issues I107, I108, I109 replicated</w:t>
            </w:r>
          </w:p>
        </w:tc>
      </w:tr>
      <w:tr>
        <w:tc>
          <w:tcPr/>
          <w:p>
            <w:pPr>
              <w:pStyle w:val="Compact"/>
              <w:jc w:val="left"/>
            </w:pPr>
            <w:r>
              <w:t xml:space="preserve">LD89</w:t>
            </w:r>
          </w:p>
        </w:tc>
        <w:tc>
          <w:tcPr/>
          <w:p>
            <w:pPr>
              <w:pStyle w:val="Compact"/>
              <w:jc w:val="left"/>
            </w:pPr>
            <w:r>
              <w:t xml:space="preserve">Bug fix</w:t>
            </w:r>
          </w:p>
        </w:tc>
        <w:tc>
          <w:tcPr/>
          <w:p>
            <w:pPr>
              <w:pStyle w:val="Compact"/>
              <w:jc w:val="left"/>
            </w:pPr>
            <w:r>
              <w:t xml:space="preserve">External balance (current account)</w:t>
            </w:r>
          </w:p>
        </w:tc>
        <w:tc>
          <w:tcPr/>
          <w:p>
            <w:pPr>
              <w:pStyle w:val="Compact"/>
              <w:jc w:val="left"/>
            </w:pPr>
            <w:r>
              <w:t xml:space="preserve">Legacy: Rows 18180-18198: #NAME?/#N/A (stale WEO codes, L50); 18195 leaves coal out (L214); gas bill x $/MMBtu (L215). Prototype: Section 16b rows bca.* (v0.9.0, R11): typed WEO values for Egypt (held at 2031), change = - xnim by fuel group, % of GDP over the implied GDP, coal included; other countries 0 (I148).</w:t>
            </w:r>
          </w:p>
        </w:tc>
        <w:tc>
          <w:tcPr/>
          <w:p>
            <w:pPr>
              <w:pStyle w:val="Compact"/>
              <w:jc w:val="left"/>
            </w:pPr>
            <w:r>
              <w:t xml:space="preserve">Never replicate a bug; issues I129, I130 replicated</w:t>
            </w:r>
          </w:p>
        </w:tc>
      </w:tr>
      <w:tr>
        <w:tc>
          <w:tcPr/>
          <w:p>
            <w:pPr>
              <w:pStyle w:val="Compact"/>
              <w:jc w:val="left"/>
            </w:pPr>
            <w:r>
              <w:t xml:space="preserve">LD90</w:t>
            </w:r>
          </w:p>
        </w:tc>
        <w:tc>
          <w:tcPr/>
          <w:p>
            <w:pPr>
              <w:pStyle w:val="Compact"/>
              <w:jc w:val="left"/>
            </w:pPr>
            <w:r>
              <w:t xml:space="preserve">Not yet</w:t>
            </w:r>
          </w:p>
        </w:tc>
        <w:tc>
          <w:tcPr/>
          <w:p>
            <w:pPr>
              <w:pStyle w:val="Compact"/>
              <w:jc w:val="left"/>
            </w:pPr>
            <w:r>
              <w:t xml:space="preserve">CBAM process emissions, green public investment, emissions intensity of industrial output</w:t>
            </w:r>
          </w:p>
        </w:tc>
        <w:tc>
          <w:tcPr/>
          <w:p>
            <w:pPr>
              <w:pStyle w:val="Compact"/>
              <w:jc w:val="left"/>
            </w:pPr>
            <w:r>
              <w:t xml:space="preserve">Legacy: Rows 5867-6022 (CBAM), 6215-6267 (green investment), 18631-18771 (GVA and intensity): work in progress in legacy, no output read by the model. Prototype: Not built (R4, R5, R12 deferred by the user 2026-10-29; designs on branch wip-r4-r5-r12).</w:t>
            </w:r>
          </w:p>
        </w:tc>
        <w:tc>
          <w:tcPr/>
          <w:p>
            <w:pPr>
              <w:pStyle w:val="Compact"/>
              <w:jc w:val="left"/>
            </w:pPr>
            <w:r>
              <w:t xml:space="preserve">User decision 2026-10-29: the legacy WIP is not linked up</w:t>
            </w:r>
          </w:p>
        </w:tc>
      </w:tr>
      <w:tr>
        <w:tc>
          <w:tcPr/>
          <w:p>
            <w:pPr>
              <w:pStyle w:val="Compact"/>
              <w:jc w:val="left"/>
            </w:pPr>
            <w:r>
              <w:t xml:space="preserve">LD91</w:t>
            </w:r>
          </w:p>
        </w:tc>
        <w:tc>
          <w:tcPr/>
          <w:p>
            <w:pPr>
              <w:pStyle w:val="Compact"/>
              <w:jc w:val="left"/>
            </w:pPr>
            <w:r>
              <w:t xml:space="preserve">Bug fix</w:t>
            </w:r>
          </w:p>
        </w:tc>
        <w:tc>
          <w:tcPr/>
          <w:p>
            <w:pPr>
              <w:pStyle w:val="Compact"/>
              <w:jc w:val="left"/>
            </w:pPr>
            <w:r>
              <w:t xml:space="preserve">Air-pollution unit costs</w:t>
            </w:r>
          </w:p>
        </w:tc>
        <w:tc>
          <w:tcPr/>
          <w:p>
            <w:pPr>
              <w:pStyle w:val="Compact"/>
              <w:jc w:val="left"/>
            </w:pPr>
            <w:r>
              <w:t xml:space="preserve">Legacy: Average damages per fuel (attributed deaths per ktoe x VSL; AP 3731-4378), used in the Pigouvian taxes, efficient prices, implicit subsidies and FFS. Prototype: Marginal damages (v0.9.0): value of averted PM2.5 x concentration coefficients x emission factors, lines weighted by fuel use; legacy values kept as a memo on FromAirPollution.</w:t>
            </w:r>
          </w:p>
        </w:tc>
        <w:tc>
          <w:tcPr/>
          <w:p>
            <w:pPr>
              <w:pStyle w:val="Compact"/>
              <w:jc w:val="left"/>
            </w:pPr>
            <w:r>
              <w:t xml:space="preserve">Legacy bug L224 (user 2026-10-29; was issue I104)</w:t>
            </w:r>
          </w:p>
        </w:tc>
      </w:tr>
    </w:tbl>
    <w:bookmarkEnd w:id="38"/>
    <w:bookmarkStart w:id="39" w:name="appendix-e.-upgrades-u"/>
    <w:p>
      <w:pPr>
        <w:pStyle w:val="Heading1"/>
      </w:pPr>
      <w:r>
        <w:t xml:space="preserve">Appendix E. Upgrades (U)</w:t>
      </w:r>
    </w:p>
    <w:tbl>
      <w:tblPr>
        <w:tblStyle w:val="Table"/>
        <w:tblW w:type="pct" w:w="5000"/>
        <w:tblLook w:firstRow="1" w:lastRow="0" w:firstColumn="0" w:lastColumn="0" w:noHBand="0" w:noVBand="0" w:val="0020"/>
        <w:jc w:val="start"/>
      </w:tblPr>
      <w:tblGrid>
        <w:gridCol w:w="528"/>
        <w:gridCol w:w="528"/>
        <w:gridCol w:w="1584"/>
        <w:gridCol w:w="5280"/>
      </w:tblGrid>
      <w:tr>
        <w:trPr>
          <w:tblHeader w:val="true"/>
        </w:trPr>
        <w:tc>
          <w:tcPr/>
          <w:p>
            <w:pPr>
              <w:pStyle w:val="Compact"/>
              <w:jc w:val="left"/>
            </w:pPr>
            <w:r>
              <w:t xml:space="preserve">Code</w:t>
            </w:r>
          </w:p>
        </w:tc>
        <w:tc>
          <w:tcPr/>
          <w:p>
            <w:pPr>
              <w:pStyle w:val="Compact"/>
              <w:jc w:val="left"/>
            </w:pPr>
            <w:r>
              <w:t xml:space="preserve">Priority</w:t>
            </w:r>
          </w:p>
        </w:tc>
        <w:tc>
          <w:tcPr/>
          <w:p>
            <w:pPr>
              <w:pStyle w:val="Compact"/>
              <w:jc w:val="left"/>
            </w:pPr>
            <w:r>
              <w:t xml:space="preserve">Upgrade</w:t>
            </w:r>
          </w:p>
        </w:tc>
        <w:tc>
          <w:tcPr/>
          <w:p>
            <w:pPr>
              <w:pStyle w:val="Compact"/>
              <w:jc w:val="left"/>
            </w:pPr>
            <w:r>
              <w:t xml:space="preserve">What and why</w:t>
            </w:r>
          </w:p>
        </w:tc>
      </w:tr>
      <w:tr>
        <w:tc>
          <w:tcPr/>
          <w:p>
            <w:pPr>
              <w:pStyle w:val="Compact"/>
              <w:jc w:val="left"/>
            </w:pPr>
            <w:r>
              <w:t xml:space="preserve">U1</w:t>
            </w:r>
          </w:p>
        </w:tc>
        <w:tc>
          <w:tcPr/>
          <w:p>
            <w:pPr>
              <w:pStyle w:val="Compact"/>
              <w:jc w:val="left"/>
            </w:pPr>
            <w:r>
              <w:t xml:space="preserve">High</w:t>
            </w:r>
          </w:p>
        </w:tc>
        <w:tc>
          <w:tcPr/>
          <w:p>
            <w:pPr>
              <w:pStyle w:val="Compact"/>
              <w:jc w:val="left"/>
            </w:pPr>
            <w:r>
              <w:t xml:space="preserve">Review in Excel 365</w:t>
            </w:r>
          </w:p>
        </w:tc>
        <w:tc>
          <w:tcPr/>
          <w:p>
            <w:pPr>
              <w:pStyle w:val="Compact"/>
              <w:jc w:val="left"/>
            </w:pPr>
            <w:r>
              <w:t xml:space="preserve">The user runs the checklist (ExcelReview_Checklist.md) on Windows: CheckBatchRun, the batch run, ScenarioCompare, no repair prompt and no circular-reference warning (I1).</w:t>
            </w:r>
          </w:p>
        </w:tc>
      </w:tr>
      <w:tr>
        <w:tc>
          <w:tcPr/>
          <w:p>
            <w:pPr>
              <w:pStyle w:val="Compact"/>
              <w:jc w:val="left"/>
            </w:pPr>
            <w:r>
              <w:t xml:space="preserve">U2</w:t>
            </w:r>
          </w:p>
        </w:tc>
        <w:tc>
          <w:tcPr/>
          <w:p>
            <w:pPr>
              <w:pStyle w:val="Compact"/>
              <w:jc w:val="left"/>
            </w:pPr>
            <w:r>
              <w:t xml:space="preserve">High</w:t>
            </w:r>
          </w:p>
        </w:tc>
        <w:tc>
          <w:tcPr/>
          <w:p>
            <w:pPr>
              <w:pStyle w:val="Compact"/>
              <w:jc w:val="left"/>
            </w:pPr>
            <w:r>
              <w:t xml:space="preserve">Numerical check against legacy CPAT for Egypt</w:t>
            </w:r>
          </w:p>
        </w:tc>
        <w:tc>
          <w:tcPr/>
          <w:p>
            <w:pPr>
              <w:pStyle w:val="Compact"/>
              <w:jc w:val="left"/>
            </w:pPr>
            <w:r>
              <w:t xml:space="preserve">Explain the distance to the legacy run (I14) sector by sector, on the latest legacy file (465; was 459).</w:t>
            </w:r>
          </w:p>
        </w:tc>
      </w:tr>
      <w:tr>
        <w:tc>
          <w:tcPr/>
          <w:p>
            <w:pPr>
              <w:pStyle w:val="Compact"/>
              <w:jc w:val="left"/>
            </w:pPr>
            <w:r>
              <w:t xml:space="preserve">U4</w:t>
            </w:r>
          </w:p>
        </w:tc>
        <w:tc>
          <w:tcPr/>
          <w:p>
            <w:pPr>
              <w:pStyle w:val="Compact"/>
              <w:jc w:val="left"/>
            </w:pPr>
            <w:r>
              <w:t xml:space="preserve">High</w:t>
            </w:r>
          </w:p>
        </w:tc>
        <w:tc>
          <w:tcPr/>
          <w:p>
            <w:pPr>
              <w:pStyle w:val="Compact"/>
              <w:jc w:val="left"/>
            </w:pPr>
            <w:r>
              <w:t xml:space="preserve">Report the legacy bugs to the CPAT team</w:t>
            </w:r>
          </w:p>
        </w:tc>
        <w:tc>
          <w:tcPr/>
          <w:p>
            <w:pPr>
              <w:pStyle w:val="Compact"/>
              <w:jc w:val="left"/>
            </w:pPr>
            <w:r>
              <w:t xml:space="preserve">Send the register (L1-L128, D1-D31) and the cell-level fix plans; legacy issues for the team, high priority for them: I62 (partial adjustment), I71 (population takes the income elasticity), I72-I74 (circularity).</w:t>
            </w:r>
          </w:p>
        </w:tc>
      </w:tr>
      <w:tr>
        <w:tc>
          <w:tcPr/>
          <w:p>
            <w:pPr>
              <w:pStyle w:val="Compact"/>
              <w:jc w:val="left"/>
            </w:pPr>
            <w:r>
              <w:t xml:space="preserve">U5</w:t>
            </w:r>
          </w:p>
        </w:tc>
        <w:tc>
          <w:tcPr/>
          <w:p>
            <w:pPr>
              <w:pStyle w:val="Compact"/>
              <w:jc w:val="left"/>
            </w:pPr>
            <w:r>
              <w:t xml:space="preserve">Medium</w:t>
            </w:r>
          </w:p>
        </w:tc>
        <w:tc>
          <w:tcPr/>
          <w:p>
            <w:pPr>
              <w:pStyle w:val="Compact"/>
              <w:jc w:val="left"/>
            </w:pPr>
            <w:r>
              <w:t xml:space="preserve">Copy-paste stress test</w:t>
            </w:r>
          </w:p>
        </w:tc>
        <w:tc>
          <w:tcPr/>
          <w:p>
            <w:pPr>
              <w:pStyle w:val="Compact"/>
              <w:jc w:val="left"/>
            </w:pPr>
            <w:r>
              <w:t xml:space="preserve">Add a fuel, a subsector and a scenario by dragging; fix what breaks.</w:t>
            </w:r>
          </w:p>
        </w:tc>
      </w:tr>
      <w:tr>
        <w:tc>
          <w:tcPr/>
          <w:p>
            <w:pPr>
              <w:pStyle w:val="Compact"/>
              <w:jc w:val="left"/>
            </w:pPr>
            <w:r>
              <w:t xml:space="preserve">U6</w:t>
            </w:r>
          </w:p>
        </w:tc>
        <w:tc>
          <w:tcPr/>
          <w:p>
            <w:pPr>
              <w:pStyle w:val="Compact"/>
              <w:jc w:val="left"/>
            </w:pPr>
            <w:r>
              <w:t xml:space="preserve">Medium</w:t>
            </w:r>
          </w:p>
        </w:tc>
        <w:tc>
          <w:tcPr/>
          <w:p>
            <w:pPr>
              <w:pStyle w:val="Compact"/>
              <w:jc w:val="left"/>
            </w:pPr>
            <w:r>
              <w:t xml:space="preserve">Other gases, local pollutants and process emissions</w:t>
            </w:r>
          </w:p>
        </w:tc>
        <w:tc>
          <w:tcPr/>
          <w:p>
            <w:pPr>
              <w:pStyle w:val="Compact"/>
              <w:jc w:val="left"/>
            </w:pPr>
            <w:r>
              <w:t xml:space="preserve">CH4 and N2O done (v0.2.8), local pollutants (v0.2.9); inventory-adjusted EFs and process CO2 remain.</w:t>
            </w:r>
          </w:p>
        </w:tc>
      </w:tr>
      <w:tr>
        <w:tc>
          <w:tcPr/>
          <w:p>
            <w:pPr>
              <w:pStyle w:val="Compact"/>
              <w:jc w:val="left"/>
            </w:pPr>
            <w:r>
              <w:t xml:space="preserve">U7</w:t>
            </w:r>
          </w:p>
        </w:tc>
        <w:tc>
          <w:tcPr/>
          <w:p>
            <w:pPr>
              <w:pStyle w:val="Compact"/>
              <w:jc w:val="left"/>
            </w:pPr>
            <w:r>
              <w:t xml:space="preserve">Medium</w:t>
            </w:r>
          </w:p>
        </w:tc>
        <w:tc>
          <w:tcPr/>
          <w:p>
            <w:pPr>
              <w:pStyle w:val="Compact"/>
              <w:jc w:val="left"/>
            </w:pPr>
            <w:r>
              <w:t xml:space="preserve">Regulations as shadow prices</w:t>
            </w:r>
          </w:p>
        </w:tc>
        <w:tc>
          <w:tcPr/>
          <w:p>
            <w:pPr>
              <w:pStyle w:val="Compact"/>
              <w:jc w:val="left"/>
            </w:pPr>
            <w:r>
              <w:t xml:space="preserve">Fill the regulation rows (placeholder 0) and their efficiency-margin adjustments (MTInputs 247-250).</w:t>
            </w:r>
          </w:p>
        </w:tc>
      </w:tr>
      <w:tr>
        <w:tc>
          <w:tcPr/>
          <w:p>
            <w:pPr>
              <w:pStyle w:val="Compact"/>
              <w:jc w:val="left"/>
            </w:pPr>
            <w:r>
              <w:t xml:space="preserve">U10</w:t>
            </w:r>
          </w:p>
        </w:tc>
        <w:tc>
          <w:tcPr/>
          <w:p>
            <w:pPr>
              <w:pStyle w:val="Compact"/>
              <w:jc w:val="left"/>
            </w:pPr>
            <w:r>
              <w:t xml:space="preserve">Medium</w:t>
            </w:r>
          </w:p>
        </w:tc>
        <w:tc>
          <w:tcPr/>
          <w:p>
            <w:pPr>
              <w:pStyle w:val="Compact"/>
              <w:jc w:val="left"/>
            </w:pPr>
            <w:r>
              <w:t xml:space="preserve">Data for more countries</w:t>
            </w:r>
          </w:p>
        </w:tc>
        <w:tc>
          <w:tcPr/>
          <w:p>
            <w:pPr>
              <w:pStyle w:val="Compact"/>
              <w:jc w:val="left"/>
            </w:pPr>
            <w:r>
              <w:t xml:space="preserve">Energy balances, GDP and EFs beyond Egypt (I90).</w:t>
            </w:r>
          </w:p>
        </w:tc>
      </w:tr>
      <w:tr>
        <w:tc>
          <w:tcPr/>
          <w:p>
            <w:pPr>
              <w:pStyle w:val="Compact"/>
              <w:jc w:val="left"/>
            </w:pPr>
            <w:r>
              <w:t xml:space="preserve">U13</w:t>
            </w:r>
          </w:p>
        </w:tc>
        <w:tc>
          <w:tcPr/>
          <w:p>
            <w:pPr>
              <w:pStyle w:val="Compact"/>
              <w:jc w:val="left"/>
            </w:pPr>
            <w:r>
              <w:t xml:space="preserve">Low</w:t>
            </w:r>
          </w:p>
        </w:tc>
        <w:tc>
          <w:tcPr/>
          <w:p>
            <w:pPr>
              <w:pStyle w:val="Compact"/>
              <w:jc w:val="left"/>
            </w:pPr>
            <w:r>
              <w:t xml:space="preserve">Planned retirement data for Egypt</w:t>
            </w:r>
          </w:p>
        </w:tc>
        <w:tc>
          <w:tcPr/>
          <w:p>
            <w:pPr>
              <w:pStyle w:val="Compact"/>
              <w:jc w:val="left"/>
            </w:pPr>
            <w:r>
              <w:t xml:space="preserve">Enter PowerPaths pret/</w:t>
            </w:r>
            <w:r>
              <w:t xml:space="preserve"> </w:t>
            </w:r>
            <w:r>
              <w:t xml:space="preserve">where plans exist.</w:t>
            </w:r>
          </w:p>
        </w:tc>
      </w:tr>
      <w:tr>
        <w:tc>
          <w:tcPr/>
          <w:p>
            <w:pPr>
              <w:pStyle w:val="Compact"/>
              <w:jc w:val="left"/>
            </w:pPr>
            <w:r>
              <w:t xml:space="preserve">U14</w:t>
            </w:r>
          </w:p>
        </w:tc>
        <w:tc>
          <w:tcPr/>
          <w:p>
            <w:pPr>
              <w:pStyle w:val="Compact"/>
              <w:jc w:val="left"/>
            </w:pPr>
            <w:r>
              <w:t xml:space="preserve">Low</w:t>
            </w:r>
          </w:p>
        </w:tc>
        <w:tc>
          <w:tcPr/>
          <w:p>
            <w:pPr>
              <w:pStyle w:val="Compact"/>
              <w:jc w:val="left"/>
            </w:pPr>
            <w:r>
              <w:t xml:space="preserve">Python port</w:t>
            </w:r>
          </w:p>
        </w:tc>
        <w:tc>
          <w:tcPr/>
          <w:p>
            <w:pPr>
              <w:pStyle w:val="Compact"/>
              <w:jc w:val="left"/>
            </w:pPr>
            <w:r>
              <w:t xml:space="preserve">The check script already recomputes every value in Python.</w:t>
            </w:r>
          </w:p>
        </w:tc>
      </w:tr>
      <w:tr>
        <w:tc>
          <w:tcPr/>
          <w:p>
            <w:pPr>
              <w:pStyle w:val="Compact"/>
              <w:jc w:val="left"/>
            </w:pPr>
            <w:r>
              <w:t xml:space="preserve">U15</w:t>
            </w:r>
          </w:p>
        </w:tc>
        <w:tc>
          <w:tcPr/>
          <w:p>
            <w:pPr>
              <w:pStyle w:val="Compact"/>
              <w:jc w:val="left"/>
            </w:pPr>
            <w:r>
              <w:t xml:space="preserve">Low</w:t>
            </w:r>
          </w:p>
        </w:tc>
        <w:tc>
          <w:tcPr/>
          <w:p>
            <w:pPr>
              <w:pStyle w:val="Compact"/>
              <w:jc w:val="left"/>
            </w:pPr>
            <w:r>
              <w:t xml:space="preserve">CBAM process emissions (legacy R4)</w:t>
            </w:r>
          </w:p>
        </w:tc>
        <w:tc>
          <w:tcPr/>
          <w:p>
            <w:pPr>
              <w:pStyle w:val="Compact"/>
              <w:jc w:val="left"/>
            </w:pPr>
            <w:r>
              <w:t xml:space="preserve">Out of scope (user 2026-10-29). Design: section 17b sub-block; switches CBAMProc</w:t>
            </w:r>
            <w:r>
              <w:t xml:space="preserve"> </w:t>
            </w:r>
            <w:r>
              <w:t xml:space="preserve">per scenario (ScenarioDefinition 117-121); production, growth and product prices typed EGY in Constants; EFs and semi-elasticities from Manual inputs H30:K37, E40:E47; fuel price per tCO2 = ctr + etr (section 1), process price = switch x fuel price; memo rows (legacy reads none). Bugs L197-L213, L216-L219 (part), issue I123.</w:t>
            </w:r>
          </w:p>
        </w:tc>
      </w:tr>
      <w:tr>
        <w:tc>
          <w:tcPr/>
          <w:p>
            <w:pPr>
              <w:pStyle w:val="Compact"/>
              <w:jc w:val="left"/>
            </w:pPr>
            <w:r>
              <w:t xml:space="preserve">U16</w:t>
            </w:r>
          </w:p>
        </w:tc>
        <w:tc>
          <w:tcPr/>
          <w:p>
            <w:pPr>
              <w:pStyle w:val="Compact"/>
              <w:jc w:val="left"/>
            </w:pPr>
            <w:r>
              <w:t xml:space="preserve">Low</w:t>
            </w:r>
          </w:p>
        </w:tc>
        <w:tc>
          <w:tcPr/>
          <w:p>
            <w:pPr>
              <w:pStyle w:val="Compact"/>
              <w:jc w:val="left"/>
            </w:pPr>
            <w:r>
              <w:t xml:space="preserve">Green public investment (legacy R5)</w:t>
            </w:r>
          </w:p>
        </w:tc>
        <w:tc>
          <w:tcPr/>
          <w:p>
            <w:pPr>
              <w:pStyle w:val="Compact"/>
              <w:jc w:val="left"/>
            </w:pPr>
            <w:r>
              <w:t xml:space="preserve">Out of scope (user 2026-10-29). Design: section 16c; constants GreenInvStart 2026, GreenShare 0.5, NetZeroStart 2026, NetZeroEnd 2060, PublicInvPart 0.5, GreenNeedYrs 35; CCDR ratio from ETS+LTS A261:A302 / H261:H302; phi = 1-(t-T0+1)/(T1-T0). Issues I124-I128.</w:t>
            </w:r>
          </w:p>
        </w:tc>
      </w:tr>
      <w:tr>
        <w:tc>
          <w:tcPr/>
          <w:p>
            <w:pPr>
              <w:pStyle w:val="Compact"/>
              <w:jc w:val="left"/>
            </w:pPr>
            <w:r>
              <w:t xml:space="preserve">U17</w:t>
            </w:r>
          </w:p>
        </w:tc>
        <w:tc>
          <w:tcPr/>
          <w:p>
            <w:pPr>
              <w:pStyle w:val="Compact"/>
              <w:jc w:val="left"/>
            </w:pPr>
            <w:r>
              <w:t xml:space="preserve">Low</w:t>
            </w:r>
          </w:p>
        </w:tc>
        <w:tc>
          <w:tcPr/>
          <w:p>
            <w:pPr>
              <w:pStyle w:val="Compact"/>
              <w:jc w:val="left"/>
            </w:pPr>
            <w:r>
              <w:t xml:space="preserve">Emissions intensity of industrial output (legacy R12)</w:t>
            </w:r>
          </w:p>
        </w:tc>
        <w:tc>
          <w:tcPr/>
          <w:p>
            <w:pPr>
              <w:pStyle w:val="Compact"/>
              <w:jc w:val="left"/>
            </w:pPr>
            <w:r>
              <w:t xml:space="preserve">Out of scope (user 2026-10-29). Design: block 13b; GVA typed EGY in Constants; manufacturing electricity = demtot x (sh_tsd + sh_eou) (legacy row 10071); variable co2.idr. Issues I131-I134.</w:t>
            </w:r>
          </w:p>
        </w:tc>
      </w:tr>
      <w:tr>
        <w:tc>
          <w:tcPr/>
          <w:p>
            <w:pPr>
              <w:pStyle w:val="Compact"/>
              <w:jc w:val="left"/>
            </w:pPr>
            <w:r>
              <w:t xml:space="preserve">U18</w:t>
            </w:r>
          </w:p>
        </w:tc>
        <w:tc>
          <w:tcPr/>
          <w:p>
            <w:pPr>
              <w:pStyle w:val="Compact"/>
              <w:jc w:val="left"/>
            </w:pPr>
            <w:r>
              <w:t xml:space="preserve">Low</w:t>
            </w:r>
          </w:p>
        </w:tc>
        <w:tc>
          <w:tcPr/>
          <w:p>
            <w:pPr>
              <w:pStyle w:val="Compact"/>
              <w:jc w:val="left"/>
            </w:pPr>
            <w:r>
              <w:t xml:space="preserve">Air pollution module (standalone)</w:t>
            </w:r>
          </w:p>
        </w:tc>
        <w:tc>
          <w:tcPr/>
          <w:p>
            <w:pPr>
              <w:pStyle w:val="Compact"/>
              <w:jc w:val="left"/>
            </w:pPr>
            <w:r>
              <w:t xml:space="preserve">Out of scope (user 2026-10-29). Mitigation keeps the legacy 465 values of tab FromAirPollution (Egypt; other countries 0, I106) for the Pigouvian air-pollution cost and the air-pollution welfare; the scaffold excel_ai/air_pollution/ stays as it is.</w:t>
            </w:r>
          </w:p>
        </w:tc>
      </w:tr>
      <w:tr>
        <w:tc>
          <w:tcPr/>
          <w:p>
            <w:pPr>
              <w:pStyle w:val="Compact"/>
              <w:jc w:val="left"/>
            </w:pPr>
            <w:r>
              <w:t xml:space="preserve">U19</w:t>
            </w:r>
          </w:p>
        </w:tc>
        <w:tc>
          <w:tcPr/>
          <w:p>
            <w:pPr>
              <w:pStyle w:val="Compact"/>
              <w:jc w:val="left"/>
            </w:pPr>
            <w:r>
              <w:t xml:space="preserve">Low</w:t>
            </w:r>
          </w:p>
        </w:tc>
        <w:tc>
          <w:tcPr/>
          <w:p>
            <w:pPr>
              <w:pStyle w:val="Compact"/>
              <w:jc w:val="left"/>
            </w:pPr>
            <w:r>
              <w:t xml:space="preserve">Transport co-benefits module (standalone)</w:t>
            </w:r>
          </w:p>
        </w:tc>
        <w:tc>
          <w:tcPr/>
          <w:p>
            <w:pPr>
              <w:pStyle w:val="Compact"/>
              <w:jc w:val="left"/>
            </w:pPr>
            <w:r>
              <w:t xml:space="preserve">Out of scope (user 2026-10-29). Mitigation keeps the legacy 465 values of tab FromTransportCB (Egypt; other countries 0, I106) for the Pigouvian road-transport cost and the road welfare; section 5b stays as the block the module would read.</w:t>
            </w:r>
          </w:p>
        </w:tc>
      </w:tr>
    </w:tbl>
    <w:bookmarkEnd w:id="39"/>
    <w:bookmarkStart w:id="40" w:name="appendix-f.-prototype-bugs-m"/>
    <w:p>
      <w:pPr>
        <w:pStyle w:val="Heading1"/>
      </w:pPr>
      <w:r>
        <w:t xml:space="preserve">Appendix F. Prototype bugs (M)</w:t>
      </w:r>
    </w:p>
    <w:p>
      <w:pPr>
        <w:pStyle w:val="FirstParagraph"/>
      </w:pPr>
      <w:r>
        <w:t xml:space="preserve">Defects of the prototype itself, found and fixed during development, for the record.</w:t>
      </w:r>
    </w:p>
    <w:tbl>
      <w:tblPr>
        <w:tblStyle w:val="Table"/>
        <w:tblW w:type="pct" w:w="5000"/>
        <w:tblLook w:firstRow="1" w:lastRow="0" w:firstColumn="0" w:lastColumn="0" w:noHBand="0" w:noVBand="0" w:val="0020"/>
        <w:jc w:val="start"/>
      </w:tblPr>
      <w:tblGrid>
        <w:gridCol w:w="465"/>
        <w:gridCol w:w="1397"/>
        <w:gridCol w:w="931"/>
        <w:gridCol w:w="2795"/>
        <w:gridCol w:w="2329"/>
      </w:tblGrid>
      <w:tr>
        <w:trPr>
          <w:tblHeader w:val="true"/>
        </w:trPr>
        <w:tc>
          <w:tcPr/>
          <w:p>
            <w:pPr>
              <w:pStyle w:val="Compact"/>
              <w:jc w:val="left"/>
            </w:pPr>
            <w:r>
              <w:t xml:space="preserve">Code</w:t>
            </w:r>
          </w:p>
        </w:tc>
        <w:tc>
          <w:tcPr/>
          <w:p>
            <w:pPr>
              <w:pStyle w:val="Compact"/>
              <w:jc w:val="left"/>
            </w:pPr>
            <w:r>
              <w:t xml:space="preserve">Bug</w:t>
            </w:r>
          </w:p>
        </w:tc>
        <w:tc>
          <w:tcPr/>
          <w:p>
            <w:pPr>
              <w:pStyle w:val="Compact"/>
              <w:jc w:val="left"/>
            </w:pPr>
            <w:r>
              <w:t xml:space="preserve">Fixed</w:t>
            </w:r>
          </w:p>
        </w:tc>
        <w:tc>
          <w:tcPr/>
          <w:p>
            <w:pPr>
              <w:pStyle w:val="Compact"/>
              <w:jc w:val="left"/>
            </w:pPr>
            <w:r>
              <w:t xml:space="preserve">What happened</w:t>
            </w:r>
          </w:p>
        </w:tc>
        <w:tc>
          <w:tcPr/>
          <w:p>
            <w:pPr>
              <w:pStyle w:val="Compact"/>
              <w:jc w:val="left"/>
            </w:pPr>
            <w:r>
              <w:t xml:space="preserve">Fix</w:t>
            </w:r>
          </w:p>
        </w:tc>
      </w:tr>
      <w:tr>
        <w:tc>
          <w:tcPr/>
          <w:p>
            <w:pPr>
              <w:pStyle w:val="Compact"/>
              <w:jc w:val="left"/>
            </w:pPr>
            <w:r>
              <w:t xml:space="preserve">M1</w:t>
            </w:r>
          </w:p>
        </w:tc>
        <w:tc>
          <w:tcPr/>
          <w:p>
            <w:pPr>
              <w:pStyle w:val="Compact"/>
              <w:jc w:val="left"/>
            </w:pPr>
            <w:r>
              <w:t xml:space="preserve">Version-log rows rewritten with the current version</w:t>
            </w:r>
          </w:p>
        </w:tc>
        <w:tc>
          <w:tcPr/>
          <w:p>
            <w:pPr>
              <w:pStyle w:val="Compact"/>
              <w:jc w:val="left"/>
            </w:pPr>
            <w:r>
              <w:t xml:space="preserve">Fixed (v0.0.3-v0.0.4 / v0.0.5)</w:t>
            </w:r>
          </w:p>
        </w:tc>
        <w:tc>
          <w:tcPr/>
          <w:p>
            <w:pPr>
              <w:pStyle w:val="Compact"/>
              <w:jc w:val="left"/>
            </w:pPr>
            <w:r>
              <w:t xml:space="preserve">The builders wrote earlier version-log rows with the current version number.</w:t>
            </w:r>
          </w:p>
        </w:tc>
        <w:tc>
          <w:tcPr/>
          <w:p>
            <w:pPr>
              <w:pStyle w:val="Compact"/>
              <w:jc w:val="left"/>
            </w:pPr>
            <w:r>
              <w:t xml:space="preserve">Each row has its own version; old workbooks left as shipped.</w:t>
            </w:r>
          </w:p>
        </w:tc>
      </w:tr>
      <w:tr>
        <w:tc>
          <w:tcPr/>
          <w:p>
            <w:pPr>
              <w:pStyle w:val="Compact"/>
              <w:jc w:val="left"/>
            </w:pPr>
            <w:r>
              <w:t xml:space="preserve">M2</w:t>
            </w:r>
          </w:p>
        </w:tc>
        <w:tc>
          <w:tcPr/>
          <w:p>
            <w:pPr>
              <w:pStyle w:val="Compact"/>
              <w:jc w:val="left"/>
            </w:pPr>
            <w:r>
              <w:t xml:space="preserve">Power: VAT left out on the policy term</w:t>
            </w:r>
          </w:p>
        </w:tc>
        <w:tc>
          <w:tcPr/>
          <w:p>
            <w:pPr>
              <w:pStyle w:val="Compact"/>
              <w:jc w:val="left"/>
            </w:pPr>
            <w:r>
              <w:t xml:space="preserve">Fixed (v0.1.05 / v0.1.06)</w:t>
            </w:r>
          </w:p>
        </w:tc>
        <w:tc>
          <w:tcPr/>
          <w:p>
            <w:pPr>
              <w:pStyle w:val="Compact"/>
              <w:jc w:val="left"/>
            </w:pPr>
            <w:r>
              <w:t xml:space="preserve">The end-user price added the policy cost without VAT; legacy row 3614 charges VAT.</w:t>
            </w:r>
          </w:p>
        </w:tc>
        <w:tc>
          <w:tcPr/>
          <w:p>
            <w:pPr>
              <w:pStyle w:val="Compact"/>
              <w:jc w:val="left"/>
            </w:pPr>
            <w:r>
              <w:t xml:space="preserve">VAT on the policy term as legacy (no effect for Egypt, VAT 0).</w:t>
            </w:r>
          </w:p>
        </w:tc>
      </w:tr>
      <w:tr>
        <w:tc>
          <w:tcPr/>
          <w:p>
            <w:pPr>
              <w:pStyle w:val="Compact"/>
              <w:jc w:val="left"/>
            </w:pPr>
            <w:r>
              <w:t xml:space="preserve">M3</w:t>
            </w:r>
          </w:p>
        </w:tc>
        <w:tc>
          <w:tcPr/>
          <w:p>
            <w:pPr>
              <w:pStyle w:val="Compact"/>
              <w:jc w:val="left"/>
            </w:pPr>
            <w:r>
              <w:t xml:space="preserve">Power: long-term storage allocation left out</w:t>
            </w:r>
          </w:p>
        </w:tc>
        <w:tc>
          <w:tcPr/>
          <w:p>
            <w:pPr>
              <w:pStyle w:val="Compact"/>
              <w:jc w:val="left"/>
            </w:pPr>
            <w:r>
              <w:t xml:space="preserve">Fixed (v0.1.05 / v0.1.06)</w:t>
            </w:r>
          </w:p>
        </w:tc>
        <w:tc>
          <w:tcPr/>
          <w:p>
            <w:pPr>
              <w:pStyle w:val="Compact"/>
              <w:jc w:val="left"/>
            </w:pPr>
            <w:r>
              <w:t xml:space="preserve">The legacy note</w:t>
            </w:r>
            <w:r>
              <w:t xml:space="preserve"> </w:t>
            </w:r>
            <w:r>
              <w:t xml:space="preserve">“</w:t>
            </w:r>
            <w:r>
              <w:t xml:space="preserve">incomplete</w:t>
            </w:r>
            <w:r>
              <w:t xml:space="preserve">”</w:t>
            </w:r>
            <w:r>
              <w:t xml:space="preserve"> </w:t>
            </w:r>
            <w:r>
              <w:t xml:space="preserve">was read as</w:t>
            </w:r>
            <w:r>
              <w:t xml:space="preserve"> </w:t>
            </w:r>
            <w:r>
              <w:t xml:space="preserve">“</w:t>
            </w:r>
            <w:r>
              <w:t xml:space="preserve">not applied</w:t>
            </w:r>
            <w:r>
              <w:t xml:space="preserve">”</w:t>
            </w:r>
            <w:r>
              <w:t xml:space="preserve">.</w:t>
            </w:r>
          </w:p>
        </w:tc>
        <w:tc>
          <w:tcPr/>
          <w:p>
            <w:pPr>
              <w:pStyle w:val="Compact"/>
              <w:jc w:val="left"/>
            </w:pPr>
            <w:r>
              <w:t xml:space="preserve">The 33% allocation is applied once.</w:t>
            </w:r>
          </w:p>
        </w:tc>
      </w:tr>
      <w:tr>
        <w:tc>
          <w:tcPr/>
          <w:p>
            <w:pPr>
              <w:pStyle w:val="Compact"/>
              <w:jc w:val="left"/>
            </w:pPr>
            <w:r>
              <w:t xml:space="preserve">M4</w:t>
            </w:r>
          </w:p>
        </w:tc>
        <w:tc>
          <w:tcPr/>
          <w:p>
            <w:pPr>
              <w:pStyle w:val="Compact"/>
              <w:jc w:val="left"/>
            </w:pPr>
            <w:r>
              <w:t xml:space="preserve">Power: VRE share without other renewables</w:t>
            </w:r>
          </w:p>
        </w:tc>
        <w:tc>
          <w:tcPr/>
          <w:p>
            <w:pPr>
              <w:pStyle w:val="Compact"/>
              <w:jc w:val="left"/>
            </w:pPr>
            <w:r>
              <w:t xml:space="preserve">Fixed (v0.1.05 / v0.1.06)</w:t>
            </w:r>
          </w:p>
        </w:tc>
        <w:tc>
          <w:tcPr/>
          <w:p>
            <w:pPr>
              <w:pStyle w:val="Compact"/>
              <w:jc w:val="left"/>
            </w:pPr>
            <w:r>
              <w:t xml:space="preserve">Legacy row 3851 also counts other renewables.</w:t>
            </w:r>
          </w:p>
        </w:tc>
        <w:tc>
          <w:tcPr/>
          <w:p>
            <w:pPr>
              <w:pStyle w:val="Compact"/>
              <w:jc w:val="left"/>
            </w:pPr>
            <w:r>
              <w:t xml:space="preserve">Follows legacy (other renewables 0 for Egypt).</w:t>
            </w:r>
          </w:p>
        </w:tc>
      </w:tr>
      <w:tr>
        <w:tc>
          <w:tcPr/>
          <w:p>
            <w:pPr>
              <w:pStyle w:val="Compact"/>
              <w:jc w:val="left"/>
            </w:pPr>
            <w:r>
              <w:t xml:space="preserve">M5</w:t>
            </w:r>
          </w:p>
        </w:tc>
        <w:tc>
          <w:tcPr/>
          <w:p>
            <w:pPr>
              <w:pStyle w:val="Compact"/>
              <w:jc w:val="left"/>
            </w:pPr>
            <w:r>
              <w:t xml:space="preserve">Defined name clashed with a LAMBDA name</w:t>
            </w:r>
          </w:p>
        </w:tc>
        <w:tc>
          <w:tcPr/>
          <w:p>
            <w:pPr>
              <w:pStyle w:val="Compact"/>
              <w:jc w:val="left"/>
            </w:pPr>
            <w:r>
              <w:t xml:space="preserve">Fixed (v0.1.07 build / v0.1.07)</w:t>
            </w:r>
          </w:p>
        </w:tc>
        <w:tc>
          <w:tcPr/>
          <w:p>
            <w:pPr>
              <w:pStyle w:val="Compact"/>
              <w:jc w:val="left"/>
            </w:pPr>
            <w:r>
              <w:t xml:space="preserve">The defined name ETSSemi equals the LAMBDA ETSSEMI ignoring case and gave #NAME?; the ETS goal seek stopped converging.</w:t>
            </w:r>
          </w:p>
        </w:tc>
        <w:tc>
          <w:tcPr/>
          <w:p>
            <w:pPr>
              <w:pStyle w:val="Compact"/>
              <w:jc w:val="left"/>
            </w:pPr>
            <w:r>
              <w:t xml:space="preserve">Renamed SemiEl; the builder asserts that no defined name equals a LAMBDA name.</w:t>
            </w:r>
          </w:p>
        </w:tc>
      </w:tr>
      <w:tr>
        <w:tc>
          <w:tcPr/>
          <w:p>
            <w:pPr>
              <w:pStyle w:val="Compact"/>
              <w:jc w:val="left"/>
            </w:pPr>
            <w:r>
              <w:t xml:space="preserve">M6</w:t>
            </w:r>
          </w:p>
        </w:tc>
        <w:tc>
          <w:tcPr/>
          <w:p>
            <w:pPr>
              <w:pStyle w:val="Compact"/>
              <w:jc w:val="left"/>
            </w:pPr>
            <w:r>
              <w:t xml:space="preserve">Power ETS revenue valued at the tax-equivalent price</w:t>
            </w:r>
          </w:p>
        </w:tc>
        <w:tc>
          <w:tcPr/>
          <w:p>
            <w:pPr>
              <w:pStyle w:val="Compact"/>
              <w:jc w:val="left"/>
            </w:pPr>
            <w:r>
              <w:t xml:space="preserve">Fixed (v0.1.05 / v0.1.09)</w:t>
            </w:r>
          </w:p>
        </w:tc>
        <w:tc>
          <w:tcPr/>
          <w:p>
            <w:pPr>
              <w:pStyle w:val="Compact"/>
              <w:jc w:val="left"/>
            </w:pPr>
            <w:r>
              <w:t xml:space="preserve">Power new-policy revenue (ccpav x consumption) valued the ETS at the tax-equivalent price, about 10% high at Medium volatility.</w:t>
            </w:r>
          </w:p>
        </w:tc>
        <w:tc>
          <w:tcPr/>
          <w:p>
            <w:pPr>
              <w:pStyle w:val="Compact"/>
              <w:jc w:val="left"/>
            </w:pPr>
            <w:r>
              <w:t xml:space="preserve">Revenue by generation type (prnew) with the ETS at the permit price; rcarb kept as a memo.</w:t>
            </w:r>
          </w:p>
        </w:tc>
      </w:tr>
      <w:tr>
        <w:tc>
          <w:tcPr/>
          <w:p>
            <w:pPr>
              <w:pStyle w:val="Compact"/>
              <w:jc w:val="left"/>
            </w:pPr>
            <w:r>
              <w:t xml:space="preserve">M7</w:t>
            </w:r>
          </w:p>
        </w:tc>
        <w:tc>
          <w:tcPr/>
          <w:p>
            <w:pPr>
              <w:pStyle w:val="Compact"/>
              <w:jc w:val="left"/>
            </w:pPr>
            <w:r>
              <w:t xml:space="preserve">Stale texts in the workbook and notes</w:t>
            </w:r>
          </w:p>
        </w:tc>
        <w:tc>
          <w:tcPr/>
          <w:p>
            <w:pPr>
              <w:pStyle w:val="Compact"/>
              <w:jc w:val="left"/>
            </w:pPr>
            <w:r>
              <w:t xml:space="preserve">Fixed (v0.1.08 / v0.1.09)</w:t>
            </w:r>
          </w:p>
        </w:tc>
        <w:tc>
          <w:tcPr/>
          <w:p>
            <w:pPr>
              <w:pStyle w:val="Compact"/>
              <w:jc w:val="left"/>
            </w:pPr>
            <w:r>
              <w:t xml:space="preserve">Section 12 and 13 notes said power was not included; PowerPaths said interim data; data sheets named old extractors; method notes described earlier versions.</w:t>
            </w:r>
          </w:p>
        </w:tc>
        <w:tc>
          <w:tcPr/>
          <w:p>
            <w:pPr>
              <w:pStyle w:val="Compact"/>
              <w:jc w:val="left"/>
            </w:pPr>
            <w:r>
              <w:t xml:space="preserve">Texts updated; the check now scans the workbook texts for stale statements and missing file references.</w:t>
            </w:r>
          </w:p>
        </w:tc>
      </w:tr>
      <w:tr>
        <w:tc>
          <w:tcPr/>
          <w:p>
            <w:pPr>
              <w:pStyle w:val="Compact"/>
              <w:jc w:val="left"/>
            </w:pPr>
            <w:r>
              <w:t xml:space="preserve">M8</w:t>
            </w:r>
          </w:p>
        </w:tc>
        <w:tc>
          <w:tcPr/>
          <w:p>
            <w:pPr>
              <w:pStyle w:val="Compact"/>
              <w:jc w:val="left"/>
            </w:pPr>
            <w:r>
              <w:t xml:space="preserve">LegacyDiff rows out of date</w:t>
            </w:r>
          </w:p>
        </w:tc>
        <w:tc>
          <w:tcPr/>
          <w:p>
            <w:pPr>
              <w:pStyle w:val="Compact"/>
              <w:jc w:val="left"/>
            </w:pPr>
            <w:r>
              <w:t xml:space="preserve">Fixed (v0.1.09 / v0.2.2)</w:t>
            </w:r>
          </w:p>
        </w:tc>
        <w:tc>
          <w:tcPr/>
          <w:p>
            <w:pPr>
              <w:pStyle w:val="Compact"/>
              <w:jc w:val="left"/>
            </w:pPr>
            <w:r>
              <w:t xml:space="preserve">Existing carbon pricing was still listed as</w:t>
            </w:r>
            <w:r>
              <w:t xml:space="preserve"> </w:t>
            </w:r>
            <w:r>
              <w:t xml:space="preserve">“</w:t>
            </w:r>
            <w:r>
              <w:t xml:space="preserve">Not modelled</w:t>
            </w:r>
            <w:r>
              <w:t xml:space="preserve">”</w:t>
            </w:r>
            <w:r>
              <w:t xml:space="preserve">; the formula-structure row described the LAMBDA right column of v0.1.07.</w:t>
            </w:r>
          </w:p>
        </w:tc>
        <w:tc>
          <w:tcPr/>
          <w:p>
            <w:pPr>
              <w:pStyle w:val="Compact"/>
              <w:jc w:val="left"/>
            </w:pPr>
            <w:r>
              <w:t xml:space="preserve">Rows updated; the check scans for these phrases.</w:t>
            </w:r>
          </w:p>
        </w:tc>
      </w:tr>
      <w:tr>
        <w:tc>
          <w:tcPr/>
          <w:p>
            <w:pPr>
              <w:pStyle w:val="Compact"/>
              <w:jc w:val="left"/>
            </w:pPr>
            <w:r>
              <w:t xml:space="preserve">M9</w:t>
            </w:r>
          </w:p>
        </w:tc>
        <w:tc>
          <w:tcPr/>
          <w:p>
            <w:pPr>
              <w:pStyle w:val="Compact"/>
              <w:jc w:val="left"/>
            </w:pPr>
            <w:r>
              <w:t xml:space="preserve">Legacy comparison note from v0.1.01</w:t>
            </w:r>
          </w:p>
        </w:tc>
        <w:tc>
          <w:tcPr/>
          <w:p>
            <w:pPr>
              <w:pStyle w:val="Compact"/>
              <w:jc w:val="left"/>
            </w:pPr>
            <w:r>
              <w:t xml:space="preserve">Fixed (v0.1.02-v0.1.09 / v0.2.2)</w:t>
            </w:r>
          </w:p>
        </w:tc>
        <w:tc>
          <w:tcPr/>
          <w:p>
            <w:pPr>
              <w:pStyle w:val="Compact"/>
              <w:jc w:val="left"/>
            </w:pPr>
            <w:r>
              <w:t xml:space="preserve">legacy_comparison described the v0.1.01 baseline and its script wrote a different file name.</w:t>
            </w:r>
          </w:p>
        </w:tc>
        <w:tc>
          <w:tcPr/>
          <w:p>
            <w:pPr>
              <w:pStyle w:val="Compact"/>
              <w:jc w:val="left"/>
            </w:pPr>
            <w:r>
              <w:t xml:space="preserve">Re-run on v0.2.2 (legacy_comparison_v6_4.md).</w:t>
            </w:r>
          </w:p>
        </w:tc>
      </w:tr>
      <w:tr>
        <w:tc>
          <w:tcPr/>
          <w:p>
            <w:pPr>
              <w:pStyle w:val="Compact"/>
              <w:jc w:val="left"/>
            </w:pPr>
            <w:r>
              <w:t xml:space="preserve">M10</w:t>
            </w:r>
          </w:p>
        </w:tc>
        <w:tc>
          <w:tcPr/>
          <w:p>
            <w:pPr>
              <w:pStyle w:val="Compact"/>
              <w:jc w:val="left"/>
            </w:pPr>
            <w:r>
              <w:t xml:space="preserve">Total rows labelled</w:t>
            </w:r>
            <w:r>
              <w:t xml:space="preserve"> </w:t>
            </w:r>
            <w:r>
              <w:t xml:space="preserve">“</w:t>
            </w:r>
            <w:r>
              <w:t xml:space="preserve">All subsectors</w:t>
            </w:r>
            <w:r>
              <w:t xml:space="preserve">”</w:t>
            </w:r>
          </w:p>
        </w:tc>
        <w:tc>
          <w:tcPr/>
          <w:p>
            <w:pPr>
              <w:pStyle w:val="Compact"/>
              <w:jc w:val="left"/>
            </w:pPr>
            <w:r>
              <w:t xml:space="preserve">Fixed (v0.1.09 / v0.2.3)</w:t>
            </w:r>
          </w:p>
        </w:tc>
        <w:tc>
          <w:tcPr/>
          <w:p>
            <w:pPr>
              <w:pStyle w:val="Compact"/>
              <w:jc w:val="left"/>
            </w:pPr>
            <w:r>
              <w:t xml:space="preserve">Since v0.1.09 the totals (fuel use, CO2, revenues) include power, but the label of the sector code all still said</w:t>
            </w:r>
            <w:r>
              <w:t xml:space="preserve"> </w:t>
            </w:r>
            <w:r>
              <w:t xml:space="preserve">“</w:t>
            </w:r>
            <w:r>
              <w:t xml:space="preserve">All subsectors</w:t>
            </w:r>
            <w:r>
              <w:t xml:space="preserve">”</w:t>
            </w:r>
            <w:r>
              <w:t xml:space="preserve">.</w:t>
            </w:r>
          </w:p>
        </w:tc>
        <w:tc>
          <w:tcPr/>
          <w:p>
            <w:pPr>
              <w:pStyle w:val="Compact"/>
              <w:jc w:val="left"/>
            </w:pPr>
            <w:r>
              <w:t xml:space="preserve">Label</w:t>
            </w:r>
            <w:r>
              <w:t xml:space="preserve"> </w:t>
            </w:r>
            <w:r>
              <w:t xml:space="preserve">“</w:t>
            </w:r>
            <w:r>
              <w:t xml:space="preserve">All sectors</w:t>
            </w:r>
            <w:r>
              <w:t xml:space="preserve">”</w:t>
            </w:r>
            <w:r>
              <w:t xml:space="preserve">.</w:t>
            </w:r>
          </w:p>
        </w:tc>
      </w:tr>
      <w:tr>
        <w:tc>
          <w:tcPr/>
          <w:p>
            <w:pPr>
              <w:pStyle w:val="Compact"/>
              <w:jc w:val="left"/>
            </w:pPr>
            <w:r>
              <w:t xml:space="preserve">M11</w:t>
            </w:r>
          </w:p>
        </w:tc>
        <w:tc>
          <w:tcPr/>
          <w:p>
            <w:pPr>
              <w:pStyle w:val="Compact"/>
              <w:jc w:val="left"/>
            </w:pPr>
            <w:r>
              <w:t xml:space="preserve">Macros read 19 year columns</w:t>
            </w:r>
          </w:p>
        </w:tc>
        <w:tc>
          <w:tcPr/>
          <w:p>
            <w:pPr>
              <w:pStyle w:val="Compact"/>
              <w:jc w:val="left"/>
            </w:pPr>
            <w:r>
              <w:t xml:space="preserve">Fixed (v0.2.3 build / v0.2.3)</w:t>
            </w:r>
          </w:p>
        </w:tc>
        <w:tc>
          <w:tcPr/>
          <w:p>
            <w:pPr>
              <w:pStyle w:val="Compact"/>
              <w:jc w:val="left"/>
            </w:pPr>
            <w:r>
              <w:t xml:space="preserve">The VBA module had the number of years (NYEARS = 19, 2022-2040) as a constant; with the horizon to 2041 the batch run and CheckBatchRun would have stored and compared one year too few (found by the check).</w:t>
            </w:r>
          </w:p>
        </w:tc>
        <w:tc>
          <w:tcPr/>
          <w:p>
            <w:pPr>
              <w:pStyle w:val="Compact"/>
              <w:jc w:val="left"/>
            </w:pPr>
            <w:r>
              <w:t xml:space="preserve">NYEARS = 20; the builder now asserts that it equals the number of model years.</w:t>
            </w:r>
          </w:p>
        </w:tc>
      </w:tr>
      <w:tr>
        <w:tc>
          <w:tcPr/>
          <w:p>
            <w:pPr>
              <w:pStyle w:val="Compact"/>
              <w:jc w:val="left"/>
            </w:pPr>
            <w:r>
              <w:t xml:space="preserve">M12</w:t>
            </w:r>
          </w:p>
        </w:tc>
        <w:tc>
          <w:tcPr/>
          <w:p>
            <w:pPr>
              <w:pStyle w:val="Compact"/>
              <w:jc w:val="left"/>
            </w:pPr>
            <w:r>
              <w:t xml:space="preserve">Sheet Lambdas: formula texts named merged sheets</w:t>
            </w:r>
          </w:p>
        </w:tc>
        <w:tc>
          <w:tcPr/>
          <w:p>
            <w:pPr>
              <w:pStyle w:val="Compact"/>
              <w:jc w:val="left"/>
            </w:pPr>
            <w:r>
              <w:t xml:space="preserve">Fixed (v0.3.6 / v0.3.13)</w:t>
            </w:r>
          </w:p>
        </w:tc>
        <w:tc>
          <w:tcPr/>
          <w:p>
            <w:pPr>
              <w:pStyle w:val="Compact"/>
              <w:jc w:val="left"/>
            </w:pPr>
            <w:r>
              <w:t xml:space="preserve">The tab merge of v0.3.6 re-pointed every formula but not the formula texts of sheet Lambdas (column F), so the rows reading the power and price inputs named Inputs_power / Inputs_prices, which no longer exist; copied into Mitigation they gave #REF! (found by the full check, variant B).</w:t>
            </w:r>
          </w:p>
        </w:tc>
        <w:tc>
          <w:tcPr/>
          <w:p>
            <w:pPr>
              <w:pStyle w:val="Compact"/>
              <w:jc w:val="left"/>
            </w:pPr>
            <w:r>
              <w:t xml:space="preserve">merge_tabs re-points the texts too; the full check copies them over every row (variant B).</w:t>
            </w:r>
          </w:p>
        </w:tc>
      </w:tr>
      <w:tr>
        <w:tc>
          <w:tcPr/>
          <w:p>
            <w:pPr>
              <w:pStyle w:val="Compact"/>
              <w:jc w:val="left"/>
            </w:pPr>
            <w:r>
              <w:t xml:space="preserve">M13</w:t>
            </w:r>
          </w:p>
        </w:tc>
        <w:tc>
          <w:tcPr/>
          <w:p>
            <w:pPr>
              <w:pStyle w:val="Compact"/>
              <w:jc w:val="left"/>
            </w:pPr>
            <w:r>
              <w:t xml:space="preserve">Road vehicle feebate counted the carbon price twice</w:t>
            </w:r>
          </w:p>
        </w:tc>
        <w:tc>
          <w:tcPr/>
          <w:p>
            <w:pPr>
              <w:pStyle w:val="Compact"/>
              <w:jc w:val="left"/>
            </w:pPr>
            <w:r>
              <w:t xml:space="preserve">Fixed (v0.3.5 / v0.4.16)</w:t>
            </w:r>
          </w:p>
        </w:tc>
        <w:tc>
          <w:tcPr/>
          <w:p>
            <w:pPr>
              <w:pStyle w:val="Compact"/>
              <w:jc w:val="left"/>
            </w:pPr>
            <w:r>
              <w:t xml:space="preserve">The vehicle feebate rate of the engineer road model added the carbon price x road feebate share in every policy scenario, although the carbon tax is in the fuel price already (legacy adds the shadow carbon price, 0 under explicit pricing).</w:t>
            </w:r>
          </w:p>
        </w:tc>
        <w:tc>
          <w:tcPr/>
          <w:p>
            <w:pPr>
              <w:pStyle w:val="Compact"/>
              <w:jc w:val="left"/>
            </w:pPr>
            <w:r>
              <w:t xml:space="preserve">The road regulation shadow price (reg.rod) replaces it; 0 under explicit pricing.</w:t>
            </w:r>
          </w:p>
        </w:tc>
      </w:tr>
      <w:tr>
        <w:tc>
          <w:tcPr/>
          <w:p>
            <w:pPr>
              <w:pStyle w:val="Compact"/>
              <w:jc w:val="left"/>
            </w:pPr>
            <w:r>
              <w:t xml:space="preserve">M14</w:t>
            </w:r>
          </w:p>
        </w:tc>
        <w:tc>
          <w:tcPr/>
          <w:p>
            <w:pPr>
              <w:pStyle w:val="Compact"/>
              <w:jc w:val="left"/>
            </w:pPr>
            <w:r>
              <w:t xml:space="preserve">LAMBDA library texts named a merged-away sheet</w:t>
            </w:r>
          </w:p>
        </w:tc>
        <w:tc>
          <w:tcPr/>
          <w:p>
            <w:pPr>
              <w:pStyle w:val="Compact"/>
              <w:jc w:val="left"/>
            </w:pPr>
            <w:r>
              <w:t xml:space="preserve">Fixed (v0.4.2 / v0.5.3)</w:t>
            </w:r>
          </w:p>
        </w:tc>
        <w:tc>
          <w:tcPr/>
          <w:p>
            <w:pPr>
              <w:pStyle w:val="Compact"/>
              <w:jc w:val="left"/>
            </w:pPr>
            <w:r>
              <w:t xml:space="preserve">The 21 LAMBDA-library texts of the power pollutant rows (sheet Lambdas, column C) still named the sheet Inputs_power: the v0.3.13 fix (M12) re-pointed the texts only on sheets that stay in place, and Lambdas is an appended block since v0.4.2; pasted, they gave #NAME?.</w:t>
            </w:r>
          </w:p>
        </w:tc>
        <w:tc>
          <w:tcPr/>
          <w:p>
            <w:pPr>
              <w:pStyle w:val="Compact"/>
              <w:jc w:val="left"/>
            </w:pPr>
            <w:r>
              <w:t xml:space="preserve">merge_tabs re-points the Lambdas texts of an appended block too (host Mitigation); the full check lists any text naming a merged-away sheet.</w:t>
            </w:r>
          </w:p>
        </w:tc>
      </w:tr>
      <w:tr>
        <w:tc>
          <w:tcPr/>
          <w:p>
            <w:pPr>
              <w:pStyle w:val="Compact"/>
              <w:jc w:val="left"/>
            </w:pPr>
            <w:r>
              <w:t xml:space="preserve">M15</w:t>
            </w:r>
          </w:p>
        </w:tc>
        <w:tc>
          <w:tcPr/>
          <w:p>
            <w:pPr>
              <w:pStyle w:val="Compact"/>
              <w:jc w:val="left"/>
            </w:pPr>
            <w:r>
              <w:t xml:space="preserve">Section 18: VAT on efficient prices at the 2022 general rate in every year</w:t>
            </w:r>
          </w:p>
        </w:tc>
        <w:tc>
          <w:tcPr/>
          <w:p>
            <w:pPr>
              <w:pStyle w:val="Compact"/>
              <w:jc w:val="left"/>
            </w:pPr>
            <w:r>
              <w:t xml:space="preserve">Fixed (v0.9.1 (Coded CPAT) / v0.9.2)</w:t>
            </w:r>
          </w:p>
        </w:tc>
        <w:tc>
          <w:tcPr/>
          <w:p>
            <w:pPr>
              <w:pStyle w:val="Compact"/>
              <w:jc w:val="left"/>
            </w:pPr>
            <w:r>
              <w:t xml:space="preserve">The defined name VatGen was one fixed cell, the general VAT rate (VAT_WEO) of 2022; every year of the energy-subsidy (vatext) and efficient-price (vat.cost) rows applied it, whatever the year’s rate.</w:t>
            </w:r>
          </w:p>
        </w:tc>
        <w:tc>
          <w:tcPr/>
          <w:p>
            <w:pPr>
              <w:pStyle w:val="Compact"/>
              <w:jc w:val="left"/>
            </w:pPr>
            <w:r>
              <w:t xml:space="preserve">New section-18 row vatgen: VAT_WEO of the year up to LastHistPriceYear, the last historical rate held after it (user assumption 2026-10-29); column D keeps the consumer flag x household share. Egypt unchanged (14% throughout). Legacy: the subsidy block uses the year’s rate (L17787), so the vatext part was introduced in v0.9.0; the efficient-price part is legacy bug L225.</w:t>
            </w:r>
          </w:p>
        </w:tc>
      </w:tr>
      <w:tr>
        <w:tc>
          <w:tcPr/>
          <w:p>
            <w:pPr>
              <w:pStyle w:val="Compact"/>
              <w:jc w:val="left"/>
            </w:pPr>
            <w:r>
              <w:t xml:space="preserve">M16</w:t>
            </w:r>
          </w:p>
        </w:tc>
        <w:tc>
          <w:tcPr/>
          <w:p>
            <w:pPr>
              <w:pStyle w:val="Compact"/>
              <w:jc w:val="left"/>
            </w:pPr>
            <w:r>
              <w:t xml:space="preserve">Road: freight BEV feebate valued at the ICEV truck’s distance</w:t>
            </w:r>
          </w:p>
        </w:tc>
        <w:tc>
          <w:tcPr/>
          <w:p>
            <w:pPr>
              <w:pStyle w:val="Compact"/>
              <w:jc w:val="left"/>
            </w:pPr>
            <w:r>
              <w:t xml:space="preserve">Fixed (v0.9.1 (Coded CPAT) / v0.9.2)</w:t>
            </w:r>
          </w:p>
        </w:tc>
        <w:tc>
          <w:tcPr/>
          <w:p>
            <w:pPr>
              <w:pStyle w:val="Compact"/>
              <w:jc w:val="left"/>
            </w:pPr>
            <w:r>
              <w:t xml:space="preserve">trfbvfb.fre.bev multiplied by the ICEV discounted km (trdkmfrei); the passenger and 2-3 wheeler BEV feebates use the BEV distance.</w:t>
            </w:r>
          </w:p>
        </w:tc>
        <w:tc>
          <w:tcPr/>
          <w:p>
            <w:pPr>
              <w:pStyle w:val="Compact"/>
              <w:jc w:val="left"/>
            </w:pPr>
            <w:r>
              <w:t xml:space="preserve">The freight BEV discounted km (trdkmfreb.fre.bev, legacy row 4630). Engineer road model only. In legacy too: L226.</w:t>
            </w:r>
          </w:p>
        </w:tc>
      </w:tr>
      <w:tr>
        <w:tc>
          <w:tcPr/>
          <w:p>
            <w:pPr>
              <w:pStyle w:val="Compact"/>
              <w:jc w:val="left"/>
            </w:pPr>
            <w:r>
              <w:t xml:space="preserve">M17</w:t>
            </w:r>
          </w:p>
        </w:tc>
        <w:tc>
          <w:tcPr/>
          <w:p>
            <w:pPr>
              <w:pStyle w:val="Compact"/>
              <w:jc w:val="left"/>
            </w:pPr>
            <w:r>
              <w:t xml:space="preserve">Road: plug-in hybrid cost mixed BEV capital cost with ICEV insurance and maintenance</w:t>
            </w:r>
          </w:p>
        </w:tc>
        <w:tc>
          <w:tcPr/>
          <w:p>
            <w:pPr>
              <w:pStyle w:val="Compact"/>
              <w:jc w:val="left"/>
            </w:pPr>
            <w:r>
              <w:t xml:space="preserve">Fixed (v0.9.1 (Coded CPAT) / v0.9.2)</w:t>
            </w:r>
          </w:p>
        </w:tc>
        <w:tc>
          <w:tcPr/>
          <w:p>
            <w:pPr>
              <w:pStyle w:val="Compact"/>
              <w:jc w:val="left"/>
            </w:pPr>
            <w:r>
              <w:t xml:space="preserve">trtcfp.pas.phv took the BEV depreciation and salvage with the ICEV insurance and maintenance (insurance on the ICEV price).</w:t>
            </w:r>
          </w:p>
        </w:tc>
        <w:tc>
          <w:tcPr/>
          <w:p>
            <w:pPr>
              <w:pStyle w:val="Compact"/>
              <w:jc w:val="left"/>
            </w:pPr>
            <w:r>
              <w:t xml:space="preserve">One price basis (user 2026-10-29; no PHEV price in the data): new row trimphv.pas.phv, insurance on the BEV price with the ICEV maintenance per km and the ICEV distance. Engineer road model only. In legacy too: L227 (with L41, the range anxiety).</w:t>
            </w:r>
          </w:p>
        </w:tc>
      </w:tr>
      <w:tr>
        <w:tc>
          <w:tcPr/>
          <w:p>
            <w:pPr>
              <w:pStyle w:val="Compact"/>
              <w:jc w:val="left"/>
            </w:pPr>
            <w:r>
              <w:t xml:space="preserve">M18</w:t>
            </w:r>
          </w:p>
        </w:tc>
        <w:tc>
          <w:tcPr/>
          <w:p>
            <w:pPr>
              <w:pStyle w:val="Compact"/>
              <w:jc w:val="left"/>
            </w:pPr>
            <w:r>
              <w:t xml:space="preserve">Road: bus electricity scaled by the bus energy of every fuel (withdrawn: not a bug)</w:t>
            </w:r>
          </w:p>
        </w:tc>
        <w:tc>
          <w:tcPr/>
          <w:p>
            <w:pPr>
              <w:pStyle w:val="Compact"/>
              <w:jc w:val="left"/>
            </w:pPr>
            <w:r>
              <w:t xml:space="preserve">Withdrawn (not a bug, user 2026-10-29)</w:t>
            </w:r>
          </w:p>
        </w:tc>
        <w:tc>
          <w:tcPr/>
          <w:p>
            <w:pPr>
              <w:pStyle w:val="Compact"/>
              <w:jc w:val="left"/>
            </w:pPr>
            <w:r>
              <w:t xml:space="preserve">Registered in v0.9.1 as a bug (column D = base bus use of diesel, LPG, gas and electricity). Withdrawn by the user (2026-10-29): it is the legacy method (legacy row 5318 sums every bus fuel): bus electricity = all base-year bus energy x the passenger electricity share, which is how buses electrify. The proposed fix (base-year bus electricity only) would keep bus electricity near zero where base-year bus electricity is ~0. Legacy bug L30 (units) stays as it is.</w:t>
            </w:r>
          </w:p>
        </w:tc>
        <w:tc>
          <w:tcPr/>
          <w:p>
            <w:pPr>
              <w:pStyle w:val="Compact"/>
              <w:jc w:val="left"/>
            </w:pPr>
            <w:r>
              <w:t xml:space="preserve">None: kept as legacy.</w:t>
            </w:r>
          </w:p>
        </w:tc>
      </w:tr>
      <w:tr>
        <w:tc>
          <w:tcPr/>
          <w:p>
            <w:pPr>
              <w:pStyle w:val="Compact"/>
              <w:jc w:val="left"/>
            </w:pPr>
            <w:r>
              <w:t xml:space="preserve">M19</w:t>
            </w:r>
          </w:p>
        </w:tc>
        <w:tc>
          <w:tcPr/>
          <w:p>
            <w:pPr>
              <w:pStyle w:val="Compact"/>
              <w:jc w:val="left"/>
            </w:pPr>
            <w:r>
              <w:t xml:space="preserve">Nominal GDP divided by a billion although WEO is in billions</w:t>
            </w:r>
          </w:p>
        </w:tc>
        <w:tc>
          <w:tcPr/>
          <w:p>
            <w:pPr>
              <w:pStyle w:val="Compact"/>
              <w:jc w:val="left"/>
            </w:pPr>
            <w:r>
              <w:t xml:space="preserve">Fixed (v0.9.1 (Coded CPAT) / v0.9.2)</w:t>
            </w:r>
          </w:p>
        </w:tc>
        <w:tc>
          <w:tcPr/>
          <w:p>
            <w:pPr>
              <w:pStyle w:val="Compact"/>
              <w:jc w:val="left"/>
            </w:pPr>
            <w:r>
              <w:t xml:space="preserve">gdpn = WEO NGDP / Billion: 1e9 too small (Egypt 7.8e-6 bn LCU). Not in legacy (row 424, no division): introduced in v0.5.6.</w:t>
            </w:r>
          </w:p>
        </w:tc>
        <w:tc>
          <w:tcPr/>
          <w:p>
            <w:pPr>
              <w:pStyle w:val="Compact"/>
              <w:jc w:val="left"/>
            </w:pPr>
            <w:r>
              <w:t xml:space="preserve">No division; unit bn nominal. Output rows only.</w:t>
            </w:r>
          </w:p>
        </w:tc>
      </w:tr>
      <w:tr>
        <w:tc>
          <w:tcPr/>
          <w:p>
            <w:pPr>
              <w:pStyle w:val="Compact"/>
              <w:jc w:val="left"/>
            </w:pPr>
            <w:r>
              <w:t xml:space="preserve">M20</w:t>
            </w:r>
          </w:p>
        </w:tc>
        <w:tc>
          <w:tcPr/>
          <w:p>
            <w:pPr>
              <w:pStyle w:val="Compact"/>
              <w:jc w:val="left"/>
            </w:pPr>
            <w:r>
              <w:t xml:space="preserve">International prices: World Bank and IEA LNG and Europe gas series swapped</w:t>
            </w:r>
          </w:p>
        </w:tc>
        <w:tc>
          <w:tcPr/>
          <w:p>
            <w:pPr>
              <w:pStyle w:val="Compact"/>
              <w:jc w:val="left"/>
            </w:pPr>
            <w:r>
              <w:t xml:space="preserve">Fixed (v0.9.1 (Coded CPAT) / v0.9.2)</w:t>
            </w:r>
          </w:p>
        </w:tc>
        <w:tc>
          <w:tcPr/>
          <w:p>
            <w:pPr>
              <w:pStyle w:val="Compact"/>
              <w:jc w:val="left"/>
            </w:pPr>
            <w:r>
              <w:t xml:space="preserve">The WB LNG price read Prices_int row 15 (</w:t>
            </w:r>
            <w:r>
              <w:t xml:space="preserve">“</w:t>
            </w:r>
            <w:r>
              <w:t xml:space="preserve">Natural gas, Europe</w:t>
            </w:r>
            <w:r>
              <w:t xml:space="preserve">”</w:t>
            </w:r>
            <w:r>
              <w:t xml:space="preserve">) and the Europe price row 17 (</w:t>
            </w:r>
            <w:r>
              <w:t xml:space="preserve">“</w:t>
            </w:r>
            <w:r>
              <w:t xml:space="preserve">Liquefied natural gas, Japan</w:t>
            </w:r>
            <w:r>
              <w:t xml:space="preserve">”</w:t>
            </w:r>
            <w:r>
              <w:t xml:space="preserve">); the legacy check found the same swap in the IEA block (rows 39 and 41), which EIA, AVG and IMF-IEA inherit. In legacy too: L228 (WB), L229 (IEA).</w:t>
            </w:r>
          </w:p>
        </w:tc>
        <w:tc>
          <w:tcPr/>
          <w:p>
            <w:pPr>
              <w:pStyle w:val="Compact"/>
              <w:jc w:val="left"/>
            </w:pPr>
            <w:r>
              <w:t xml:space="preserve">Each series read by its label: WB LNG row 17, Europe row 15; IEA LNG row 41, Europe row 39. Egypt unchanged (IMF, global gas).</w:t>
            </w:r>
          </w:p>
        </w:tc>
      </w:tr>
      <w:tr>
        <w:tc>
          <w:tcPr/>
          <w:p>
            <w:pPr>
              <w:pStyle w:val="Compact"/>
              <w:jc w:val="left"/>
            </w:pPr>
            <w:r>
              <w:t xml:space="preserve">M21</w:t>
            </w:r>
          </w:p>
        </w:tc>
        <w:tc>
          <w:tcPr/>
          <w:p>
            <w:pPr>
              <w:pStyle w:val="Compact"/>
              <w:jc w:val="left"/>
            </w:pPr>
            <w:r>
              <w:t xml:space="preserve">Methane fee: marginal abatement price #DIV/0 where the curve exponent is 0</w:t>
            </w:r>
          </w:p>
        </w:tc>
        <w:tc>
          <w:tcPr/>
          <w:p>
            <w:pPr>
              <w:pStyle w:val="Compact"/>
              <w:jc w:val="left"/>
            </w:pPr>
            <w:r>
              <w:t xml:space="preserve">Fixed (v0.9.1 (Coded CPAT) / v0.9.2)</w:t>
            </w:r>
          </w:p>
        </w:tc>
        <w:tc>
          <w:tcPr/>
          <w:p>
            <w:pPr>
              <w:pStyle w:val="Compact"/>
              <w:jc w:val="left"/>
            </w:pPr>
            <w:r>
              <w:t xml:space="preserve">mfp = MIN(fee, (1/a)^(1/b)) gave #DIV/0 where b = 0 and a &lt;&gt; 0, and #NUM! where b is about 1e-14 (45 country sources in the data, e.g. AFG coal mining; DMA livestock b = 0). Not in legacy (no cap): introduced in v0.3.17.</w:t>
            </w:r>
          </w:p>
        </w:tc>
        <w:tc>
          <w:tcPr/>
          <w:p>
            <w:pPr>
              <w:pStyle w:val="Compact"/>
              <w:jc w:val="left"/>
            </w:pPr>
            <w:r>
              <w:t xml:space="preserve">IF(a = 0, 0, MIN(fee, IFERROR(a^(-1/b), fee))) (MFEEPRICE): no cap where b = 0 or where the cap overflows (it is beyond any fee there). Egypt unchanged.</w:t>
            </w:r>
          </w:p>
        </w:tc>
      </w:tr>
      <w:tr>
        <w:tc>
          <w:tcPr/>
          <w:p>
            <w:pPr>
              <w:pStyle w:val="Compact"/>
              <w:jc w:val="left"/>
            </w:pPr>
            <w:r>
              <w:t xml:space="preserve">M22</w:t>
            </w:r>
          </w:p>
        </w:tc>
        <w:tc>
          <w:tcPr/>
          <w:p>
            <w:pPr>
              <w:pStyle w:val="Compact"/>
              <w:jc w:val="left"/>
            </w:pPr>
            <w:r>
              <w:t xml:space="preserve">Distribution: percentile recycling rows added a % row to amounts in local currency</w:t>
            </w:r>
          </w:p>
        </w:tc>
        <w:tc>
          <w:tcPr/>
          <w:p>
            <w:pPr>
              <w:pStyle w:val="Compact"/>
              <w:jc w:val="left"/>
            </w:pPr>
            <w:r>
              <w:t xml:space="preserve">Fixed (v0.9.1 (Coded CPAT) / v0.9.2 (Distribution 0.1.4))</w:t>
            </w:r>
          </w:p>
        </w:tc>
        <w:tc>
          <w:tcPr/>
          <w:p>
            <w:pPr>
              <w:pStyle w:val="Compact"/>
              <w:jc w:val="left"/>
            </w:pPr>
            <w:r>
              <w:t xml:space="preserve">hrec = (pit + pui + cts + tgt) / hcpc x 100 read the public-investment row by the key pui.</w:t>
            </w:r>
            <w:r>
              <w:t xml:space="preserve">, which the recycling-gain % row reuses, so it added % of consumption to amounts per person.</w:t>
            </w:r>
          </w:p>
        </w:tc>
        <w:tc>
          <w:tcPr/>
          <w:p>
            <w:pPr>
              <w:pStyle w:val="Compact"/>
              <w:jc w:val="left"/>
            </w:pPr>
            <w:r>
              <w:t xml:space="preserve">hrec reads the public investment amount per person of the sample (LCU). Egypt: the 25th/75th percentile recycling and net rows where public investment is used. Not in legacy (T3194 uses the amount): introduced in v0.6.0 (fixes D18, D19).</w:t>
            </w:r>
          </w:p>
        </w:tc>
      </w:tr>
    </w:tbl>
    <w:bookmarkEnd w:id="40"/>
    <w:bookmarkStart w:id="49" w:name="Xa4abf58d0ae67087a7628a4041fa7691755b613"/>
    <w:p>
      <w:pPr>
        <w:pStyle w:val="Heading1"/>
      </w:pPr>
      <w:r>
        <w:t xml:space="preserve">Appendix G. The bug-fixing procedure for legacy CPAT</w:t>
      </w:r>
    </w:p>
    <w:bookmarkStart w:id="41" w:name="Xa28046c36a4d403bb6c8eaa0ce45177562bf6ba"/>
    <w:p>
      <w:pPr>
        <w:pStyle w:val="Heading2"/>
      </w:pPr>
      <w:r>
        <w:t xml:space="preserve">G.1 The two protocols of the legacy workbook</w:t>
      </w:r>
    </w:p>
    <w:p>
      <w:pPr>
        <w:pStyle w:val="FirstParagraph"/>
      </w:pPr>
      <w:r>
        <w:t xml:space="preserve">Legacy CPAT relies on two conventions that a fix must keep, and that many bugs break:</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Protocol</w:t>
            </w:r>
          </w:p>
        </w:tc>
        <w:tc>
          <w:tcPr/>
          <w:p>
            <w:pPr>
              <w:pStyle w:val="Compact"/>
              <w:jc w:val="left"/>
            </w:pPr>
            <w:r>
              <w:t xml:space="preserve">What it means</w:t>
            </w:r>
          </w:p>
        </w:tc>
        <w:tc>
          <w:tcPr/>
          <w:p>
            <w:pPr>
              <w:pStyle w:val="Compact"/>
              <w:jc w:val="left"/>
            </w:pPr>
            <w:r>
              <w:t xml:space="preserve">Test</w:t>
            </w:r>
          </w:p>
        </w:tc>
      </w:tr>
      <w:tr>
        <w:tc>
          <w:tcPr/>
          <w:p>
            <w:pPr>
              <w:pStyle w:val="Compact"/>
              <w:jc w:val="left"/>
            </w:pPr>
            <w:r>
              <w:t xml:space="preserve">Drag left to right</w:t>
            </w:r>
          </w:p>
        </w:tc>
        <w:tc>
          <w:tcPr/>
          <w:p>
            <w:pPr>
              <w:pStyle w:val="Compact"/>
              <w:jc w:val="left"/>
            </w:pPr>
            <w:r>
              <w:t xml:space="preserve">Every year cell of a row holds the same formula in relative (R1C1) form, so a row can be dragged from its first year to the last.</w:t>
            </w:r>
          </w:p>
        </w:tc>
        <w:tc>
          <w:tcPr/>
          <w:p>
            <w:pPr>
              <w:pStyle w:val="Compact"/>
              <w:jc w:val="left"/>
            </w:pPr>
            <w:r>
              <w:t xml:space="preserve">One R1C1 formula per row from the first projected year to the last.</w:t>
            </w:r>
          </w:p>
        </w:tc>
      </w:tr>
      <w:tr>
        <w:tc>
          <w:tcPr/>
          <w:p>
            <w:pPr>
              <w:pStyle w:val="Compact"/>
              <w:jc w:val="left"/>
            </w:pPr>
            <w:r>
              <w:t xml:space="preserve">Copy-paste baseline to policy</w:t>
            </w:r>
          </w:p>
        </w:tc>
        <w:tc>
          <w:tcPr/>
          <w:p>
            <w:pPr>
              <w:pStyle w:val="Compact"/>
              <w:jc w:val="left"/>
            </w:pPr>
            <w:r>
              <w:t xml:space="preserve">The policy block repeats the baseline block a fixed number of rows down: in legacy 465, +6,316 rows throughout, from row 2173 (names BaselineFirstRow, PolicyScenarioFirstRow; policy row 8489) to the end of the results sub-blocks (row 8403 maps to 14719). In 456 it was +6,331 to about row 6070 and +6,317 after it.</w:t>
            </w:r>
          </w:p>
        </w:tc>
        <w:tc>
          <w:tcPr/>
          <w:p>
            <w:pPr>
              <w:pStyle w:val="Compact"/>
              <w:jc w:val="left"/>
            </w:pPr>
            <w:r>
              <w:t xml:space="preserve">The policy row equals the baseline row in R1C1 form.</w:t>
            </w:r>
          </w:p>
        </w:tc>
      </w:tr>
    </w:tbl>
    <w:bookmarkEnd w:id="41"/>
    <w:bookmarkStart w:id="42" w:name="g.2-before-you-start"/>
    <w:p>
      <w:pPr>
        <w:pStyle w:val="Heading2"/>
      </w:pPr>
      <w:r>
        <w:t xml:space="preserve">G.2 Before you start</w:t>
      </w:r>
    </w:p>
    <w:p>
      <w:pPr>
        <w:numPr>
          <w:ilvl w:val="0"/>
          <w:numId w:val="1006"/>
        </w:numPr>
        <w:pStyle w:val="Compact"/>
      </w:pPr>
      <w:r>
        <w:t xml:space="preserve">Work on a copy of the workbook; never fix the only copy, and save each fixed file as a new version.</w:t>
      </w:r>
    </w:p>
    <w:p>
      <w:pPr>
        <w:numPr>
          <w:ilvl w:val="0"/>
          <w:numId w:val="1006"/>
        </w:numPr>
        <w:pStyle w:val="Compact"/>
      </w:pPr>
      <w:r>
        <w:t xml:space="preserve">Find the cells by label and code (column D labels, column B/C codes), never by a typed row number: rows move between legacy versions.</w:t>
      </w:r>
    </w:p>
    <w:p>
      <w:pPr>
        <w:numPr>
          <w:ilvl w:val="0"/>
          <w:numId w:val="1006"/>
        </w:numPr>
        <w:pStyle w:val="Compact"/>
      </w:pPr>
      <w:r>
        <w:t xml:space="preserve">Check the register entry still matches the file: the cell must hold the formula the register describes. If it does not, stop and report (the bug may already be fixed, as many are in the 465 file).</w:t>
      </w:r>
    </w:p>
    <w:p>
      <w:pPr>
        <w:numPr>
          <w:ilvl w:val="0"/>
          <w:numId w:val="1006"/>
        </w:numPr>
        <w:pStyle w:val="Compact"/>
      </w:pPr>
      <w:r>
        <w:t xml:space="preserve">Fix in order of priority (High first): High changes the results of the standard Egypt runs; Medium changes some runs, countries or reported numbers; Low is latent or cosmetic.</w:t>
      </w:r>
    </w:p>
    <w:p>
      <w:pPr>
        <w:numPr>
          <w:ilvl w:val="0"/>
          <w:numId w:val="1006"/>
        </w:numPr>
        <w:pStyle w:val="Compact"/>
      </w:pPr>
      <w:r>
        <w:t xml:space="preserve">A fix in the baseline block is pasted into the policy block (G.1); rows above 2173 are shared and have no policy copy.</w:t>
      </w:r>
    </w:p>
    <w:bookmarkEnd w:id="42"/>
    <w:bookmarkStart w:id="43" w:name="g.3-stages-of-a-fix"/>
    <w:p>
      <w:pPr>
        <w:pStyle w:val="Heading2"/>
      </w:pPr>
      <w:r>
        <w:t xml:space="preserve">G.3 Stages of a fix</w:t>
      </w:r>
    </w:p>
    <w:p>
      <w:pPr>
        <w:pStyle w:val="FirstParagraph"/>
      </w:pPr>
      <w:r>
        <w:t xml:space="preserve">The macro bugfix_procedure/FixL1_ServicesElectricity.bas runs these stages for bug L1; the same stages apply to every bug, by macro or by hand.</w:t>
      </w:r>
    </w:p>
    <w:tbl>
      <w:tblPr>
        <w:tblStyle w:val="Table"/>
        <w:tblW w:type="pct" w:w="5000"/>
        <w:tblLook w:firstRow="1" w:lastRow="0" w:firstColumn="0" w:lastColumn="0" w:noHBand="0" w:noVBand="0" w:val="0020"/>
        <w:jc w:val="start"/>
      </w:tblPr>
      <w:tblGrid>
        <w:gridCol w:w="1485"/>
        <w:gridCol w:w="4455"/>
        <w:gridCol w:w="1980"/>
      </w:tblGrid>
      <w:tr>
        <w:trPr>
          <w:tblHeader w:val="true"/>
        </w:trPr>
        <w:tc>
          <w:tcPr/>
          <w:p>
            <w:pPr>
              <w:pStyle w:val="Compact"/>
              <w:jc w:val="left"/>
            </w:pPr>
            <w:r>
              <w:t xml:space="preserve">Stage</w:t>
            </w:r>
          </w:p>
        </w:tc>
        <w:tc>
          <w:tcPr/>
          <w:p>
            <w:pPr>
              <w:pStyle w:val="Compact"/>
              <w:jc w:val="left"/>
            </w:pPr>
            <w:r>
              <w:t xml:space="preserve">Step</w:t>
            </w:r>
          </w:p>
        </w:tc>
        <w:tc>
          <w:tcPr/>
          <w:p>
            <w:pPr>
              <w:pStyle w:val="Compact"/>
              <w:jc w:val="left"/>
            </w:pPr>
            <w:r>
              <w:t xml:space="preserve">Pass rule</w:t>
            </w:r>
          </w:p>
        </w:tc>
      </w:tr>
      <w:tr>
        <w:tc>
          <w:tcPr/>
          <w:p>
            <w:pPr>
              <w:pStyle w:val="Compact"/>
              <w:jc w:val="left"/>
            </w:pPr>
            <w:r>
              <w:t xml:space="preserve">P Preflight</w:t>
            </w:r>
          </w:p>
        </w:tc>
        <w:tc>
          <w:tcPr/>
          <w:p>
            <w:pPr>
              <w:pStyle w:val="Compact"/>
              <w:jc w:val="left"/>
            </w:pPr>
            <w:r>
              <w:t xml:space="preserve">Locate the rows by label and code; find the year columns from row 1; check the block offset (PolicyScenarioFirstRow - BaselineFirstRow); check the row holds exactly the bug formula in every year of both blocks.</w:t>
            </w:r>
          </w:p>
        </w:tc>
        <w:tc>
          <w:tcPr/>
          <w:p>
            <w:pPr>
              <w:pStyle w:val="Compact"/>
              <w:jc w:val="left"/>
            </w:pPr>
            <w:r>
              <w:t xml:space="preserve">Every item passes; if the formulas are already fixed or differ from the register, stop before changing anything.</w:t>
            </w:r>
          </w:p>
        </w:tc>
      </w:tr>
      <w:tr>
        <w:tc>
          <w:tcPr/>
          <w:p>
            <w:pPr>
              <w:pStyle w:val="Compact"/>
              <w:jc w:val="left"/>
            </w:pPr>
            <w:r>
              <w:t xml:space="preserve">S Snapshot</w:t>
            </w:r>
          </w:p>
        </w:tc>
        <w:tc>
          <w:tcPr/>
          <w:p>
            <w:pPr>
              <w:pStyle w:val="Compact"/>
              <w:jc w:val="left"/>
            </w:pPr>
            <w:r>
              <w:t xml:space="preserve">Full recalculation, then keep every formula (R1C1) and value of the sheet.</w:t>
            </w:r>
          </w:p>
        </w:tc>
        <w:tc>
          <w:tcPr/>
          <w:p>
            <w:pPr>
              <w:pStyle w:val="Compact"/>
            </w:pPr>
          </w:p>
        </w:tc>
      </w:tr>
      <w:tr>
        <w:tc>
          <w:tcPr/>
          <w:p>
            <w:pPr>
              <w:pStyle w:val="Compact"/>
              <w:jc w:val="left"/>
            </w:pPr>
            <w:r>
              <w:t xml:space="preserve">F Fix</w:t>
            </w:r>
          </w:p>
        </w:tc>
        <w:tc>
          <w:tcPr/>
          <w:p>
            <w:pPr>
              <w:pStyle w:val="Compact"/>
              <w:jc w:val="left"/>
            </w:pPr>
            <w:r>
              <w:t xml:space="preserve">Baseline: write the new formula in the first wrong year and fill right (a real drag). Policy: copy the baseline cells and paste formulas (a real copy-paste). Recalculate fully.</w:t>
            </w:r>
          </w:p>
        </w:tc>
        <w:tc>
          <w:tcPr/>
          <w:p>
            <w:pPr>
              <w:pStyle w:val="Compact"/>
            </w:pPr>
          </w:p>
        </w:tc>
      </w:tr>
      <w:tr>
        <w:tc>
          <w:tcPr/>
          <w:p>
            <w:pPr>
              <w:pStyle w:val="Compact"/>
              <w:jc w:val="left"/>
            </w:pPr>
            <w:r>
              <w:t xml:space="preserve">T1 Drag</w:t>
            </w:r>
          </w:p>
        </w:tc>
        <w:tc>
          <w:tcPr/>
          <w:p>
            <w:pPr>
              <w:pStyle w:val="Compact"/>
              <w:jc w:val="left"/>
            </w:pPr>
            <w:r>
              <w:t xml:space="preserve">The row has one R1C1 formula from the first projected year to the last, in both blocks.</w:t>
            </w:r>
          </w:p>
        </w:tc>
        <w:tc>
          <w:tcPr/>
          <w:p>
            <w:pPr>
              <w:pStyle w:val="Compact"/>
              <w:jc w:val="left"/>
            </w:pPr>
            <w:r>
              <w:t xml:space="preserve">0 cells differ</w:t>
            </w:r>
          </w:p>
        </w:tc>
      </w:tr>
      <w:tr>
        <w:tc>
          <w:tcPr/>
          <w:p>
            <w:pPr>
              <w:pStyle w:val="Compact"/>
              <w:jc w:val="left"/>
            </w:pPr>
            <w:r>
              <w:t xml:space="preserve">T2 Copy-paste</w:t>
            </w:r>
          </w:p>
        </w:tc>
        <w:tc>
          <w:tcPr/>
          <w:p>
            <w:pPr>
              <w:pStyle w:val="Compact"/>
              <w:jc w:val="left"/>
            </w:pPr>
            <w:r>
              <w:t xml:space="preserve">Policy row R1C1 = baseline row R1C1.</w:t>
            </w:r>
          </w:p>
        </w:tc>
        <w:tc>
          <w:tcPr/>
          <w:p>
            <w:pPr>
              <w:pStyle w:val="Compact"/>
              <w:jc w:val="left"/>
            </w:pPr>
            <w:r>
              <w:t xml:space="preserve">0 cells differ</w:t>
            </w:r>
          </w:p>
        </w:tc>
      </w:tr>
      <w:tr>
        <w:tc>
          <w:tcPr/>
          <w:p>
            <w:pPr>
              <w:pStyle w:val="Compact"/>
              <w:jc w:val="left"/>
            </w:pPr>
            <w:r>
              <w:t xml:space="preserve">T3 Nothing else moved</w:t>
            </w:r>
          </w:p>
        </w:tc>
        <w:tc>
          <w:tcPr/>
          <w:p>
            <w:pPr>
              <w:pStyle w:val="Compact"/>
              <w:jc w:val="left"/>
            </w:pPr>
            <w:r>
              <w:t xml:space="preserve">Whole sheet, formulas before against after: exactly the intended cells changed.</w:t>
            </w:r>
          </w:p>
        </w:tc>
        <w:tc>
          <w:tcPr/>
          <w:p>
            <w:pPr>
              <w:pStyle w:val="Compact"/>
              <w:jc w:val="left"/>
            </w:pPr>
            <w:r>
              <w:t xml:space="preserve">intended cells only</w:t>
            </w:r>
          </w:p>
        </w:tc>
      </w:tr>
      <w:tr>
        <w:tc>
          <w:tcPr/>
          <w:p>
            <w:pPr>
              <w:pStyle w:val="Compact"/>
              <w:jc w:val="left"/>
            </w:pPr>
            <w:r>
              <w:t xml:space="preserve">T4 Independent calculation</w:t>
            </w:r>
          </w:p>
        </w:tc>
        <w:tc>
          <w:tcPr/>
          <w:p>
            <w:pPr>
              <w:pStyle w:val="Compact"/>
              <w:jc w:val="left"/>
            </w:pPr>
            <w:r>
              <w:t xml:space="preserve">Recompute the fixed row from the recalculated values outside Excel (VBA or Python) and compare.</w:t>
            </w:r>
          </w:p>
        </w:tc>
        <w:tc>
          <w:tcPr/>
          <w:p>
            <w:pPr>
              <w:pStyle w:val="Compact"/>
              <w:jc w:val="left"/>
            </w:pPr>
            <w:r>
              <w:t xml:space="preserve">0 years differ</w:t>
            </w:r>
          </w:p>
        </w:tc>
      </w:tr>
      <w:tr>
        <w:tc>
          <w:tcPr/>
          <w:p>
            <w:pPr>
              <w:pStyle w:val="Compact"/>
              <w:jc w:val="left"/>
            </w:pPr>
            <w:r>
              <w:t xml:space="preserve">T5 Past unchanged</w:t>
            </w:r>
          </w:p>
        </w:tc>
        <w:tc>
          <w:tcPr/>
          <w:p>
            <w:pPr>
              <w:pStyle w:val="Compact"/>
              <w:jc w:val="left"/>
            </w:pPr>
            <w:r>
              <w:t xml:space="preserve">Years before the first fixed year unchanged everywhere (columns that are lags, not years, are reported, not failed).</w:t>
            </w:r>
          </w:p>
        </w:tc>
        <w:tc>
          <w:tcPr/>
          <w:p>
            <w:pPr>
              <w:pStyle w:val="Compact"/>
              <w:jc w:val="left"/>
            </w:pPr>
            <w:r>
              <w:t xml:space="preserve">0 changed, else review</w:t>
            </w:r>
          </w:p>
        </w:tc>
      </w:tr>
      <w:tr>
        <w:tc>
          <w:tcPr/>
          <w:p>
            <w:pPr>
              <w:pStyle w:val="Compact"/>
              <w:jc w:val="left"/>
            </w:pPr>
            <w:r>
              <w:t xml:space="preserve">T6 No new errors</w:t>
            </w:r>
          </w:p>
        </w:tc>
        <w:tc>
          <w:tcPr/>
          <w:p>
            <w:pPr>
              <w:pStyle w:val="Compact"/>
              <w:jc w:val="left"/>
            </w:pPr>
            <w:r>
              <w:t xml:space="preserve">The count of error cells does not increase.</w:t>
            </w:r>
          </w:p>
        </w:tc>
        <w:tc>
          <w:tcPr/>
          <w:p>
            <w:pPr>
              <w:pStyle w:val="Compact"/>
              <w:jc w:val="left"/>
            </w:pPr>
            <w:r>
              <w:t xml:space="preserve">after &lt;= before</w:t>
            </w:r>
          </w:p>
        </w:tc>
      </w:tr>
      <w:tr>
        <w:tc>
          <w:tcPr/>
          <w:p>
            <w:pPr>
              <w:pStyle w:val="Compact"/>
              <w:jc w:val="left"/>
            </w:pPr>
            <w:r>
              <w:t xml:space="preserve">T7 Reconciliation</w:t>
            </w:r>
          </w:p>
        </w:tc>
        <w:tc>
          <w:tcPr/>
          <w:p>
            <w:pPr>
              <w:pStyle w:val="Compact"/>
              <w:jc w:val="left"/>
            </w:pPr>
            <w:r>
              <w:t xml:space="preserve">The change of the total that the row feeds equals the change of the row (within 5%; the rest is price feedback).</w:t>
            </w:r>
          </w:p>
        </w:tc>
        <w:tc>
          <w:tcPr/>
          <w:p>
            <w:pPr>
              <w:pStyle w:val="Compact"/>
              <w:jc w:val="left"/>
            </w:pPr>
            <w:r>
              <w:t xml:space="preserve">review if &gt; 5%</w:t>
            </w:r>
          </w:p>
        </w:tc>
      </w:tr>
      <w:tr>
        <w:tc>
          <w:tcPr/>
          <w:p>
            <w:pPr>
              <w:pStyle w:val="Compact"/>
              <w:jc w:val="left"/>
            </w:pPr>
            <w:r>
              <w:t xml:space="preserve">R Report</w:t>
            </w:r>
          </w:p>
        </w:tc>
        <w:tc>
          <w:tcPr/>
          <w:p>
            <w:pPr>
              <w:pStyle w:val="Compact"/>
              <w:jc w:val="left"/>
            </w:pPr>
            <w:r>
              <w:t xml:space="preserve">Number of changed rows; the rows with the largest change as a share of their size.</w:t>
            </w:r>
          </w:p>
        </w:tc>
        <w:tc>
          <w:tcPr/>
          <w:p>
            <w:pPr>
              <w:pStyle w:val="Compact"/>
              <w:jc w:val="left"/>
            </w:pPr>
            <w:r>
              <w:t xml:space="preserve">judgement</w:t>
            </w:r>
          </w:p>
        </w:tc>
      </w:tr>
    </w:tbl>
    <w:bookmarkEnd w:id="43"/>
    <w:bookmarkStart w:id="44" w:name="g.4-applying-a-cell-level-plan"/>
    <w:p>
      <w:pPr>
        <w:pStyle w:val="Heading2"/>
      </w:pPr>
      <w:r>
        <w:t xml:space="preserve">G.4 Applying a cell-level plan</w:t>
      </w:r>
    </w:p>
    <w:p>
      <w:pPr>
        <w:pStyle w:val="FirstParagraph"/>
      </w:pPr>
      <w:r>
        <w:t xml:space="preserve">For every bug (the</w:t>
      </w:r>
      <w:r>
        <w:t xml:space="preserve"> </w:t>
      </w:r>
      <w:r>
        <w:t xml:space="preserve">“</w:t>
      </w:r>
      <w:r>
        <w:t xml:space="preserve">Cell plan</w:t>
      </w:r>
      <w:r>
        <w:t xml:space="preserve">”</w:t>
      </w:r>
      <w:r>
        <w:t xml:space="preserve"> </w:t>
      </w:r>
      <w:r>
        <w:t xml:space="preserve">column says which) the repository holds a cell-level plan (excel_ai/bugs_and_legacy/fixes/data, JSON): for each cell the formula now, the new formula, the range to fill and the policy row. Apply a plan as stage F above: type the new formula in the cell, fill the range, copy the baseline cells onto the policy row given (Paste Special, Formulas), recalculate, then run T1-T7. The plans are printed with each bug in Legacy_CPAT_Bugs_v1.2.0.docx.</w:t>
      </w:r>
    </w:p>
    <w:p>
      <w:pPr>
        <w:pStyle w:val="BodyText"/>
      </w:pPr>
      <w:r>
        <w:t xml:space="preserve">For bugs without a cell plan yet the bug entry gives the legacy rows, what legacy does and the fix it needs. Write the plan as the existing ones were made (excel_ai/bugs_and_legacy/fixes/tools: build the new formula by exact text substitution of the legacy formula, stop if the legacy text is not found, check the brackets), add it to the JSON and regenerate this document.</w:t>
      </w:r>
    </w:p>
    <w:bookmarkEnd w:id="44"/>
    <w:bookmarkStart w:id="45" w:name="g.5-worked-example-bug-l1"/>
    <w:p>
      <w:pPr>
        <w:pStyle w:val="Heading2"/>
      </w:pPr>
      <w:r>
        <w:t xml:space="preserve">G.5 Worked example: bug L1</w:t>
      </w:r>
    </w:p>
    <w:p>
      <w:pPr>
        <w:pStyle w:val="FirstParagraph"/>
      </w:pPr>
      <w:r>
        <w:t xml:space="preserve">L1 (services electricity demand grows with the industrial multiple after 2023) breaks both protocols, so one fix exercises every test: row 3731 holds =RC[-1]</w:t>
      </w:r>
      <w:r>
        <w:rPr>
          <w:iCs/>
          <w:i/>
        </w:rPr>
        <w:t xml:space="preserve">R[-18]C in 2023 and =RC[-1]</w:t>
      </w:r>
      <w:r>
        <w:t xml:space="preserve">R[-24]C from 2024 (the row cannot be dragged), and policy row 10062 has the same wrong formula (456 rows: the run below was on the 456 file; in 465 L1 is fixed and the rows are 3713/10029, 3707/10023, 3731/10047, offset 6,316).</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Check</w:t>
            </w:r>
          </w:p>
        </w:tc>
        <w:tc>
          <w:tcPr/>
          <w:p>
            <w:pPr>
              <w:pStyle w:val="Compact"/>
              <w:jc w:val="left"/>
            </w:pPr>
            <w:r>
              <w:t xml:space="preserve">Result (scratch copy of the 456 NoPropData file, Excel 365, 2026-10-15)</w:t>
            </w:r>
          </w:p>
        </w:tc>
      </w:tr>
      <w:tr>
        <w:tc>
          <w:tcPr/>
          <w:p>
            <w:pPr>
              <w:pStyle w:val="Compact"/>
              <w:jc w:val="left"/>
            </w:pPr>
            <w:r>
              <w:t xml:space="preserve">Preflight P1-P6</w:t>
            </w:r>
          </w:p>
        </w:tc>
        <w:tc>
          <w:tcPr/>
          <w:p>
            <w:pPr>
              <w:pStyle w:val="Compact"/>
              <w:jc w:val="left"/>
            </w:pPr>
            <w:r>
              <w:t xml:space="preserve">PASS: rows 3713/10044, 3707/10038, 3731/10062; offset 6,331; bug formula in all 18 years of both blocks</w:t>
            </w:r>
          </w:p>
        </w:tc>
      </w:tr>
      <w:tr>
        <w:tc>
          <w:tcPr/>
          <w:p>
            <w:pPr>
              <w:pStyle w:val="Compact"/>
              <w:jc w:val="left"/>
            </w:pPr>
            <w:r>
              <w:t xml:space="preserve">Run on a fixed file</w:t>
            </w:r>
          </w:p>
        </w:tc>
        <w:tc>
          <w:tcPr/>
          <w:p>
            <w:pPr>
              <w:pStyle w:val="Compact"/>
              <w:jc w:val="left"/>
            </w:pPr>
            <w:r>
              <w:t xml:space="preserve">stops at P5/P6 with FAIL</w:t>
            </w:r>
            <w:r>
              <w:t xml:space="preserve"> </w:t>
            </w:r>
            <w:r>
              <w:t xml:space="preserve">“</w:t>
            </w:r>
            <w:r>
              <w:t xml:space="preserve">state = FIXED</w:t>
            </w:r>
            <w:r>
              <w:t xml:space="preserve">”</w:t>
            </w:r>
            <w:r>
              <w:t xml:space="preserve">, nothing changed</w:t>
            </w:r>
          </w:p>
        </w:tc>
      </w:tr>
      <w:tr>
        <w:tc>
          <w:tcPr/>
          <w:p>
            <w:pPr>
              <w:pStyle w:val="Compact"/>
              <w:jc w:val="left"/>
            </w:pPr>
            <w:r>
              <w:t xml:space="preserve">T1, T2</w:t>
            </w:r>
          </w:p>
        </w:tc>
        <w:tc>
          <w:tcPr/>
          <w:p>
            <w:pPr>
              <w:pStyle w:val="Compact"/>
              <w:jc w:val="left"/>
            </w:pPr>
            <w:r>
              <w:t xml:space="preserve">PASS (=RC[-1]*R[-18]C in M:AE, both blocks)</w:t>
            </w:r>
          </w:p>
        </w:tc>
      </w:tr>
      <w:tr>
        <w:tc>
          <w:tcPr/>
          <w:p>
            <w:pPr>
              <w:pStyle w:val="Compact"/>
              <w:jc w:val="left"/>
            </w:pPr>
            <w:r>
              <w:t xml:space="preserve">T3</w:t>
            </w:r>
          </w:p>
        </w:tc>
        <w:tc>
          <w:tcPr/>
          <w:p>
            <w:pPr>
              <w:pStyle w:val="Compact"/>
              <w:jc w:val="left"/>
            </w:pPr>
            <w:r>
              <w:t xml:space="preserve">PASS: 36 of 36 formula cells changed, 0 others</w:t>
            </w:r>
          </w:p>
        </w:tc>
      </w:tr>
      <w:tr>
        <w:tc>
          <w:tcPr/>
          <w:p>
            <w:pPr>
              <w:pStyle w:val="Compact"/>
              <w:jc w:val="left"/>
            </w:pPr>
            <w:r>
              <w:t xml:space="preserve">T4, T6</w:t>
            </w:r>
          </w:p>
        </w:tc>
        <w:tc>
          <w:tcPr/>
          <w:p>
            <w:pPr>
              <w:pStyle w:val="Compact"/>
              <w:jc w:val="left"/>
            </w:pPr>
            <w:r>
              <w:t xml:space="preserve">PASS (2,160 error cells before and after, inherited from the stripped file)</w:t>
            </w:r>
          </w:p>
        </w:tc>
      </w:tr>
      <w:tr>
        <w:tc>
          <w:tcPr/>
          <w:p>
            <w:pPr>
              <w:pStyle w:val="Compact"/>
              <w:jc w:val="left"/>
            </w:pPr>
            <w:r>
              <w:t xml:space="preserve">T7</w:t>
            </w:r>
          </w:p>
        </w:tc>
        <w:tc>
          <w:tcPr/>
          <w:p>
            <w:pPr>
              <w:pStyle w:val="Compact"/>
              <w:jc w:val="left"/>
            </w:pPr>
            <w:r>
              <w:t xml:space="preserve">PASS: other sectors add at most 2.4% (baseline) and 4.1% (policy) of the services change</w:t>
            </w:r>
          </w:p>
        </w:tc>
      </w:tr>
      <w:tr>
        <w:tc>
          <w:tcPr/>
          <w:p>
            <w:pPr>
              <w:pStyle w:val="Compact"/>
              <w:jc w:val="left"/>
            </w:pPr>
            <w:r>
              <w:t xml:space="preserve">T5</w:t>
            </w:r>
          </w:p>
        </w:tc>
        <w:tc>
          <w:tcPr/>
          <w:p>
            <w:pPr>
              <w:pStyle w:val="Compact"/>
              <w:jc w:val="left"/>
            </w:pPr>
            <w:r>
              <w:t xml:space="preserve">REVIEW: 72 cells in column M of the fiscal-multiplier tables, whose columns are lags, not years</w:t>
            </w:r>
          </w:p>
        </w:tc>
      </w:tr>
      <w:tr>
        <w:tc>
          <w:tcPr/>
          <w:p>
            <w:pPr>
              <w:pStyle w:val="Compact"/>
              <w:jc w:val="left"/>
            </w:pPr>
            <w:r>
              <w:t xml:space="preserve">Effect</w:t>
            </w:r>
          </w:p>
        </w:tc>
        <w:tc>
          <w:tcPr/>
          <w:p>
            <w:pPr>
              <w:pStyle w:val="Compact"/>
              <w:jc w:val="left"/>
            </w:pPr>
            <w:r>
              <w:t xml:space="preserve">2041 services electricity demand: baseline 6,685 to 8,743 ktoe (+30.8%), policy 5,508 to 6,397 (+16.1%); 3,979 rows change</w:t>
            </w:r>
          </w:p>
        </w:tc>
      </w:tr>
    </w:tbl>
    <w:bookmarkEnd w:id="45"/>
    <w:bookmarkStart w:id="46" w:name="g.6-reusing-the-harness-for-the-next-bug"/>
    <w:p>
      <w:pPr>
        <w:pStyle w:val="Heading2"/>
      </w:pPr>
      <w:r>
        <w:t xml:space="preserve">G.6 Reusing the harness for the next bug</w:t>
      </w:r>
    </w:p>
    <w:tbl>
      <w:tblPr>
        <w:tblStyle w:val="Table"/>
        <w:tblW w:type="pct" w:w="5000"/>
        <w:tblLook w:firstRow="1" w:lastRow="0" w:firstColumn="0" w:lastColumn="0" w:noHBand="0" w:noVBand="0" w:val="0020"/>
        <w:jc w:val="start"/>
      </w:tblPr>
      <w:tblGrid>
        <w:gridCol w:w="2475"/>
        <w:gridCol w:w="5445"/>
      </w:tblGrid>
      <w:tr>
        <w:trPr>
          <w:tblHeader w:val="true"/>
        </w:trPr>
        <w:tc>
          <w:tcPr/>
          <w:p>
            <w:pPr>
              <w:pStyle w:val="Compact"/>
              <w:jc w:val="left"/>
            </w:pPr>
            <w:r>
              <w:t xml:space="preserve">Part of the macro</w:t>
            </w:r>
          </w:p>
        </w:tc>
        <w:tc>
          <w:tcPr/>
          <w:p>
            <w:pPr>
              <w:pStyle w:val="Compact"/>
              <w:jc w:val="left"/>
            </w:pPr>
            <w:r>
              <w:t xml:space="preserve">What to change</w:t>
            </w:r>
          </w:p>
        </w:tc>
      </w:tr>
      <w:tr>
        <w:tc>
          <w:tcPr/>
          <w:p>
            <w:pPr>
              <w:pStyle w:val="Compact"/>
              <w:jc w:val="left"/>
            </w:pPr>
            <w:r>
              <w:t xml:space="preserve">Constants (labels, codes, first year)</w:t>
            </w:r>
          </w:p>
        </w:tc>
        <w:tc>
          <w:tcPr/>
          <w:p>
            <w:pPr>
              <w:pStyle w:val="Compact"/>
              <w:jc w:val="left"/>
            </w:pPr>
            <w:r>
              <w:t xml:space="preserve">Labels and codes that locate the rows; first year of the wrong formula</w:t>
            </w:r>
          </w:p>
        </w:tc>
      </w:tr>
      <w:tr>
        <w:tc>
          <w:tcPr/>
          <w:p>
            <w:pPr>
              <w:pStyle w:val="Compact"/>
              <w:jc w:val="left"/>
            </w:pPr>
            <w:r>
              <w:t xml:space="preserve">Locate</w:t>
            </w:r>
          </w:p>
        </w:tc>
        <w:tc>
          <w:tcPr/>
          <w:p>
            <w:pPr>
              <w:pStyle w:val="Compact"/>
              <w:jc w:val="left"/>
            </w:pPr>
            <w:r>
              <w:t xml:space="preserve">How the row is found (by label and code, never a typed row number)</w:t>
            </w:r>
          </w:p>
        </w:tc>
      </w:tr>
      <w:tr>
        <w:tc>
          <w:tcPr/>
          <w:p>
            <w:pPr>
              <w:pStyle w:val="Compact"/>
              <w:jc w:val="left"/>
            </w:pPr>
            <w:r>
              <w:t xml:space="preserve">RowState</w:t>
            </w:r>
          </w:p>
        </w:tc>
        <w:tc>
          <w:tcPr/>
          <w:p>
            <w:pPr>
              <w:pStyle w:val="Compact"/>
              <w:jc w:val="left"/>
            </w:pPr>
            <w:r>
              <w:t xml:space="preserve">The wrong and the right R1C1 formula (the</w:t>
            </w:r>
            <w:r>
              <w:t xml:space="preserve"> </w:t>
            </w:r>
            <w:r>
              <w:t xml:space="preserve">“</w:t>
            </w:r>
            <w:r>
              <w:t xml:space="preserve">has CPAT changed</w:t>
            </w:r>
            <w:r>
              <w:t xml:space="preserve">”</w:t>
            </w:r>
            <w:r>
              <w:t xml:space="preserve"> </w:t>
            </w:r>
            <w:r>
              <w:t xml:space="preserve">test)</w:t>
            </w:r>
          </w:p>
        </w:tc>
      </w:tr>
      <w:tr>
        <w:tc>
          <w:tcPr/>
          <w:p>
            <w:pPr>
              <w:pStyle w:val="Compact"/>
              <w:jc w:val="left"/>
            </w:pPr>
            <w:r>
              <w:t xml:space="preserve">ApplyFix</w:t>
            </w:r>
          </w:p>
        </w:tc>
        <w:tc>
          <w:tcPr/>
          <w:p>
            <w:pPr>
              <w:pStyle w:val="Compact"/>
              <w:jc w:val="left"/>
            </w:pPr>
            <w:r>
              <w:t xml:space="preserve">The new formula; keep</w:t>
            </w:r>
            <w:r>
              <w:t xml:space="preserve"> </w:t>
            </w:r>
            <w:r>
              <w:t xml:space="preserve">“</w:t>
            </w:r>
            <w:r>
              <w:t xml:space="preserve">drag in the baseline, paste into the policy</w:t>
            </w:r>
            <w:r>
              <w:t xml:space="preserve">”</w:t>
            </w:r>
          </w:p>
        </w:tc>
      </w:tr>
      <w:tr>
        <w:tc>
          <w:tcPr/>
          <w:p>
            <w:pPr>
              <w:pStyle w:val="Compact"/>
              <w:jc w:val="left"/>
            </w:pPr>
            <w:r>
              <w:t xml:space="preserve">TestIndependent, TestTotals</w:t>
            </w:r>
          </w:p>
        </w:tc>
        <w:tc>
          <w:tcPr/>
          <w:p>
            <w:pPr>
              <w:pStyle w:val="Compact"/>
              <w:jc w:val="left"/>
            </w:pPr>
            <w:r>
              <w:t xml:space="preserve">The independent recomputation and reconciliation of the new bug</w:t>
            </w:r>
          </w:p>
        </w:tc>
      </w:tr>
    </w:tbl>
    <w:p>
      <w:pPr>
        <w:pStyle w:val="BodyText"/>
      </w:pPr>
      <w:r>
        <w:t xml:space="preserve">Keep the whole-sheet formula diff (T3), the past-unchanged test (T5), the error count (T6), the FixLog sheet and</w:t>
      </w:r>
      <w:r>
        <w:t xml:space="preserve"> </w:t>
      </w:r>
      <w:r>
        <w:t xml:space="preserve">“</w:t>
      </w:r>
      <w:r>
        <w:t xml:space="preserve">never saves</w:t>
      </w:r>
      <w:r>
        <w:t xml:space="preserve">”</w:t>
      </w:r>
      <w:r>
        <w:t xml:space="preserve">.</w:t>
      </w:r>
    </w:p>
    <w:bookmarkEnd w:id="46"/>
    <w:bookmarkStart w:id="47" w:name="g.7-after-the-fix"/>
    <w:p>
      <w:pPr>
        <w:pStyle w:val="Heading2"/>
      </w:pPr>
      <w:r>
        <w:t xml:space="preserve">G.7 After the fix</w:t>
      </w:r>
    </w:p>
    <w:p>
      <w:pPr>
        <w:numPr>
          <w:ilvl w:val="0"/>
          <w:numId w:val="1007"/>
        </w:numPr>
        <w:pStyle w:val="Compact"/>
      </w:pPr>
      <w:r>
        <w:t xml:space="preserve">Record it: the register entry gets</w:t>
      </w:r>
      <w:r>
        <w:t xml:space="preserve"> </w:t>
      </w:r>
      <w:r>
        <w:t xml:space="preserve">“</w:t>
      </w:r>
      <w:r>
        <w:t xml:space="preserve">fixed in legacy version x</w:t>
      </w:r>
      <w:r>
        <w:t xml:space="preserve">”</w:t>
      </w:r>
      <w:r>
        <w:t xml:space="preserve">, and the workbook’s version log a row.</w:t>
      </w:r>
    </w:p>
    <w:p>
      <w:pPr>
        <w:numPr>
          <w:ilvl w:val="0"/>
          <w:numId w:val="1007"/>
        </w:numPr>
        <w:pStyle w:val="Compact"/>
      </w:pPr>
      <w:r>
        <w:t xml:space="preserve">Compare with the prototype: the prototype already computes the fixed behaviour, so a fixed legacy file should move toward it. The prototype’s LegacyDiff sheet lists every remaining departure.</w:t>
      </w:r>
    </w:p>
    <w:p>
      <w:pPr>
        <w:numPr>
          <w:ilvl w:val="0"/>
          <w:numId w:val="1007"/>
        </w:numPr>
        <w:pStyle w:val="Compact"/>
      </w:pPr>
      <w:r>
        <w:t xml:space="preserve">Run a policy scenario as well as the baseline (switch MTInputs D6, _ScenarioToRun): T1-T4 must still pass.</w:t>
      </w:r>
    </w:p>
    <w:bookmarkEnd w:id="47"/>
    <w:bookmarkStart w:id="48" w:name="g.8-limits"/>
    <w:p>
      <w:pPr>
        <w:pStyle w:val="Heading2"/>
      </w:pPr>
      <w:r>
        <w:t xml:space="preserve">G.8 Limits</w:t>
      </w:r>
    </w:p>
    <w:p>
      <w:pPr>
        <w:numPr>
          <w:ilvl w:val="0"/>
          <w:numId w:val="1008"/>
        </w:numPr>
        <w:pStyle w:val="Compact"/>
      </w:pPr>
      <w:r>
        <w:t xml:space="preserve">Tested on the NoPropData file only; the preflight is there to detect a different file and stops without changing anything.</w:t>
      </w:r>
    </w:p>
    <w:p>
      <w:pPr>
        <w:numPr>
          <w:ilvl w:val="0"/>
          <w:numId w:val="1008"/>
        </w:numPr>
        <w:pStyle w:val="Compact"/>
      </w:pPr>
      <w:r>
        <w:t xml:space="preserve">The macro checks sheet Mitigation only; effects on other sheets (Dashboard, Transport, Distribution) are not compared.</w:t>
      </w:r>
    </w:p>
    <w:p>
      <w:pPr>
        <w:numPr>
          <w:ilvl w:val="0"/>
          <w:numId w:val="1008"/>
        </w:numPr>
        <w:pStyle w:val="Compact"/>
      </w:pPr>
      <w:r>
        <w:t xml:space="preserve">The report ranks changed rows; it cannot say whether a change is right. The independent check covers the fixed row; everything downstream is judged by reading the report.</w:t>
      </w:r>
    </w:p>
    <w:p>
      <w:pPr>
        <w:numPr>
          <w:ilvl w:val="0"/>
          <w:numId w:val="1008"/>
        </w:numPr>
        <w:pStyle w:val="Compact"/>
      </w:pPr>
      <w:r>
        <w:t xml:space="preserve">Needs macros enabled and the file kept as .xlsb or .xlsm.</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pmodelai.github.io/cpat_ai/#model" TargetMode="External" /></Relationships>
</file>

<file path=word/_rels/footnotes.xml.rels><?xml version="1.0" encoding="UTF-8"?><Relationships xmlns="http://schemas.openxmlformats.org/package/2006/relationships"><Relationship Type="http://schemas.openxmlformats.org/officeDocument/2006/relationships/hyperlink" Id="rId22" Target="https://cpmodelai.github.io/cpat_ai/#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v1.2.0</dc:title>
  <dc:creator/>
  <cp:keywords/>
  <dcterms:created xsi:type="dcterms:W3CDTF">2026-10-31T08:43:18Z</dcterms:created>
  <dcterms:modified xsi:type="dcterms:W3CDTF">2026-10-31T08:43:18Z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2026-10-31</vt:lpwstr>
  </property>
  <property fmtid="{D5CDD505-2E9C-101B-9397-08002B2CF9AE}" pid="3" name="subtitle">
    <vt:lpwstr>Documentation</vt:lpwstr>
  </property>
</Properties>
</file>