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CPAT-AI-Mitigation-MVP</w:t>
      </w:r>
      <w:r>
        <w:t xml:space="preserve"> </w:t>
      </w:r>
      <w:r>
        <w:t xml:space="preserve">v7.2:</w:t>
      </w:r>
      <w:r>
        <w:t xml:space="preserve"> </w:t>
      </w:r>
      <w:r>
        <w:t xml:space="preserve">documentation</w:t>
      </w:r>
    </w:p>
    <w:p>
      <w:pPr>
        <w:pStyle w:val="Subtitle"/>
      </w:pPr>
      <w:r>
        <w:t xml:space="preserve">The</w:t>
      </w:r>
      <w:r>
        <w:t xml:space="preserve"> </w:t>
      </w:r>
      <w:r>
        <w:t xml:space="preserve">CPAT</w:t>
      </w:r>
      <w:r>
        <w:t xml:space="preserve"> </w:t>
      </w:r>
      <w:r>
        <w:t xml:space="preserve">mitigation</w:t>
      </w:r>
      <w:r>
        <w:t xml:space="preserve"> </w:t>
      </w:r>
      <w:r>
        <w:t xml:space="preserve">module</w:t>
      </w:r>
      <w:r>
        <w:t xml:space="preserve"> </w:t>
      </w:r>
      <w:r>
        <w:t xml:space="preserve">rebuilt</w:t>
      </w:r>
      <w:r>
        <w:t xml:space="preserve"> </w:t>
      </w:r>
      <w:r>
        <w:t xml:space="preserve">as</w:t>
      </w:r>
      <w:r>
        <w:t xml:space="preserve"> </w:t>
      </w:r>
      <w:r>
        <w:t xml:space="preserve">a</w:t>
      </w:r>
      <w:r>
        <w:t xml:space="preserve"> </w:t>
      </w:r>
      <w:r>
        <w:t xml:space="preserve">readable</w:t>
      </w:r>
      <w:r>
        <w:t xml:space="preserve"> </w:t>
      </w:r>
      <w:r>
        <w:t xml:space="preserve">Excel</w:t>
      </w:r>
      <w:r>
        <w:t xml:space="preserve"> </w:t>
      </w:r>
      <w:r>
        <w:t xml:space="preserve">workbook</w:t>
      </w:r>
      <w:r>
        <w:t xml:space="preserve"> </w:t>
      </w:r>
      <w:r>
        <w:t xml:space="preserve">(Egypt</w:t>
      </w:r>
      <w:r>
        <w:t xml:space="preserve"> </w:t>
      </w:r>
      <w:r>
        <w:t xml:space="preserve">data)</w:t>
      </w:r>
    </w:p>
    <w:p>
      <w:pPr>
        <w:pStyle w:val="Date"/>
      </w:pPr>
      <w:r>
        <w:t xml:space="preserve">2026-10-22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bout-this-document"/>
    <w:p>
      <w:pPr>
        <w:pStyle w:val="Heading1"/>
      </w:pPr>
      <w:r>
        <w:t xml:space="preserve">About this document</w:t>
      </w:r>
    </w:p>
    <w:p>
      <w:pPr>
        <w:pStyle w:val="FirstParagraph"/>
      </w:pPr>
      <w:r>
        <w:t xml:space="preserve">Workbook:</w:t>
      </w:r>
      <w:r>
        <w:t xml:space="preserve"> </w:t>
      </w:r>
      <w:r>
        <w:rPr>
          <w:rStyle w:val="VerbatimChar"/>
        </w:rPr>
        <w:t xml:space="preserve">CPAT-AI-Mitigation-MVP-v7.2.xlsm</w:t>
      </w:r>
      <w:r>
        <w:t xml:space="preserve">. Chapters: quick start; the model in equations; one method note per part of the model; a pointer to the register of bugs and issues. Appendices: version log, verification. Every workbook formula is listed in</w:t>
      </w:r>
      <w:r>
        <w:t xml:space="preserve"> </w:t>
      </w:r>
      <w:r>
        <w:rPr>
          <w:rStyle w:val="VerbatimChar"/>
        </w:rPr>
        <w:t xml:space="preserve">Formulas_v7_0.md</w:t>
      </w:r>
      <w:r>
        <w:t xml:space="preserve"> </w:t>
      </w:r>
      <w:r>
        <w:t xml:space="preserve">(implementation reference, generated); task notes are in</w:t>
      </w:r>
      <w:r>
        <w:t xml:space="preserve"> </w:t>
      </w:r>
      <w:r>
        <w:rPr>
          <w:rStyle w:val="VerbatimChar"/>
        </w:rPr>
        <w:t xml:space="preserve">CAVEATS.md</w:t>
      </w:r>
      <w:r>
        <w:t xml:space="preserve"> </w:t>
      </w:r>
      <w:r>
        <w:t xml:space="preserve">at the repository root.</w:t>
      </w:r>
    </w:p>
    <w:bookmarkEnd w:id="20"/>
    <w:bookmarkStart w:id="25" w:name="quick-start"/>
    <w:p>
      <w:pPr>
        <w:pStyle w:val="Heading1"/>
      </w:pPr>
      <w:r>
        <w:t xml:space="preserve">Quick start</w:t>
      </w:r>
    </w:p>
    <w:p>
      <w:pPr>
        <w:pStyle w:val="FirstParagraph"/>
      </w:pPr>
      <w:r>
        <w:rPr>
          <w:iCs/>
          <w:i/>
        </w:rPr>
        <w:t xml:space="preserve">Source:</w:t>
      </w:r>
      <w:r>
        <w:rPr>
          <w:iCs/>
          <w:i/>
        </w:rPr>
        <w:t xml:space="preserve"> </w:t>
      </w:r>
      <w:r>
        <w:rPr>
          <w:rStyle w:val="VerbatimChar"/>
          <w:iCs/>
          <w:i/>
        </w:rPr>
        <w:t xml:space="preserve">QuickStart_v7_0.md</w:t>
      </w:r>
      <w:r>
        <w:rPr>
          <w:iCs/>
          <w:i/>
        </w:rPr>
        <w:t xml:space="preserve">.</w:t>
      </w:r>
    </w:p>
    <w:bookmarkStart w:id="21" w:name="what-it-is"/>
    <w:p>
      <w:pPr>
        <w:pStyle w:val="Heading3"/>
      </w:pPr>
      <w:r>
        <w:t xml:space="preserve">What it is</w:t>
      </w:r>
    </w:p>
    <w:p>
      <w:pPr>
        <w:pStyle w:val="FirstParagraph"/>
      </w:pPr>
      <w:r>
        <w:t xml:space="preserve">The mitigation module of CPAT (the IMF/World Bank Climate Policy Assessment Tool), rebuilt as one readable Excel workbook for one country at a time. Nothing in the formulas is country specific: every country number comes from the reference tables (data sheets), looked up by the country code on</w:t>
      </w:r>
      <w:r>
        <w:t xml:space="preserve"> </w:t>
      </w:r>
      <w:r>
        <w:rPr>
          <w:rStyle w:val="VerbatimChar"/>
        </w:rPr>
        <w:t xml:space="preserve">Settings</w:t>
      </w:r>
      <w:r>
        <w:t xml:space="preserve"> </w:t>
      </w:r>
      <w:r>
        <w:t xml:space="preserve">(C4). The shipped data are complete for Egypt. Policies (carbon tax, new ETS, feebates, fuel price reform, methane fee, existing carbon pricing) change retail energy prices. Prices change fuel use in 16 subsectors and 8 fuels, and a power model turns electricity demand into dispatch, investment and electricity prices. The results run to 2041 in real 2026 US dollars: fuel use, revenues, CO2 (optionally calibrated to the inventory), other GHGs, local air pollutants and GDP effects. Every formula is at most 100 characters and one formula serves a whole block. An independent Python recomputation checks every number.</w:t>
      </w:r>
    </w:p>
    <w:bookmarkEnd w:id="21"/>
    <w:bookmarkStart w:id="22" w:name="in-15-minutes"/>
    <w:p>
      <w:pPr>
        <w:pStyle w:val="Heading3"/>
      </w:pPr>
      <w:r>
        <w:t xml:space="preserve">In 15 minutes</w:t>
      </w:r>
    </w:p>
    <w:p>
      <w:pPr>
        <w:numPr>
          <w:ilvl w:val="0"/>
          <w:numId w:val="1001"/>
        </w:numPr>
        <w:pStyle w:val="Compact"/>
      </w:pPr>
      <w:r>
        <w:rPr>
          <w:bCs/>
          <w:b/>
        </w:rPr>
        <w:t xml:space="preserve">Open</w:t>
      </w:r>
      <w:r>
        <w:t xml:space="preserve"> </w:t>
      </w:r>
      <w:r>
        <w:rPr>
          <w:rStyle w:val="VerbatimChar"/>
        </w:rPr>
        <w:t xml:space="preserve">CPAT-AI-Mitigation-MVP-v7.1.xlsm</w:t>
      </w:r>
      <w:r>
        <w:t xml:space="preserve"> </w:t>
      </w:r>
      <w:r>
        <w:t xml:space="preserve">in Excel 365 (also at the repository root). Unblock the file if it was downloaded and enable macros. It opens on</w:t>
      </w:r>
      <w:r>
        <w:t xml:space="preserve"> </w:t>
      </w:r>
      <w:r>
        <w:rPr>
          <w:rStyle w:val="VerbatimChar"/>
        </w:rPr>
        <w:t xml:space="preserve">ScenarioCompare</w:t>
      </w:r>
      <w:r>
        <w:t xml:space="preserve">, the dashboard,</w:t>
      </w:r>
      <w:r>
        <w:t xml:space="preserve"> </w:t>
      </w:r>
      <w:r>
        <w:rPr>
          <w:bCs/>
          <w:b/>
        </w:rPr>
        <w:t xml:space="preserve">without recalculating</w:t>
      </w:r>
      <w:r>
        <w:t xml:space="preserve">: the file ships with its calculated values and in manual calculation. Click</w:t>
      </w:r>
      <w:r>
        <w:t xml:space="preserve"> </w:t>
      </w:r>
      <w:r>
        <w:rPr>
          <w:bCs/>
          <w:b/>
        </w:rPr>
        <w:t xml:space="preserve">Recalculate now</w:t>
      </w:r>
      <w:r>
        <w:t xml:space="preserve"> </w:t>
      </w:r>
      <w:r>
        <w:t xml:space="preserve">after any change (it reports the seconds taken), or</w:t>
      </w:r>
      <w:r>
        <w:t xml:space="preserve"> </w:t>
      </w:r>
      <w:r>
        <w:rPr>
          <w:bCs/>
          <w:b/>
        </w:rPr>
        <w:t xml:space="preserve">Recalculation on/off</w:t>
      </w:r>
      <w:r>
        <w:t xml:space="preserve"> </w:t>
      </w:r>
      <w:r>
        <w:t xml:space="preserve">to switch automatic calculation on (Excel applies the mode to every open workbook). Older Excel calculates 2022-2040; only the live scenario’s LAMBDA cells show errors.</w:t>
      </w:r>
    </w:p>
    <w:p>
      <w:pPr>
        <w:numPr>
          <w:ilvl w:val="0"/>
          <w:numId w:val="1001"/>
        </w:numPr>
        <w:pStyle w:val="Compact"/>
      </w:pPr>
      <w:r>
        <w:rPr>
          <w:bCs/>
          <w:b/>
        </w:rPr>
        <w:t xml:space="preserve">Test once:</w:t>
      </w:r>
      <w:r>
        <w:t xml:space="preserve"> </w:t>
      </w:r>
      <w:r>
        <w:t xml:space="preserve">in the VBA editor (Alt+F11) run Debug &gt; Compile VBAProject: it must report nothing (the cloud tests the macros in LibreOffice, which does not compile them as Excel does). Then on</w:t>
      </w:r>
      <w:r>
        <w:t xml:space="preserve"> </w:t>
      </w:r>
      <w:r>
        <w:rPr>
          <w:rStyle w:val="VerbatimChar"/>
        </w:rPr>
        <w:t xml:space="preserve">ScenarioCompare</w:t>
      </w:r>
      <w:r>
        <w:t xml:space="preserve"> </w:t>
      </w:r>
      <w:r>
        <w:t xml:space="preserve">click</w:t>
      </w:r>
      <w:r>
        <w:t xml:space="preserve"> </w:t>
      </w:r>
      <w:r>
        <w:rPr>
          <w:bCs/>
          <w:b/>
        </w:rPr>
        <w:t xml:space="preserve">First-run test</w:t>
      </w:r>
      <w:r>
        <w:t xml:space="preserve"> </w:t>
      </w:r>
      <w:r>
        <w:t xml:space="preserve">(grey buttons; or Alt+F8,</w:t>
      </w:r>
      <w:r>
        <w:t xml:space="preserve"> </w:t>
      </w:r>
      <w:r>
        <w:rPr>
          <w:rStyle w:val="VerbatimChar"/>
        </w:rPr>
        <w:t xml:space="preserve">CheckBatchRun</w:t>
      </w:r>
      <w:r>
        <w:t xml:space="preserve">). The MacroCheck table (tab</w:t>
      </w:r>
      <w:r>
        <w:t xml:space="preserve"> </w:t>
      </w:r>
      <w:r>
        <w:rPr>
          <w:rStyle w:val="VerbatimChar"/>
        </w:rPr>
        <w:t xml:space="preserve">Check, Variables, Lambdas</w:t>
      </w:r>
      <w:r>
        <w:t xml:space="preserve">) must show PASS.</w:t>
      </w:r>
    </w:p>
    <w:p>
      <w:pPr>
        <w:numPr>
          <w:ilvl w:val="0"/>
          <w:numId w:val="1001"/>
        </w:numPr>
        <w:pStyle w:val="Compact"/>
      </w:pPr>
      <w:r>
        <w:rPr>
          <w:bCs/>
          <w:b/>
        </w:rPr>
        <w:t xml:space="preserve">Read the results:</w:t>
      </w:r>
      <w:r>
        <w:t xml:space="preserve"> </w:t>
      </w:r>
      <w:r>
        <w:rPr>
          <w:rStyle w:val="VerbatimChar"/>
        </w:rPr>
        <w:t xml:space="preserve">ScenarioCompare</w:t>
      </w:r>
      <w:r>
        <w:t xml:space="preserve"> </w:t>
      </w:r>
      <w:r>
        <w:t xml:space="preserve">(front tabs:</w:t>
      </w:r>
      <w:r>
        <w:t xml:space="preserve"> </w:t>
      </w:r>
      <w:r>
        <w:rPr>
          <w:rStyle w:val="VerbatimChar"/>
        </w:rPr>
        <w:t xml:space="preserve">Cover</w:t>
      </w:r>
      <w:r>
        <w:t xml:space="preserve">,</w:t>
      </w:r>
      <w:r>
        <w:t xml:space="preserve"> </w:t>
      </w:r>
      <w:r>
        <w:rPr>
          <w:rStyle w:val="VerbatimChar"/>
        </w:rPr>
        <w:t xml:space="preserve">ScenarioCompare</w:t>
      </w:r>
      <w:r>
        <w:t xml:space="preserve">,</w:t>
      </w:r>
      <w:r>
        <w:t xml:space="preserve"> </w:t>
      </w:r>
      <w:r>
        <w:rPr>
          <w:rStyle w:val="VerbatimChar"/>
        </w:rPr>
        <w:t xml:space="preserve">ScenarioDefinition</w:t>
      </w:r>
      <w:r>
        <w:t xml:space="preserve">). Choose</w:t>
      </w:r>
      <w:r>
        <w:t xml:space="preserve"> </w:t>
      </w:r>
      <w:r>
        <w:rPr>
          <w:bCs/>
          <w:b/>
        </w:rPr>
        <w:t xml:space="preserve">Results from</w:t>
      </w:r>
      <w:r>
        <w:t xml:space="preserve"> </w:t>
      </w:r>
      <w:r>
        <w:t xml:space="preserve">Stored (</w:t>
      </w:r>
      <w:r>
        <w:rPr>
          <w:rStyle w:val="VerbatimChar"/>
        </w:rPr>
        <w:t xml:space="preserve">StoredOutputs</w:t>
      </w:r>
      <w:r>
        <w:t xml:space="preserve">, every stored scenario) or Live (</w:t>
      </w:r>
      <w:r>
        <w:rPr>
          <w:rStyle w:val="VerbatimChar"/>
        </w:rPr>
        <w:t xml:space="preserve">LiveOutputs</w:t>
      </w:r>
      <w:r>
        <w:t xml:space="preserve">, the scenario groups of Mitigation), the year, then Recalculate now. The key table shows energy CO2, GHGs, revenue, the GDP effect and net welfare against the baseline (level, difference, % difference); a bar chart compares CO2; four time-series tables have their chart beside them, and the title of each is a dropdown of the indicators. Only scenarios with results appear in the charts.</w:t>
      </w:r>
      <w:r>
        <w:t xml:space="preserve"> </w:t>
      </w:r>
      <w:r>
        <w:rPr>
          <w:rStyle w:val="VerbatimChar"/>
        </w:rPr>
        <w:t xml:space="preserve">Mitigation</w:t>
      </w:r>
      <w:r>
        <w:t xml:space="preserve"> </w:t>
      </w:r>
      <w:r>
        <w:t xml:space="preserve">has two scenario groups: 1 = baseline (plain formulas), 2 = the live policy scenario (named LAMBDAs); more by copy-paste of group 2.</w:t>
      </w:r>
    </w:p>
    <w:p>
      <w:pPr>
        <w:numPr>
          <w:ilvl w:val="0"/>
          <w:numId w:val="1001"/>
        </w:numPr>
        <w:pStyle w:val="Compact"/>
      </w:pPr>
      <w:r>
        <w:rPr>
          <w:bCs/>
          <w:b/>
        </w:rPr>
        <w:t xml:space="preserve">Change a policy:</w:t>
      </w:r>
      <w:r>
        <w:t xml:space="preserve"> </w:t>
      </w:r>
      <w:r>
        <w:t xml:space="preserve">on</w:t>
      </w:r>
      <w:r>
        <w:t xml:space="preserve"> </w:t>
      </w:r>
      <w:r>
        <w:rPr>
          <w:rStyle w:val="VerbatimChar"/>
        </w:rPr>
        <w:t xml:space="preserve">ScenarioDefinition</w:t>
      </w:r>
      <w:r>
        <w:t xml:space="preserve">, column K is the live scenario. Change, for example,</w:t>
      </w:r>
      <w:r>
        <w:t xml:space="preserve"> </w:t>
      </w:r>
      <w:r>
        <w:rPr>
          <w:rStyle w:val="VerbatimChar"/>
        </w:rPr>
        <w:t xml:space="preserve">CPLevelTarget</w:t>
      </w:r>
      <w:r>
        <w:t xml:space="preserve"> </w:t>
      </w:r>
      <w:r>
        <w:t xml:space="preserve">(carbon price in the target year); scenario 2 recalculates.</w:t>
      </w:r>
    </w:p>
    <w:p>
      <w:pPr>
        <w:numPr>
          <w:ilvl w:val="0"/>
          <w:numId w:val="1001"/>
        </w:numPr>
        <w:pStyle w:val="Compact"/>
      </w:pPr>
      <w:r>
        <w:rPr>
          <w:bCs/>
          <w:b/>
        </w:rPr>
        <w:t xml:space="preserve">Power policies and settings:</w:t>
      </w:r>
      <w:r>
        <w:t xml:space="preserve"> </w:t>
      </w:r>
      <w:r>
        <w:t xml:space="preserve">every power input on ScenarioDefinition (rows 242, 262, 342-415 and 482) is read in each scenario’s own column, e.g. no new coal (</w:t>
      </w:r>
      <w:r>
        <w:rPr>
          <w:rStyle w:val="VerbatimChar"/>
        </w:rPr>
        <w:t xml:space="preserve">NewInvCoa</w:t>
      </w:r>
      <w:r>
        <w:t xml:space="preserve"> </w:t>
      </w:r>
      <w:r>
        <w:t xml:space="preserve">= No), nuclear from 2030 (</w:t>
      </w:r>
      <w:r>
        <w:rPr>
          <w:rStyle w:val="VerbatimChar"/>
        </w:rPr>
        <w:t xml:space="preserve">NewInvNuc</w:t>
      </w:r>
      <w:r>
        <w:t xml:space="preserve"> </w:t>
      </w:r>
      <w:r>
        <w:t xml:space="preserve">= Yes,</w:t>
      </w:r>
      <w:r>
        <w:t xml:space="preserve"> </w:t>
      </w:r>
      <w:r>
        <w:rPr>
          <w:rStyle w:val="VerbatimChar"/>
        </w:rPr>
        <w:t xml:space="preserve">NewInvNucYear</w:t>
      </w:r>
      <w:r>
        <w:t xml:space="preserve">), PPAs (</w:t>
      </w:r>
      <w:r>
        <w:rPr>
          <w:rStyle w:val="VerbatimChar"/>
        </w:rPr>
        <w:t xml:space="preserve">PPAProportionCoalGas</w:t>
      </w:r>
      <w:r>
        <w:t xml:space="preserve">, rows 382-386), renewable subsidies (rows 354-357 and 482), rebating power revenues (</w:t>
      </w:r>
      <w:r>
        <w:rPr>
          <w:rStyle w:val="VerbatimChar"/>
        </w:rPr>
        <w:t xml:space="preserve">PowerRebates</w:t>
      </w:r>
      <w:r>
        <w:t xml:space="preserve">), the electricity excise (</w:t>
      </w:r>
      <w:r>
        <w:rPr>
          <w:rStyle w:val="VerbatimChar"/>
        </w:rPr>
        <w:t xml:space="preserve">ScenarioSelected</w:t>
      </w:r>
      <w:r>
        <w:t xml:space="preserve"> </w:t>
      </w:r>
      <w:r>
        <w:t xml:space="preserve">= Electricity excise; manual excise on</w:t>
      </w:r>
      <w:r>
        <w:t xml:space="preserve"> </w:t>
      </w:r>
      <w:r>
        <w:rPr>
          <w:rStyle w:val="VerbatimChar"/>
        </w:rPr>
        <w:t xml:space="preserve">Manual inputs</w:t>
      </w:r>
      <w:r>
        <w:t xml:space="preserve"> </w:t>
      </w:r>
      <w:r>
        <w:t xml:space="preserve">rows 161-162 with</w:t>
      </w:r>
      <w:r>
        <w:t xml:space="preserve"> </w:t>
      </w:r>
      <w:r>
        <w:rPr>
          <w:rStyle w:val="VerbatimChar"/>
        </w:rPr>
        <w:t xml:space="preserve">AdditionalExcise</w:t>
      </w:r>
      <w:r>
        <w:t xml:space="preserve"> </w:t>
      </w:r>
      <w:r>
        <w:t xml:space="preserve">= Yes). Technical inputs (WACC, capacity factors, storage, logit constants) can differ by scenario too, but scenario 1 stays the baseline of every scenario. The final investment deficit to gas is a global switch (</w:t>
      </w:r>
      <w:r>
        <w:rPr>
          <w:rStyle w:val="VerbatimChar"/>
        </w:rPr>
        <w:t xml:space="preserve">Settings</w:t>
      </w:r>
      <w:r>
        <w:t xml:space="preserve"> </w:t>
      </w:r>
      <w:r>
        <w:t xml:space="preserve">C45).</w:t>
      </w:r>
    </w:p>
    <w:p>
      <w:pPr>
        <w:numPr>
          <w:ilvl w:val="0"/>
          <w:numId w:val="1001"/>
        </w:numPr>
        <w:pStyle w:val="Compact"/>
      </w:pPr>
      <w:r>
        <w:rPr>
          <w:bCs/>
          <w:b/>
        </w:rPr>
        <w:t xml:space="preserve">Road transport:</w:t>
      </w:r>
      <w:r>
        <w:t xml:space="preserve"> </w:t>
      </w:r>
      <w:r>
        <w:t xml:space="preserve">set</w:t>
      </w:r>
      <w:r>
        <w:t xml:space="preserve"> </w:t>
      </w:r>
      <w:r>
        <w:rPr>
          <w:rStyle w:val="VerbatimChar"/>
        </w:rPr>
        <w:t xml:space="preserve">TrModel</w:t>
      </w:r>
      <w:r>
        <w:t xml:space="preserve"> </w:t>
      </w:r>
      <w:r>
        <w:t xml:space="preserve">on ScenarioDefinition (row 340) to Engineer to use the engineer road model of section 5b (vehicles, cost of ownership, EV choice) instead of the elasticity approach; its policies (feebates, distance tax, EV subsidies, purchase taxes, charging subsidies) are ScenarioDefinition rows 418-479.</w:t>
      </w:r>
    </w:p>
    <w:p>
      <w:pPr>
        <w:numPr>
          <w:ilvl w:val="0"/>
          <w:numId w:val="1001"/>
        </w:numPr>
        <w:pStyle w:val="Compact"/>
      </w:pPr>
      <w:r>
        <w:rPr>
          <w:bCs/>
          <w:b/>
        </w:rPr>
        <w:t xml:space="preserve">Inputs outside ScenarioDefinition:</w:t>
      </w:r>
      <w:r>
        <w:t xml:space="preserve"> </w:t>
      </w:r>
      <w:r>
        <w:t xml:space="preserve">tab</w:t>
      </w:r>
      <w:r>
        <w:t xml:space="preserve"> </w:t>
      </w:r>
      <w:r>
        <w:rPr>
          <w:rStyle w:val="VerbatimChar"/>
        </w:rPr>
        <w:t xml:space="preserve">Manual inputs</w:t>
      </w:r>
      <w:r>
        <w:t xml:space="preserve"> </w:t>
      </w:r>
      <w:r>
        <w:t xml:space="preserve">is the legacy tab of that name at its legacy addresses (paste the legacy tab from row 3). The note on each block’s title row says what reads it. The MVP reads: the ETS goal-seek settings (E10:E12), the price controls by fuel and sector when GovPriceControls = Manual (J167:J180), the methane fee scope by source (J196:J200), the manual international prices when IntEnerPricForeSource = Manual (rows 220-225), the manual fiscal multipliers (J261:U268), the non-energy GHG elasticities (K326:M327), the new electricity excise (J161:AF162, with AdditionalExcise) and the fuel economy of new BEVs of the engineer road model (rows 374-377). The other blocks are there, not read: features not built yet.</w:t>
      </w:r>
    </w:p>
    <w:p>
      <w:pPr>
        <w:numPr>
          <w:ilvl w:val="0"/>
          <w:numId w:val="1001"/>
        </w:numPr>
        <w:pStyle w:val="Compact"/>
      </w:pPr>
      <w:r>
        <w:rPr>
          <w:bCs/>
          <w:b/>
        </w:rPr>
        <w:t xml:space="preserve">Run many scenarios:</w:t>
      </w:r>
      <w:r>
        <w:t xml:space="preserve"> </w:t>
      </w:r>
      <w:r>
        <w:t xml:space="preserve">copy the last definition on</w:t>
      </w:r>
      <w:r>
        <w:t xml:space="preserve"> </w:t>
      </w:r>
      <w:r>
        <w:rPr>
          <w:rStyle w:val="VerbatimChar"/>
        </w:rPr>
        <w:t xml:space="preserve">ScenarioDefinition</w:t>
      </w:r>
      <w:r>
        <w:t xml:space="preserve"> </w:t>
      </w:r>
      <w:r>
        <w:t xml:space="preserve">(column N) one column right, give it a short name (row 2: the legend in the charts), edit it, set row 4 Run? = Yes, click</w:t>
      </w:r>
      <w:r>
        <w:t xml:space="preserve"> </w:t>
      </w:r>
      <w:r>
        <w:rPr>
          <w:bCs/>
          <w:b/>
        </w:rPr>
        <w:t xml:space="preserve">Run stored scenarios</w:t>
      </w:r>
      <w:r>
        <w:t xml:space="preserve"> </w:t>
      </w:r>
      <w:r>
        <w:t xml:space="preserve">on</w:t>
      </w:r>
      <w:r>
        <w:t xml:space="preserve"> </w:t>
      </w:r>
      <w:r>
        <w:rPr>
          <w:rStyle w:val="VerbatimChar"/>
        </w:rPr>
        <w:t xml:space="preserve">ScenarioCompare</w:t>
      </w:r>
      <w:r>
        <w:t xml:space="preserve">. Results go to</w:t>
      </w:r>
      <w:r>
        <w:t xml:space="preserve"> </w:t>
      </w:r>
      <w:r>
        <w:rPr>
          <w:rStyle w:val="VerbatimChar"/>
        </w:rPr>
        <w:t xml:space="preserve">StoredOutputs</w:t>
      </w:r>
      <w:r>
        <w:t xml:space="preserve"> </w:t>
      </w:r>
      <w:r>
        <w:t xml:space="preserve">(sorted: like variables together; every lookup finds rows by output code, so any order works); the dashboard shows up to 10 scenarios; blank scenario columns of ScenarioDefinition are grouped and collapsed.</w:t>
      </w:r>
    </w:p>
    <w:p>
      <w:pPr>
        <w:numPr>
          <w:ilvl w:val="0"/>
          <w:numId w:val="1001"/>
        </w:numPr>
        <w:pStyle w:val="Compact"/>
      </w:pPr>
      <w:r>
        <w:rPr>
          <w:bCs/>
          <w:b/>
        </w:rPr>
        <w:t xml:space="preserve">Linked data tables:</w:t>
      </w:r>
      <w:r>
        <w:t xml:space="preserve"> </w:t>
      </w:r>
      <w:r>
        <w:t xml:space="preserve">choose the data source on</w:t>
      </w:r>
      <w:r>
        <w:t xml:space="preserve"> </w:t>
      </w:r>
      <w:r>
        <w:rPr>
          <w:rStyle w:val="VerbatimChar"/>
        </w:rPr>
        <w:t xml:space="preserve">ScenarioCompare</w:t>
      </w:r>
      <w:r>
        <w:t xml:space="preserve"> </w:t>
      </w:r>
      <w:r>
        <w:t xml:space="preserve">(Embedded = the shipped data; Dummy - local file =</w:t>
      </w:r>
      <w:r>
        <w:t xml:space="preserve"> </w:t>
      </w:r>
      <w:r>
        <w:rPr>
          <w:rStyle w:val="VerbatimChar"/>
        </w:rPr>
        <w:t xml:space="preserve">data/workbooks/CPAT_Data_dummy_python.xlsx</w:t>
      </w:r>
      <w:r>
        <w:t xml:space="preserve">; Dummy - SharePoint) and click</w:t>
      </w:r>
      <w:r>
        <w:t xml:space="preserve"> </w:t>
      </w:r>
      <w:r>
        <w:rPr>
          <w:bCs/>
          <w:b/>
        </w:rPr>
        <w:t xml:space="preserve">Update data tables</w:t>
      </w:r>
      <w:r>
        <w:t xml:space="preserve">; the status is at the top of</w:t>
      </w:r>
      <w:r>
        <w:t xml:space="preserve"> </w:t>
      </w:r>
      <w:r>
        <w:rPr>
          <w:rStyle w:val="VerbatimChar"/>
        </w:rPr>
        <w:t xml:space="preserve">Cover</w:t>
      </w:r>
      <w:r>
        <w:t xml:space="preserve">. Nine tabs are linked (v7.1): Balances, EnergyCons, Prices_dom, HHSurvey, IO_GTAP and HH_Elast take the rows of the country (Settings C4); WEO, GDPRatios and UNPop take every row (other countries and regions are used). Each table is copied by column name, so the column order of the data workbook does not matter; the tab keeps its header row and formula columns; MVP columns missing in the table are reported, and with no rows the shipped data stay. The dummy data are fake values: use them to test the links, not for results.</w:t>
      </w:r>
    </w:p>
    <w:bookmarkEnd w:id="22"/>
    <w:bookmarkStart w:id="23" w:name="another-country"/>
    <w:p>
      <w:pPr>
        <w:pStyle w:val="Heading3"/>
      </w:pPr>
      <w:r>
        <w:t xml:space="preserve">Another country</w:t>
      </w:r>
    </w:p>
    <w:p>
      <w:pPr>
        <w:pStyle w:val="FirstParagraph"/>
      </w:pPr>
      <w:r>
        <w:t xml:space="preserve">Set</w:t>
      </w:r>
      <w:r>
        <w:t xml:space="preserve"> </w:t>
      </w:r>
      <w:r>
        <w:rPr>
          <w:rStyle w:val="VerbatimChar"/>
        </w:rPr>
        <w:t xml:space="preserve">Settings</w:t>
      </w:r>
      <w:r>
        <w:t xml:space="preserve"> </w:t>
      </w:r>
      <w:r>
        <w:t xml:space="preserve">C4 to its ISO code. The data tabs are the legacy tabs, and all but the proprietary ones already hold every country: power technology data (</w:t>
      </w:r>
      <w:r>
        <w:rPr>
          <w:rStyle w:val="VerbatimChar"/>
        </w:rPr>
        <w:t xml:space="preserve">Power</w:t>
      </w:r>
      <w:r>
        <w:t xml:space="preserve">), cost of capital (</w:t>
      </w:r>
      <w:r>
        <w:rPr>
          <w:rStyle w:val="VerbatimChar"/>
        </w:rPr>
        <w:t xml:space="preserve">CoC</w:t>
      </w:r>
      <w:r>
        <w:t xml:space="preserve">), GHG inventory and emission shocks (</w:t>
      </w:r>
      <w:r>
        <w:rPr>
          <w:rStyle w:val="VerbatimChar"/>
        </w:rPr>
        <w:t xml:space="preserve">GHGs</w:t>
      </w:r>
      <w:r>
        <w:t xml:space="preserve">), countries and regions, existing carbon pricing (</w:t>
      </w:r>
      <w:r>
        <w:rPr>
          <w:rStyle w:val="VerbatimChar"/>
        </w:rPr>
        <w:t xml:space="preserve">ECP</w:t>
      </w:r>
      <w:r>
        <w:t xml:space="preserve">), methane inputs, population, household shares of oil products (</w:t>
      </w:r>
      <w:r>
        <w:rPr>
          <w:rStyle w:val="VerbatimChar"/>
        </w:rPr>
        <w:t xml:space="preserve">OilProductShares</w:t>
      </w:r>
      <w:r>
        <w:t xml:space="preserve">, v4.12), international prices (</w:t>
      </w:r>
      <w:r>
        <w:rPr>
          <w:rStyle w:val="VerbatimChar"/>
        </w:rPr>
        <w:t xml:space="preserve">Prices_int</w:t>
      </w:r>
      <w:r>
        <w:t xml:space="preserve">), domestic prices (</w:t>
      </w:r>
      <w:r>
        <w:rPr>
          <w:rStyle w:val="VerbatimChar"/>
        </w:rPr>
        <w:t xml:space="preserve">Prices_dom</w:t>
      </w:r>
      <w:r>
        <w:t xml:space="preserve">, 220 countries), elasticities, ETS semi-elasticities (</w:t>
      </w:r>
      <w:r>
        <w:rPr>
          <w:rStyle w:val="VerbatimChar"/>
        </w:rPr>
        <w:t xml:space="preserve">ETS+LTS</w:t>
      </w:r>
      <w:r>
        <w:t xml:space="preserve">), GDP and deflators (</w:t>
      </w:r>
      <w:r>
        <w:rPr>
          <w:rStyle w:val="VerbatimChar"/>
        </w:rPr>
        <w:t xml:space="preserve">WEO</w:t>
      </w:r>
      <w:r>
        <w:t xml:space="preserve">), CO2 emission factors (</w:t>
      </w:r>
      <w:r>
        <w:rPr>
          <w:rStyle w:val="VerbatimChar"/>
        </w:rPr>
        <w:t xml:space="preserve">EF_GHG</w:t>
      </w:r>
      <w:r>
        <w:t xml:space="preserve">: country, else region, else world, as legacy), SCC, household elasticities, GDP ratios, road transport data, multipliers. What legacy Mitigation selects from them for the country (its elasticities, multipliers, WEO series, prices, carbon pricing, emission factors and power data) is computed on the</w:t>
      </w:r>
      <w:r>
        <w:t xml:space="preserve"> </w:t>
      </w:r>
      <w:r>
        <w:rPr>
          <w:rStyle w:val="VerbatimChar"/>
        </w:rPr>
        <w:t xml:space="preserve">Inputs</w:t>
      </w:r>
      <w:r>
        <w:t xml:space="preserve"> </w:t>
      </w:r>
      <w:r>
        <w:t xml:space="preserve">tab by formula, so it follows C4. The proprietary legacy tables hold Egypt only here; they are the legacy tables unchanged, so paste the full legacy data rows at A4:</w:t>
      </w:r>
      <w:r>
        <w:t xml:space="preserve"> </w:t>
      </w:r>
      <w:r>
        <w:rPr>
          <w:rStyle w:val="VerbatimChar"/>
        </w:rPr>
        <w:t xml:space="preserve">Balances</w:t>
      </w:r>
      <w:r>
        <w:t xml:space="preserve">,</w:t>
      </w:r>
      <w:r>
        <w:t xml:space="preserve"> </w:t>
      </w:r>
      <w:r>
        <w:rPr>
          <w:rStyle w:val="VerbatimChar"/>
        </w:rPr>
        <w:t xml:space="preserve">EnergyCons</w:t>
      </w:r>
      <w:r>
        <w:t xml:space="preserve">,</w:t>
      </w:r>
      <w:r>
        <w:t xml:space="preserve"> </w:t>
      </w:r>
      <w:r>
        <w:rPr>
          <w:rStyle w:val="VerbatimChar"/>
        </w:rPr>
        <w:t xml:space="preserve">EF_PM</w:t>
      </w:r>
      <w:r>
        <w:t xml:space="preserve">,</w:t>
      </w:r>
      <w:r>
        <w:t xml:space="preserve"> </w:t>
      </w:r>
      <w:r>
        <w:rPr>
          <w:rStyle w:val="VerbatimChar"/>
        </w:rPr>
        <w:t xml:space="preserve">IO_GTAP</w:t>
      </w:r>
      <w:r>
        <w:t xml:space="preserve">,</w:t>
      </w:r>
      <w:r>
        <w:t xml:space="preserve"> </w:t>
      </w:r>
      <w:r>
        <w:rPr>
          <w:rStyle w:val="VerbatimChar"/>
        </w:rPr>
        <w:t xml:space="preserve">HHSurvey</w:t>
      </w:r>
      <w:r>
        <w:t xml:space="preserve">,</w:t>
      </w:r>
      <w:r>
        <w:t xml:space="preserve"> </w:t>
      </w:r>
      <w:r>
        <w:rPr>
          <w:rStyle w:val="VerbatimChar"/>
        </w:rPr>
        <w:t xml:space="preserve">ASPIRE</w:t>
      </w:r>
      <w:r>
        <w:t xml:space="preserve">,</w:t>
      </w:r>
      <w:r>
        <w:t xml:space="preserve"> </w:t>
      </w:r>
      <w:r>
        <w:rPr>
          <w:rStyle w:val="VerbatimChar"/>
        </w:rPr>
        <w:t xml:space="preserve">WHOCooking</w:t>
      </w:r>
      <w:r>
        <w:t xml:space="preserve">. Tabs kept at legacy addresses (</w:t>
      </w:r>
      <w:r>
        <w:rPr>
          <w:rStyle w:val="VerbatimChar"/>
        </w:rPr>
        <w:t xml:space="preserve">Countries</w:t>
      </w:r>
      <w:r>
        <w:t xml:space="preserve">,</w:t>
      </w:r>
      <w:r>
        <w:t xml:space="preserve"> </w:t>
      </w:r>
      <w:r>
        <w:rPr>
          <w:rStyle w:val="VerbatimChar"/>
        </w:rPr>
        <w:t xml:space="preserve">Elasticities</w:t>
      </w:r>
      <w:r>
        <w:t xml:space="preserve">,</w:t>
      </w:r>
      <w:r>
        <w:t xml:space="preserve"> </w:t>
      </w:r>
      <w:r>
        <w:rPr>
          <w:rStyle w:val="VerbatimChar"/>
        </w:rPr>
        <w:t xml:space="preserve">ETS+LTS</w:t>
      </w:r>
      <w:r>
        <w:t xml:space="preserve">,</w:t>
      </w:r>
      <w:r>
        <w:t xml:space="preserve"> </w:t>
      </w:r>
      <w:r>
        <w:rPr>
          <w:rStyle w:val="VerbatimChar"/>
        </w:rPr>
        <w:t xml:space="preserve">Multipliers</w:t>
      </w:r>
      <w:r>
        <w:t xml:space="preserve">,</w:t>
      </w:r>
      <w:r>
        <w:t xml:space="preserve"> </w:t>
      </w:r>
      <w:r>
        <w:rPr>
          <w:rStyle w:val="VerbatimChar"/>
        </w:rPr>
        <w:t xml:space="preserve">Prices_int</w:t>
      </w:r>
      <w:r>
        <w:t xml:space="preserve">,</w:t>
      </w:r>
      <w:r>
        <w:t xml:space="preserve"> </w:t>
      </w:r>
      <w:r>
        <w:rPr>
          <w:rStyle w:val="VerbatimChar"/>
        </w:rPr>
        <w:t xml:space="preserve">ECP</w:t>
      </w:r>
      <w:r>
        <w:t xml:space="preserve">,</w:t>
      </w:r>
      <w:r>
        <w:t xml:space="preserve"> </w:t>
      </w:r>
      <w:r>
        <w:rPr>
          <w:rStyle w:val="VerbatimChar"/>
        </w:rPr>
        <w:t xml:space="preserve">Transport3</w:t>
      </w:r>
      <w:r>
        <w:t xml:space="preserve">,</w:t>
      </w:r>
      <w:r>
        <w:t xml:space="preserve"> </w:t>
      </w:r>
      <w:r>
        <w:rPr>
          <w:rStyle w:val="VerbatimChar"/>
        </w:rPr>
        <w:t xml:space="preserve">Power</w:t>
      </w:r>
      <w:r>
        <w:t xml:space="preserve">,</w:t>
      </w:r>
      <w:r>
        <w:t xml:space="preserve"> </w:t>
      </w:r>
      <w:r>
        <w:rPr>
          <w:rStyle w:val="VerbatimChar"/>
        </w:rPr>
        <w:t xml:space="preserve">CoC</w:t>
      </w:r>
      <w:r>
        <w:t xml:space="preserve">,</w:t>
      </w:r>
      <w:r>
        <w:t xml:space="preserve"> </w:t>
      </w:r>
      <w:r>
        <w:rPr>
          <w:rStyle w:val="VerbatimChar"/>
        </w:rPr>
        <w:t xml:space="preserve">GHGs</w:t>
      </w:r>
      <w:r>
        <w:t xml:space="preserve">) take the legacy tab pasted from row 3. The baseline CO2 by ETS sector (</w:t>
      </w:r>
      <w:r>
        <w:rPr>
          <w:rStyle w:val="VerbatimChar"/>
        </w:rPr>
        <w:t xml:space="preserve">BaselineCO2</w:t>
      </w:r>
      <w:r>
        <w:t xml:space="preserve">, behind the CO2 calibration, on as legacy since v4.11) is scenario-1 output stored as values: rebuild with</w:t>
      </w:r>
      <w:r>
        <w:t xml:space="preserve"> </w:t>
      </w:r>
      <w:r>
        <w:rPr>
          <w:rStyle w:val="VerbatimChar"/>
        </w:rPr>
        <w:t xml:space="preserve">COUNTRY</w:t>
      </w:r>
      <w:r>
        <w:t xml:space="preserve"> </w:t>
      </w:r>
      <w:r>
        <w:t xml:space="preserve">in</w:t>
      </w:r>
      <w:r>
        <w:t xml:space="preserve"> </w:t>
      </w:r>
      <w:r>
        <w:rPr>
          <w:rStyle w:val="VerbatimChar"/>
        </w:rPr>
        <w:t xml:space="preserve">build_v7_1.py</w:t>
      </w:r>
      <w:r>
        <w:t xml:space="preserve">, or paste the country’s scenario-1 values under its key. Tab by tab:</w:t>
      </w:r>
      <w:r>
        <w:t xml:space="preserve"> </w:t>
      </w:r>
      <w:r>
        <w:rPr>
          <w:rStyle w:val="VerbatimChar"/>
        </w:rPr>
        <w:t xml:space="preserve">DataTabs_v7_0.md</w:t>
      </w:r>
      <w:r>
        <w:t xml:space="preserve">. A missing row shows as #N/A, never as another country’s number.</w:t>
      </w:r>
    </w:p>
    <w:bookmarkEnd w:id="23"/>
    <w:bookmarkStart w:id="24" w:name="where-to-read-more"/>
    <w:p>
      <w:pPr>
        <w:pStyle w:val="Heading3"/>
      </w:pPr>
      <w:r>
        <w:t xml:space="preserve">Where to read more</w:t>
      </w:r>
    </w:p>
    <w:p>
      <w:pPr>
        <w:numPr>
          <w:ilvl w:val="0"/>
          <w:numId w:val="1002"/>
        </w:numPr>
        <w:pStyle w:val="Compact"/>
      </w:pPr>
      <w:r>
        <w:rPr>
          <w:bCs/>
          <w:b/>
        </w:rPr>
        <w:t xml:space="preserve">The model in equations:</w:t>
      </w:r>
      <w:r>
        <w:t xml:space="preserve"> </w:t>
      </w:r>
      <w:r>
        <w:rPr>
          <w:rStyle w:val="VerbatimChar"/>
        </w:rPr>
        <w:t xml:space="preserve">Equations_v7_0.md</w:t>
      </w:r>
      <w:r>
        <w:t xml:space="preserve">.</w:t>
      </w:r>
    </w:p>
    <w:p>
      <w:pPr>
        <w:numPr>
          <w:ilvl w:val="0"/>
          <w:numId w:val="1002"/>
        </w:numPr>
        <w:pStyle w:val="Compact"/>
      </w:pPr>
      <w:r>
        <w:rPr>
          <w:bCs/>
          <w:b/>
        </w:rPr>
        <w:t xml:space="preserve">What is and is not replicated from legacy:</w:t>
      </w:r>
      <w:r>
        <w:t xml:space="preserve"> </w:t>
      </w:r>
      <w:r>
        <w:rPr>
          <w:rStyle w:val="VerbatimChar"/>
        </w:rPr>
        <w:t xml:space="preserve">excel_ai/BUGS.md</w:t>
      </w:r>
      <w:r>
        <w:t xml:space="preserve"> </w:t>
      </w:r>
      <w:r>
        <w:t xml:space="preserve">(legacy bugs the MVP fixes, and the few departures that are not bug fixes) and</w:t>
      </w:r>
      <w:r>
        <w:t xml:space="preserve"> </w:t>
      </w:r>
      <w:r>
        <w:rPr>
          <w:rStyle w:val="VerbatimChar"/>
        </w:rPr>
        <w:t xml:space="preserve">excel_ai/ISSUES.md</w:t>
      </w:r>
      <w:r>
        <w:t xml:space="preserve"> </w:t>
      </w:r>
      <w:r>
        <w:t xml:space="preserve">(legacy issues the MVP copies on purpose, tracked). Bug fixes for the legacy team:</w:t>
      </w:r>
      <w:r>
        <w:t xml:space="preserve"> </w:t>
      </w:r>
      <w:r>
        <w:rPr>
          <w:rStyle w:val="VerbatimChar"/>
        </w:rPr>
        <w:t xml:space="preserve">LegacyBugFixes_v7_0.md</w:t>
      </w:r>
      <w:r>
        <w:t xml:space="preserve">.</w:t>
      </w:r>
    </w:p>
    <w:p>
      <w:pPr>
        <w:numPr>
          <w:ilvl w:val="0"/>
          <w:numId w:val="1002"/>
        </w:numPr>
        <w:pStyle w:val="Compact"/>
      </w:pPr>
      <w:r>
        <w:rPr>
          <w:bCs/>
          <w:b/>
        </w:rPr>
        <w:t xml:space="preserve">How each part works and why:</w:t>
      </w:r>
      <w:r>
        <w:t xml:space="preserve"> </w:t>
      </w:r>
      <w:r>
        <w:t xml:space="preserve">the method notes (chapters of this documentation).</w:t>
      </w:r>
    </w:p>
    <w:p>
      <w:pPr>
        <w:numPr>
          <w:ilvl w:val="0"/>
          <w:numId w:val="1002"/>
        </w:numPr>
        <w:pStyle w:val="Compact"/>
      </w:pPr>
      <w:r>
        <w:rPr>
          <w:bCs/>
          <w:b/>
        </w:rPr>
        <w:t xml:space="preserve">Every formula of the workbook:</w:t>
      </w:r>
      <w:r>
        <w:t xml:space="preserve"> </w:t>
      </w:r>
      <w:r>
        <w:rPr>
          <w:rStyle w:val="VerbatimChar"/>
        </w:rPr>
        <w:t xml:space="preserve">Formulas_v7_0.md</w:t>
      </w:r>
      <w:r>
        <w:t xml:space="preserve">.</w:t>
      </w:r>
    </w:p>
    <w:p>
      <w:pPr>
        <w:numPr>
          <w:ilvl w:val="0"/>
          <w:numId w:val="1002"/>
        </w:numPr>
        <w:pStyle w:val="Compact"/>
      </w:pPr>
      <w:r>
        <w:rPr>
          <w:bCs/>
          <w:b/>
        </w:rPr>
        <w:t xml:space="preserve">Inside the workbook:</w:t>
      </w:r>
      <w:r>
        <w:t xml:space="preserve"> </w:t>
      </w:r>
      <w:r>
        <w:t xml:space="preserve">tab</w:t>
      </w:r>
      <w:r>
        <w:t xml:space="preserve"> </w:t>
      </w:r>
      <w:r>
        <w:rPr>
          <w:rStyle w:val="VerbatimChar"/>
        </w:rPr>
        <w:t xml:space="preserve">Cover</w:t>
      </w:r>
      <w:r>
        <w:t xml:space="preserve"> </w:t>
      </w:r>
      <w:r>
        <w:t xml:space="preserve">(status of the linked data tables, contents, colours), tab</w:t>
      </w:r>
      <w:r>
        <w:t xml:space="preserve"> </w:t>
      </w:r>
      <w:r>
        <w:rPr>
          <w:rStyle w:val="VerbatimChar"/>
        </w:rPr>
        <w:t xml:space="preserve">ScenarioCompare</w:t>
      </w:r>
      <w:r>
        <w:t xml:space="preserve"> </w:t>
      </w:r>
      <w:r>
        <w:t xml:space="preserve">(the dashboard: every user entry, the core buttons and the others, the comparison and its charts), tab</w:t>
      </w:r>
      <w:r>
        <w:t xml:space="preserve"> </w:t>
      </w:r>
      <w:r>
        <w:rPr>
          <w:rStyle w:val="VerbatimChar"/>
        </w:rPr>
        <w:t xml:space="preserve">Version Log, About, and Diff</w:t>
      </w:r>
      <w:r>
        <w:t xml:space="preserve"> </w:t>
      </w:r>
      <w:r>
        <w:t xml:space="preserve">(version log, about this workbook, every difference with legacy CPAT) and tab</w:t>
      </w:r>
      <w:r>
        <w:t xml:space="preserve"> </w:t>
      </w:r>
      <w:r>
        <w:rPr>
          <w:rStyle w:val="VerbatimChar"/>
        </w:rPr>
        <w:t xml:space="preserve">Check, Variables, Lambdas</w:t>
      </w:r>
      <w:r>
        <w:t xml:space="preserve"> </w:t>
      </w:r>
      <w:r>
        <w:t xml:space="preserve">(MacroCheck report, variable dictionary, LAMBDA library). Inputs:</w:t>
      </w:r>
      <w:r>
        <w:t xml:space="preserve"> </w:t>
      </w:r>
      <w:r>
        <w:rPr>
          <w:rStyle w:val="VerbatimChar"/>
        </w:rPr>
        <w:t xml:space="preserve">ScenarioDefinition</w:t>
      </w:r>
      <w:r>
        <w:t xml:space="preserve"> </w:t>
      </w:r>
      <w:r>
        <w:t xml:space="preserve">(scenarios),</w:t>
      </w:r>
      <w:r>
        <w:t xml:space="preserve"> </w:t>
      </w:r>
      <w:r>
        <w:rPr>
          <w:rStyle w:val="VerbatimChar"/>
        </w:rPr>
        <w:t xml:space="preserve">Manual inputs</w:t>
      </w:r>
      <w:r>
        <w:t xml:space="preserve"> </w:t>
      </w:r>
      <w:r>
        <w:t xml:space="preserve">(the legacy tab at its legacy addresses),</w:t>
      </w:r>
      <w:r>
        <w:t xml:space="preserve"> </w:t>
      </w:r>
      <w:r>
        <w:rPr>
          <w:rStyle w:val="VerbatimChar"/>
        </w:rPr>
        <w:t xml:space="preserve">Settings</w:t>
      </w:r>
      <w:r>
        <w:t xml:space="preserve"> </w:t>
      </w:r>
      <w:r>
        <w:t xml:space="preserve">(settings, constants, mappings),</w:t>
      </w:r>
      <w:r>
        <w:t xml:space="preserve"> </w:t>
      </w:r>
      <w:r>
        <w:rPr>
          <w:rStyle w:val="VerbatimChar"/>
        </w:rPr>
        <w:t xml:space="preserve">Inputs</w:t>
      </w:r>
      <w:r>
        <w:t xml:space="preserve"> </w:t>
      </w:r>
      <w:r>
        <w:t xml:space="preserve">(data step: fuel, price and power tables); data sheets follow; the reference tabs are last.</w:t>
      </w:r>
    </w:p>
    <w:p>
      <w:pPr>
        <w:numPr>
          <w:ilvl w:val="0"/>
          <w:numId w:val="1002"/>
        </w:numPr>
        <w:pStyle w:val="Compact"/>
      </w:pPr>
      <w:r>
        <w:rPr>
          <w:bCs/>
          <w:b/>
        </w:rPr>
        <w:t xml:space="preserve">Full register of bugs, issues and upgrades:</w:t>
      </w:r>
      <w:r>
        <w:t xml:space="preserve"> </w:t>
      </w:r>
      <w:r>
        <w:rPr>
          <w:rStyle w:val="VerbatimChar"/>
        </w:rPr>
        <w:t xml:space="preserve">documentation/CPAT-AI-Mitigation-MVP_BugsAndIssues_v7.2.docx</w:t>
      </w:r>
      <w:r>
        <w:t xml:space="preserve">.</w:t>
      </w:r>
    </w:p>
    <w:p>
      <w:pPr>
        <w:numPr>
          <w:ilvl w:val="0"/>
          <w:numId w:val="1002"/>
        </w:numPr>
        <w:pStyle w:val="Compact"/>
      </w:pPr>
      <w:r>
        <w:rPr>
          <w:bCs/>
          <w:b/>
        </w:rPr>
        <w:t xml:space="preserve">Map of the repository:</w:t>
      </w:r>
      <w:r>
        <w:t xml:space="preserve"> </w:t>
      </w:r>
      <w:r>
        <w:t xml:space="preserve">the root</w:t>
      </w:r>
      <w:r>
        <w:t xml:space="preserve"> </w:t>
      </w:r>
      <w:r>
        <w:rPr>
          <w:rStyle w:val="VerbatimChar"/>
        </w:rPr>
        <w:t xml:space="preserve">README.md</w:t>
      </w:r>
      <w:r>
        <w:t xml:space="preserve"> </w:t>
      </w:r>
      <w:r>
        <w:t xml:space="preserve">and</w:t>
      </w:r>
      <w:r>
        <w:t xml:space="preserve"> </w:t>
      </w:r>
      <w:r>
        <w:rPr>
          <w:rStyle w:val="VerbatimChar"/>
        </w:rPr>
        <w:t xml:space="preserve">excel_ai/mitigation/README.md</w:t>
      </w:r>
      <w:r>
        <w:t xml:space="preserve">.</w:t>
      </w:r>
    </w:p>
    <w:p>
      <w:pPr>
        <w:pStyle w:val="FirstParagraph"/>
      </w:pPr>
      <w:r>
        <w:rPr>
          <w:bCs/>
          <w:b/>
        </w:rPr>
        <w:t xml:space="preserve">Rebuild from source</w:t>
      </w:r>
      <w:r>
        <w:t xml:space="preserve"> </w:t>
      </w:r>
      <w:r>
        <w:t xml:space="preserve">(Python 3, LibreOffice):</w:t>
      </w:r>
      <w:r>
        <w:t xml:space="preserve"> </w:t>
      </w:r>
      <w:r>
        <w:rPr>
          <w:rStyle w:val="VerbatimChar"/>
        </w:rPr>
        <w:t xml:space="preserve">python build_v7_0.py</w:t>
      </w:r>
      <w:r>
        <w:t xml:space="preserve">, then</w:t>
      </w:r>
      <w:r>
        <w:t xml:space="preserve"> </w:t>
      </w:r>
      <w:r>
        <w:rPr>
          <w:rStyle w:val="VerbatimChar"/>
        </w:rPr>
        <w:t xml:space="preserve">python check_quick_v7_0.py</w:t>
      </w:r>
      <w:r>
        <w:t xml:space="preserve"> </w:t>
      </w:r>
      <w:r>
        <w:t xml:space="preserve">(and, on request, the full check</w:t>
      </w:r>
      <w:r>
        <w:t xml:space="preserve"> </w:t>
      </w:r>
      <w:r>
        <w:rPr>
          <w:rStyle w:val="VerbatimChar"/>
        </w:rPr>
        <w:t xml:space="preserve">python check_v7_0.py</w:t>
      </w:r>
      <w:r>
        <w:t xml:space="preserve"> </w:t>
      </w:r>
      <w:r>
        <w:t xml:space="preserve">which writes</w:t>
      </w:r>
      <w:r>
        <w:t xml:space="preserve"> </w:t>
      </w:r>
      <w:r>
        <w:rPr>
          <w:rStyle w:val="VerbatimChar"/>
        </w:rPr>
        <w:t xml:space="preserve">check_report_v7.0.md</w:t>
      </w:r>
      <w:r>
        <w:t xml:space="preserve"> </w:t>
      </w:r>
      <w:r>
        <w:t xml:space="preserve">and</w:t>
      </w:r>
      <w:r>
        <w:t xml:space="preserve"> </w:t>
      </w:r>
      <w:r>
        <w:rPr>
          <w:rStyle w:val="VerbatimChar"/>
        </w:rPr>
        <w:t xml:space="preserve">Formulas_v7_0.md</w:t>
      </w:r>
      <w:r>
        <w:t xml:space="preserve">), then the</w:t>
      </w:r>
      <w:r>
        <w:t xml:space="preserve"> </w:t>
      </w:r>
      <w:r>
        <w:rPr>
          <w:rStyle w:val="VerbatimChar"/>
        </w:rPr>
        <w:t xml:space="preserve">make_*</w:t>
      </w:r>
      <w:r>
        <w:t xml:space="preserve"> </w:t>
      </w:r>
      <w:r>
        <w:t xml:space="preserve">scripts for the documents and</w:t>
      </w:r>
      <w:r>
        <w:t xml:space="preserve"> </w:t>
      </w:r>
      <w:r>
        <w:rPr>
          <w:rStyle w:val="VerbatimChar"/>
        </w:rPr>
        <w:t xml:space="preserve">presentation/Old/build_deck_v4_0.js</w:t>
      </w:r>
      <w:r>
        <w:t xml:space="preserve"> </w:t>
      </w:r>
      <w:r>
        <w:t xml:space="preserve">for the overview deck (of v4.0).</w:t>
      </w:r>
    </w:p>
    <w:bookmarkEnd w:id="24"/>
    <w:bookmarkEnd w:id="25"/>
    <w:bookmarkStart w:id="41" w:name="the-model-in-equations"/>
    <w:p>
      <w:pPr>
        <w:pStyle w:val="Heading1"/>
      </w:pPr>
      <w:r>
        <w:t xml:space="preserve">The model in equations</w:t>
      </w:r>
    </w:p>
    <w:p>
      <w:pPr>
        <w:pStyle w:val="FirstParagraph"/>
      </w:pPr>
      <w:r>
        <w:rPr>
          <w:iCs/>
          <w:i/>
        </w:rPr>
        <w:t xml:space="preserve">Source:</w:t>
      </w:r>
      <w:r>
        <w:rPr>
          <w:iCs/>
          <w:i/>
        </w:rPr>
        <w:t xml:space="preserve"> </w:t>
      </w:r>
      <w:r>
        <w:rPr>
          <w:rStyle w:val="VerbatimChar"/>
          <w:iCs/>
          <w:i/>
        </w:rPr>
        <w:t xml:space="preserve">Equations_v7_0.md</w:t>
      </w:r>
      <w:r>
        <w:rPr>
          <w:iCs/>
          <w:i/>
        </w:rPr>
        <w:t xml:space="preserve">.</w:t>
      </w:r>
    </w:p>
    <w:p>
      <w:pPr>
        <w:pStyle w:val="BodyText"/>
      </w:pPr>
      <w:r>
        <w:t xml:space="preserve">CPAT-AI-Mitigation-MVP is a carbon-pricing mitigation model for one country at a time, built on the method of legacy CPAT. The country is a setting; every country-specific number comes from the reference tables (data sheets), looked up by the country code. It projects energy prices, fuel use by subsector and fuel, the power sector, government revenue, CO2 and other greenhouse gases, local air pollutants and the GDP effect of the revenue. The model runs year by year from the base year t₀ (a setting) to 2041. Each scenario is a group of year columns with the same equations and its own policy inputs: scenario 1 is the baseline, scenario 2 the live policy scenario. This note gives the equations in mathematical form, for the projection years.</w:t>
      </w:r>
      <w:r>
        <w:t xml:space="preserve"> </w:t>
      </w:r>
      <w:r>
        <w:rPr>
          <w:rStyle w:val="VerbatimChar"/>
        </w:rPr>
        <w:t xml:space="preserve">Formulas_v7_0.md</w:t>
      </w:r>
      <w:r>
        <w:t xml:space="preserve"> </w:t>
      </w:r>
      <w:r>
        <w:t xml:space="preserve">is the implementation reference: every workbook formula, its rows and lookups.</w:t>
      </w:r>
    </w:p>
    <w:bookmarkStart w:id="26" w:name="notation"/>
    <w:p>
      <w:pPr>
        <w:pStyle w:val="Heading3"/>
      </w:pPr>
      <w:r>
        <w:t xml:space="preserve">0. Notation</w:t>
      </w:r>
    </w:p>
    <w:p>
      <w:pPr>
        <w:pStyle w:val="FirstParagraph"/>
      </w:pPr>
      <w:r>
        <w:t xml:space="preserve">Index sets: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Index</w:t>
            </w:r>
          </w:p>
        </w:tc>
        <w:tc>
          <w:tcPr/>
          <w:p>
            <w:pPr>
              <w:pStyle w:val="Compact"/>
              <w:jc w:val="left"/>
            </w:pPr>
            <w:r>
              <w:t xml:space="preserve">Set</w:t>
            </w:r>
          </w:p>
        </w:tc>
      </w:tr>
      <w:tr>
        <w:tc>
          <w:tcPr/>
          <w:p>
            <w:pPr>
              <w:pStyle w:val="Compact"/>
              <w:jc w:val="left"/>
            </w:pPr>
            <w:r>
              <w:t xml:space="preserve">t</w:t>
            </w:r>
          </w:p>
        </w:tc>
        <w:tc>
          <w:tcPr/>
          <w:p>
            <w:pPr>
              <w:pStyle w:val="Compact"/>
              <w:jc w:val="left"/>
            </w:pPr>
            <w:r>
              <w:t xml:space="preserve">years t₀ (base year) to 2041</w:t>
            </w:r>
          </w:p>
        </w:tc>
      </w:tr>
      <w:tr>
        <w:tc>
          <w:tcPr/>
          <w:p>
            <w:pPr>
              <w:pStyle w:val="Compact"/>
              <w:jc w:val="left"/>
            </w:pPr>
            <w:r>
              <w:t xml:space="preserve">f</w:t>
            </w:r>
          </w:p>
        </w:tc>
        <w:tc>
          <w:tcPr/>
          <w:p>
            <w:pPr>
              <w:pStyle w:val="Compact"/>
              <w:jc w:val="left"/>
            </w:pPr>
            <w:r>
              <w:t xml:space="preserve">fuels: coal, natural gas, gasoline, diesel, LPG, kerosene, other oil products, biomass (8)</w:t>
            </w:r>
          </w:p>
        </w:tc>
      </w:tr>
      <w:tr>
        <w:tc>
          <w:tcPr/>
          <w:p>
            <w:pPr>
              <w:pStyle w:val="Compact"/>
              <w:jc w:val="left"/>
            </w:pPr>
            <w:r>
              <w:t xml:space="preserve">s</w:t>
            </w:r>
          </w:p>
        </w:tc>
        <w:tc>
          <w:tcPr/>
          <w:p>
            <w:pPr>
              <w:pStyle w:val="Compact"/>
              <w:jc w:val="left"/>
            </w:pPr>
            <w:r>
              <w:t xml:space="preserve">subsectors (16): road, rail, domestic aviation, domestic navigation; residential, food &amp; forestry, services; mining &amp; chemicals, iron &amp; steel, other metals, machinery, cement, other manufacturing, construction, fuel transformation; other energy use</w:t>
            </w:r>
          </w:p>
        </w:tc>
      </w:tr>
      <w:tr>
        <w:tc>
          <w:tcPr/>
          <w:p>
            <w:pPr>
              <w:pStyle w:val="Compact"/>
              <w:jc w:val="left"/>
            </w:pPr>
            <w:r>
              <w:t xml:space="preserve">S</w:t>
            </w:r>
          </w:p>
        </w:tc>
        <w:tc>
          <w:tcPr/>
          <w:p>
            <w:pPr>
              <w:pStyle w:val="Compact"/>
              <w:jc w:val="left"/>
            </w:pPr>
            <w:r>
              <w:t xml:space="preserve">sectors: transport, buildings, industry, other energy use (groups of s); power is separate</w:t>
            </w:r>
          </w:p>
        </w:tc>
      </w:tr>
      <w:tr>
        <w:tc>
          <w:tcPr/>
          <w:p>
            <w:pPr>
              <w:pStyle w:val="Compact"/>
              <w:jc w:val="left"/>
            </w:pPr>
            <w:r>
              <w:t xml:space="preserve">e</w:t>
            </w:r>
          </w:p>
        </w:tc>
        <w:tc>
          <w:tcPr/>
          <w:p>
            <w:pPr>
              <w:pStyle w:val="Compact"/>
              <w:jc w:val="left"/>
            </w:pPr>
            <w:r>
              <w:t xml:space="preserve">ETS and coverage sectors: power and the 16 subsectors (17)</w:t>
            </w:r>
          </w:p>
        </w:tc>
      </w:tr>
      <w:tr>
        <w:tc>
          <w:tcPr/>
          <w:p>
            <w:pPr>
              <w:pStyle w:val="Compact"/>
              <w:jc w:val="left"/>
            </w:pPr>
            <w:r>
              <w:t xml:space="preserve">G(e)</w:t>
            </w:r>
          </w:p>
        </w:tc>
        <w:tc>
          <w:tcPr/>
          <w:p>
            <w:pPr>
              <w:pStyle w:val="Compact"/>
              <w:jc w:val="left"/>
            </w:pPr>
            <w:r>
              <w:t xml:space="preserve">sector group of feebates and ETS benchmarks: power, transport, residential (buildings), industry</w:t>
            </w:r>
          </w:p>
        </w:tc>
      </w:tr>
      <w:tr>
        <w:tc>
          <w:tcPr/>
          <w:p>
            <w:pPr>
              <w:pStyle w:val="Compact"/>
              <w:jc w:val="left"/>
            </w:pPr>
            <w:r>
              <w:t xml:space="preserve">c</w:t>
            </w:r>
          </w:p>
        </w:tc>
        <w:tc>
          <w:tcPr/>
          <w:p>
            <w:pPr>
              <w:pStyle w:val="Compact"/>
              <w:jc w:val="left"/>
            </w:pPr>
            <w:r>
              <w:t xml:space="preserve">price fuels (12): coal and gas for power, residential, industry; gasoline, diesel, LPG, kerosene, other oil products, biomass; c(f,s) is the price fuel of fuel f in subsector s</w:t>
            </w:r>
          </w:p>
        </w:tc>
      </w:tr>
      <w:tr>
        <w:tc>
          <w:tcPr/>
          <w:p>
            <w:pPr>
              <w:pStyle w:val="Compact"/>
              <w:jc w:val="left"/>
            </w:pPr>
            <w:r>
              <w:t xml:space="preserve">k</w:t>
            </w:r>
          </w:p>
        </w:tc>
        <w:tc>
          <w:tcPr/>
          <w:p>
            <w:pPr>
              <w:pStyle w:val="Compact"/>
              <w:jc w:val="left"/>
            </w:pPr>
            <w:r>
              <w:t xml:space="preserve">generation types (9): coal, gas, oil, nuclear, wind, solar, hydro, other renewables, biomass; CG = {coal, gas}</w:t>
            </w:r>
          </w:p>
        </w:tc>
      </w:tr>
      <w:tr>
        <w:tc>
          <w:tcPr/>
          <w:p>
            <w:pPr>
              <w:pStyle w:val="Compact"/>
              <w:jc w:val="left"/>
            </w:pPr>
            <w:r>
              <w:t xml:space="preserve">u</w:t>
            </w:r>
          </w:p>
        </w:tc>
        <w:tc>
          <w:tcPr/>
          <w:p>
            <w:pPr>
              <w:pStyle w:val="Compact"/>
              <w:jc w:val="left"/>
            </w:pPr>
            <w:r>
              <w:t xml:space="preserve">electricity user groups: residential, industry</w:t>
            </w:r>
          </w:p>
        </w:tc>
      </w:tr>
      <w:tr>
        <w:tc>
          <w:tcPr/>
          <w:p>
            <w:pPr>
              <w:pStyle w:val="Compact"/>
              <w:jc w:val="left"/>
            </w:pPr>
            <w:r>
              <w:t xml:space="preserve">d</w:t>
            </w:r>
          </w:p>
        </w:tc>
        <w:tc>
          <w:tcPr/>
          <w:p>
            <w:pPr>
              <w:pStyle w:val="Compact"/>
              <w:jc w:val="left"/>
            </w:pPr>
            <w:r>
              <w:t xml:space="preserve">electricity demand groups: transport, residential, industry, services; d(s) is the group of subsector s</w:t>
            </w:r>
          </w:p>
        </w:tc>
      </w:tr>
    </w:tbl>
    <w:p>
      <w:pPr>
        <w:pStyle w:val="BodyText"/>
      </w:pPr>
      <w:r>
        <w:t xml:space="preserve">Conventions:</w:t>
      </w:r>
    </w:p>
    <w:p>
      <w:pPr>
        <w:numPr>
          <w:ilvl w:val="0"/>
          <w:numId w:val="1003"/>
        </w:numPr>
        <w:pStyle w:val="Compact"/>
      </w:pPr>
      <w:r>
        <w:t xml:space="preserve">Every money value is in real US dollars of the results year R (scenario input). L is the last historical price year (setting). Y is the last GHG inventory year of the country (setting).</w:t>
      </w:r>
    </w:p>
    <w:p>
      <w:pPr>
        <w:numPr>
          <w:ilvl w:val="0"/>
          <w:numId w:val="1003"/>
        </w:numPr>
        <w:pStyle w:val="Compact"/>
      </w:pPr>
      <w:r>
        <w:t xml:space="preserve">X^(1)(t) is the value of X in scenario 1 in the same year. ΔX = X − X^(1).</w:t>
      </w:r>
    </w:p>
    <w:p>
      <w:pPr>
        <w:numPr>
          <w:ilvl w:val="0"/>
          <w:numId w:val="1003"/>
        </w:numPr>
        <w:pStyle w:val="Compact"/>
      </w:pPr>
      <w:r>
        <w:t xml:space="preserve">1[·] is 1 if the condition holds, else 0.</w:t>
      </w:r>
      <w:r>
        <w:t xml:space="preserve"> </w:t>
      </w:r>
      <w:r>
        <w:t xml:space="preserve">“</w:t>
      </w:r>
      <w:r>
        <w:t xml:space="preserve">Yes/No</w:t>
      </w:r>
      <w:r>
        <w:t xml:space="preserve">”</w:t>
      </w:r>
      <w:r>
        <w:t xml:space="preserve"> </w:t>
      </w:r>
      <w:r>
        <w:t xml:space="preserve">inputs are switches of the scenario.</w:t>
      </w:r>
    </w:p>
    <w:p>
      <w:pPr>
        <w:numPr>
          <w:ilvl w:val="0"/>
          <w:numId w:val="1003"/>
        </w:numPr>
        <w:pStyle w:val="Compact"/>
      </w:pPr>
      <w:r>
        <w:t xml:space="preserve">θ = PJ per ktoe. Fuel use is in ktoe, so fuel use × θ × ($/GJ) is USD million. Other unit constants: H = hours per year, θ_e = GJ per kWh, M = million kWh per MW-year (H × 10⁻³), θ_g = GWh per ktoe; 1000 converts t to kt and kt to Mt.</w:t>
      </w:r>
    </w:p>
    <w:p>
      <w:pPr>
        <w:numPr>
          <w:ilvl w:val="0"/>
          <w:numId w:val="1003"/>
        </w:numPr>
        <w:pStyle w:val="Compact"/>
      </w:pPr>
      <w:r>
        <w:t xml:space="preserve">Numbers in parentheses in the symbol tables are the default assumptions of sheet Constants or Settings, not country data.</w:t>
      </w:r>
    </w:p>
    <w:p>
      <w:pPr>
        <w:numPr>
          <w:ilvl w:val="0"/>
          <w:numId w:val="1003"/>
        </w:numPr>
        <w:pStyle w:val="Compact"/>
      </w:pPr>
      <w:r>
        <w:t xml:space="preserve">Linear policy path from x0 in year T0 to x1 in year T1, continued linearly (Λ) or held flat (Λ̄) after T1:</w:t>
      </w:r>
    </w:p>
    <w:p>
      <w:pPr>
        <w:pStyle w:val="SourceCode"/>
      </w:pPr>
      <w:r>
        <w:rPr>
          <w:rStyle w:val="VerbatimChar"/>
        </w:rPr>
        <w:t xml:space="preserve">Λ(t; T0,T1,x0,x1) = 0                                        if t &lt; T0</w:t>
      </w:r>
      <w:r>
        <w:br/>
      </w:r>
      <w:r>
        <w:rPr>
          <w:rStyle w:val="VerbatimChar"/>
        </w:rPr>
        <w:t xml:space="preserve">                  = x0 + (x1 − x0) · (t − T0) / max(T1 − T0, 1)  otherwise</w:t>
      </w:r>
      <w:r>
        <w:br/>
      </w:r>
      <w:r>
        <w:rPr>
          <w:rStyle w:val="VerbatimChar"/>
        </w:rPr>
        <w:t xml:space="preserve">Λ̄(t; T0,T1,x0,x1) = Λ(min(t,T1); T0,T1,x0,x1)</w:t>
      </w:r>
    </w:p>
    <w:p>
      <w:pPr>
        <w:pStyle w:val="FirstParagraph"/>
      </w:pPr>
      <w:r>
        <w:t xml:space="preserve">Each section lists its parameters and data. The computed variables, with units and workbook codes, are in the closing table.</w:t>
      </w:r>
    </w:p>
    <w:bookmarkEnd w:id="26"/>
    <w:bookmarkStart w:id="28" w:name="policies"/>
    <w:p>
      <w:pPr>
        <w:pStyle w:val="Heading3"/>
      </w:pPr>
      <w:r>
        <w:t xml:space="preserve">1. Policies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 (source)</w:t>
            </w:r>
          </w:p>
        </w:tc>
      </w:tr>
      <w:tr>
        <w:tc>
          <w:tcPr/>
          <w:p>
            <w:pPr>
              <w:pStyle w:val="Compact"/>
              <w:jc w:val="left"/>
            </w:pPr>
            <w:r>
              <w:t xml:space="preserve">ι(t), δ(t)</w:t>
            </w:r>
          </w:p>
        </w:tc>
        <w:tc>
          <w:tcPr/>
          <w:p>
            <w:pPr>
              <w:pStyle w:val="Compact"/>
              <w:jc w:val="left"/>
            </w:pPr>
            <w:r>
              <w:t xml:space="preserve">US CPI and US GDP deflator indices, = 1 in R (IMF WEO): ι(t) = CPI(R)/CPI(t), δ(t) = Defl(R)/Defl(t)</w:t>
            </w:r>
          </w:p>
        </w:tc>
      </w:tr>
      <w:tr>
        <w:tc>
          <w:tcPr/>
          <w:p>
            <w:pPr>
              <w:pStyle w:val="Compact"/>
              <w:jc w:val="left"/>
            </w:pPr>
            <w:r>
              <w:t xml:space="preserve">T0, T1, x0, x1</w:t>
            </w:r>
          </w:p>
        </w:tc>
        <w:tc>
          <w:tcPr/>
          <w:p>
            <w:pPr>
              <w:pStyle w:val="Compact"/>
              <w:jc w:val="left"/>
            </w:pPr>
            <w:r>
              <w:t xml:space="preserve">start and target year, start and target level of each policy (scenario inputs)</w:t>
            </w:r>
          </w:p>
        </w:tc>
      </w:tr>
      <w:tr>
        <w:tc>
          <w:tcPr/>
          <w:p>
            <w:pPr>
              <w:pStyle w:val="Compact"/>
              <w:jc w:val="left"/>
            </w:pPr>
            <w:r>
              <w:t xml:space="preserve">cov_e, cov_f</w:t>
            </w:r>
          </w:p>
        </w:tc>
        <w:tc>
          <w:tcPr/>
          <w:p>
            <w:pPr>
              <w:pStyle w:val="Compact"/>
              <w:jc w:val="left"/>
            </w:pPr>
            <w:r>
              <w:t xml:space="preserve">carbon tax coverage of sector e and of fuel f (switches; biomass covered, EF 0)</w:t>
            </w:r>
          </w:p>
        </w:tc>
      </w:tr>
      <w:tr>
        <w:tc>
          <w:tcPr/>
          <w:p>
            <w:pPr>
              <w:pStyle w:val="Compact"/>
              <w:jc w:val="left"/>
            </w:pPr>
            <w:r>
              <w:t xml:space="preserve">covE_e, fbcov_e</w:t>
            </w:r>
          </w:p>
        </w:tc>
        <w:tc>
          <w:tcPr/>
          <w:p>
            <w:pPr>
              <w:pStyle w:val="Compact"/>
              <w:jc w:val="left"/>
            </w:pPr>
            <w:r>
              <w:t xml:space="preserve">new ETS and feebate coverage of sector e (switches)</w:t>
            </w:r>
          </w:p>
        </w:tc>
      </w:tr>
      <w:tr>
        <w:tc>
          <w:tcPr/>
          <w:p>
            <w:pPr>
              <w:pStyle w:val="Compact"/>
              <w:jc w:val="left"/>
            </w:pPr>
            <w:r>
              <w:t xml:space="preserve">B0_G, B1_G</w:t>
            </w:r>
          </w:p>
        </w:tc>
        <w:tc>
          <w:tcPr/>
          <w:p>
            <w:pPr>
              <w:pStyle w:val="Compact"/>
              <w:jc w:val="left"/>
            </w:pPr>
            <w:r>
              <w:t xml:space="preserve">ETS benchmark (share of emission intensity allocated free) at start and target year (assumptions, sheet Constants)</w:t>
            </w:r>
          </w:p>
        </w:tc>
      </w:tr>
      <w:tr>
        <w:tc>
          <w:tcPr/>
          <w:p>
            <w:pPr>
              <w:pStyle w:val="Compact"/>
              <w:jc w:val="left"/>
            </w:pPr>
            <w:r>
              <w:t xml:space="preserve">σ_e</w:t>
            </w:r>
          </w:p>
        </w:tc>
        <w:tc>
          <w:tcPr/>
          <w:p>
            <w:pPr>
              <w:pStyle w:val="Compact"/>
              <w:jc w:val="left"/>
            </w:pPr>
            <w:r>
              <w:t xml:space="preserve">ETS semi-elasticity of emissions to the price (by country and sector group: power, transport, residential, industry; legacy ETS+LTS table)</w:t>
            </w:r>
          </w:p>
        </w:tc>
      </w:tr>
      <w:tr>
        <w:tc>
          <w:tcPr/>
          <w:p>
            <w:pPr>
              <w:pStyle w:val="Compact"/>
              <w:jc w:val="left"/>
            </w:pPr>
            <w:r>
              <w:t xml:space="preserve">ϑ</w:t>
            </w:r>
          </w:p>
        </w:tc>
        <w:tc>
          <w:tcPr/>
          <w:p>
            <w:pPr>
              <w:pStyle w:val="Compact"/>
              <w:jc w:val="left"/>
            </w:pPr>
            <w:r>
              <w:t xml:space="preserve">effectiveness of output-based allocation (setting)</w:t>
            </w:r>
          </w:p>
        </w:tc>
      </w:tr>
      <w:tr>
        <w:tc>
          <w:tcPr/>
          <w:p>
            <w:pPr>
              <w:pStyle w:val="Compact"/>
              <w:jc w:val="left"/>
            </w:pPr>
            <w:r>
              <w:t xml:space="preserve">vol, imp, risk</w:t>
            </w:r>
          </w:p>
        </w:tc>
        <w:tc>
          <w:tcPr/>
          <w:p>
            <w:pPr>
              <w:pStyle w:val="Compact"/>
              <w:jc w:val="left"/>
            </w:pPr>
            <w:r>
              <w:t xml:space="preserve">ETS price volatility, abatement-cost impact of volatility, carbon tax policy risk (scenario labels, Settings table)</w:t>
            </w:r>
          </w:p>
        </w:tc>
      </w:tr>
      <w:tr>
        <w:tc>
          <w:tcPr/>
          <w:p>
            <w:pPr>
              <w:pStyle w:val="Compact"/>
              <w:jc w:val="left"/>
            </w:pPr>
            <w:r>
              <w:t xml:space="preserve">CO2base_e</w:t>
            </w:r>
          </w:p>
        </w:tc>
        <w:tc>
          <w:tcPr/>
          <w:p>
            <w:pPr>
              <w:pStyle w:val="Compact"/>
              <w:jc w:val="left"/>
            </w:pPr>
            <w:r>
              <w:t xml:space="preserve">baseline CO2 by ETS sector: scenario-1 CO2 of section 6, held as data</w:t>
            </w:r>
          </w:p>
        </w:tc>
      </w:tr>
      <w:tr>
        <w:tc>
          <w:tcPr/>
          <w:p>
            <w:pPr>
              <w:pStyle w:val="Compact"/>
              <w:jc w:val="left"/>
            </w:pPr>
            <w:r>
              <w:t xml:space="preserve">a_ssc</w:t>
            </w:r>
          </w:p>
        </w:tc>
        <w:tc>
          <w:tcPr/>
          <w:p>
            <w:pPr>
              <w:pStyle w:val="Compact"/>
              <w:jc w:val="left"/>
            </w:pPr>
            <w:r>
              <w:t xml:space="preserve">share of the feebate shadow price on the efficiency margin (sheet Constants)</w:t>
            </w:r>
          </w:p>
        </w:tc>
      </w:tr>
      <w:tr>
        <w:tc>
          <w:tcPr/>
          <w:p>
            <w:pPr>
              <w:pStyle w:val="Compact"/>
              <w:jc w:val="left"/>
            </w:pPr>
            <w:r>
              <w:t xml:space="preserve">XT</w:t>
            </w:r>
            <w:hyperlink r:id="rId27">
              <w:r>
                <w:rPr>
                  <w:rStyle w:val="Hyperlink"/>
                </w:rPr>
                <w:t xml:space="preserve">j,f</w:t>
              </w:r>
            </w:hyperlink>
            <w:r>
              <w:t xml:space="preserve">, XE</w:t>
            </w:r>
            <w:hyperlink r:id="rId27">
              <w:r>
                <w:rPr>
                  <w:rStyle w:val="Hyperlink"/>
                </w:rPr>
                <w:t xml:space="preserve">j,f</w:t>
              </w:r>
            </w:hyperlink>
          </w:p>
        </w:tc>
        <w:tc>
          <w:tcPr/>
          <w:p>
            <w:pPr>
              <w:pStyle w:val="Compact"/>
              <w:jc w:val="left"/>
            </w:pPr>
            <w:r>
              <w:t xml:space="preserve">existing carbon tax and ETS of ECP sector j and fuel f in data year t, real $/tCO2 (sheet Inputs_ecp from the World Bank Carbon Pricing Dashboard and ICAP data of sheet ECP; v4.12, as legacy rows 1711-1764): XT = rate_f · scov_j · fcov_f, XE = p^nat · ncov_j · nfcov_f + p^EU · rcov_j · rfcov_f; Tx = last data year</w:t>
            </w:r>
          </w:p>
        </w:tc>
      </w:tr>
      <w:tr>
        <w:tc>
          <w:tcPr/>
          <w:p>
            <w:pPr>
              <w:pStyle w:val="Compact"/>
              <w:jc w:val="left"/>
            </w:pPr>
            <w:r>
              <w:t xml:space="preserve">γ^ct, γ^ets</w:t>
            </w:r>
          </w:p>
        </w:tc>
        <w:tc>
          <w:tcPr/>
          <w:p>
            <w:pPr>
              <w:pStyle w:val="Compact"/>
              <w:jc w:val="left"/>
            </w:pPr>
            <w:r>
              <w:t xml:space="preserve">assumed real growth of the existing carbon tax and ETS price after Tx</w:t>
            </w:r>
          </w:p>
        </w:tc>
      </w:tr>
      <w:tr>
        <w:tc>
          <w:tcPr/>
          <w:p>
            <w:pPr>
              <w:pStyle w:val="Compact"/>
              <w:jc w:val="left"/>
            </w:pPr>
            <w:r>
              <w:t xml:space="preserve">xcov_e</w:t>
            </w:r>
          </w:p>
        </w:tc>
        <w:tc>
          <w:tcPr/>
          <w:p>
            <w:pPr>
              <w:pStyle w:val="Compact"/>
              <w:jc w:val="left"/>
            </w:pPr>
            <w:r>
              <w:t xml:space="preserve">national existing ETS coverage of sector e in the year (data year min(t, Tx))</w:t>
            </w:r>
          </w:p>
        </w:tc>
      </w:tr>
      <w:tr>
        <w:tc>
          <w:tcPr/>
          <w:p>
            <w:pPr>
              <w:pStyle w:val="Compact"/>
              <w:jc w:val="left"/>
            </w:pPr>
            <w:r>
              <w:t xml:space="preserve">ex</w:t>
            </w:r>
          </w:p>
        </w:tc>
        <w:tc>
          <w:tcPr/>
          <w:p>
            <w:pPr>
              <w:pStyle w:val="Compact"/>
              <w:jc w:val="left"/>
            </w:pPr>
            <w:r>
              <w:t xml:space="preserve">residential LPG and kerosene always exempted (switch AlwaysExemptResLPGKer, by scenario; legacy rows 5546-5547)</w:t>
            </w:r>
          </w:p>
        </w:tc>
      </w:tr>
    </w:tbl>
    <w:p>
      <w:pPr>
        <w:pStyle w:val="SourceCode"/>
      </w:pPr>
      <w:r>
        <w:rPr>
          <w:rStyle w:val="VerbatimChar"/>
        </w:rPr>
        <w:t xml:space="preserve">E1   carbon price:          τ(t) = Λ(t; T0,T1,x0,x1) · ν(t)    (Λ̄ unless the path continues "Linear")</w:t>
      </w:r>
      <w:r>
        <w:br/>
      </w:r>
      <w:r>
        <w:rPr>
          <w:rStyle w:val="VerbatimChar"/>
        </w:rPr>
        <w:t xml:space="preserve">                            ν(t) = ι(t) if the inputs are nominal, else 1</w:t>
      </w:r>
      <w:r>
        <w:br/>
      </w:r>
      <w:r>
        <w:rPr>
          <w:rStyle w:val="VerbatimChar"/>
        </w:rPr>
        <w:t xml:space="preserve">E2   fuel price reform:     F_c(t) = Λ(t; T0^F,T1^F,F0_c,F1_c)                       (price units of c)</w:t>
      </w:r>
      <w:r>
        <w:br/>
      </w:r>
      <w:r>
        <w:rPr>
          <w:rStyle w:val="VerbatimChar"/>
        </w:rPr>
        <w:t xml:space="preserve">E3   feebate rate:          b_G(t) = Λ(t; T0^b,T1^b,b0_G,b1_G)                        ($/tCO2)</w:t>
      </w:r>
      <w:r>
        <w:br/>
      </w:r>
      <w:r>
        <w:rPr>
          <w:rStyle w:val="VerbatimChar"/>
        </w:rPr>
        <w:t xml:space="preserve">E4   ETS on:                on(t) = 1[new ETS = Yes and t ≥ T0^E]</w:t>
      </w:r>
      <w:r>
        <w:br/>
      </w:r>
      <w:r>
        <w:rPr>
          <w:rStyle w:val="VerbatimChar"/>
        </w:rPr>
        <w:t xml:space="preserve">E5   effective coverage:    κ_e(t) = on(t) · covE_e</w:t>
      </w:r>
      <w:r>
        <w:br/>
      </w:r>
      <w:r>
        <w:rPr>
          <w:rStyle w:val="VerbatimChar"/>
        </w:rPr>
        <w:t xml:space="preserve">E6   benchmark, OBR share:  B_G(t) = Λ̄(t; T0^E,T1^E,B0_G,B1_G),   ω_e(t) = min(1, max(0, B_G(e)(t)))</w:t>
      </w:r>
      <w:r>
        <w:br/>
      </w:r>
      <w:r>
        <w:rPr>
          <w:rStyle w:val="VerbatimChar"/>
        </w:rPr>
        <w:t xml:space="preserve">E7   baseline covered CO2:  bce(t) = Σ_e CO2base_e(t) · κ_e(t)</w:t>
      </w:r>
      <w:r>
        <w:br/>
      </w:r>
      <w:r>
        <w:rPr>
          <w:rStyle w:val="VerbatimChar"/>
        </w:rPr>
        <w:t xml:space="preserve">E8   cap:                   chg(t) = Λ̄(t; T0^E,T1^E,chg0,chg1)                       (t ≥ T0^E)</w:t>
      </w:r>
      <w:r>
        <w:br/>
      </w:r>
      <w:r>
        <w:rPr>
          <w:rStyle w:val="VerbatimChar"/>
        </w:rPr>
        <w:t xml:space="preserve">                            cap(t) = on(t) · cap(t−1)                    if t &gt; T1^E and the cap is held "Constant"</w:t>
      </w:r>
      <w:r>
        <w:br/>
      </w:r>
      <w:r>
        <w:rPr>
          <w:rStyle w:val="VerbatimChar"/>
        </w:rPr>
        <w:t xml:space="preserve">                                   = on(t) · bce(t) · (1 + chg(t))        otherwise</w:t>
      </w:r>
      <w:r>
        <w:br/>
      </w:r>
      <w:r>
        <w:rPr>
          <w:rStyle w:val="VerbatimChar"/>
        </w:rPr>
        <w:t xml:space="preserve">E9   volatility adjustment: V = (1 + risk · imp) / (1 + vol · imp)</w:t>
      </w:r>
      <w:r>
        <w:br/>
      </w:r>
      <w:r>
        <w:rPr>
          <w:rStyle w:val="VerbatimChar"/>
        </w:rPr>
        <w:t xml:space="preserve">E10  semi-elasticity:       σ̄(t) = Σ_e CO2base_e κ_e σ_e (1 − (1 − ϑ) ω_e) / bce(t)</w:t>
      </w:r>
      <w:r>
        <w:br/>
      </w:r>
      <w:r>
        <w:rPr>
          <w:rStyle w:val="VerbatimChar"/>
        </w:rPr>
        <w:t xml:space="preserve">E11  fast price estimate:   p̂(t) = ln(cap/bce) / (σ̄ · V)     if on = 1, 0 &lt; cap &lt; bce, σ̄ &lt; 0;  else 0</w:t>
      </w:r>
      <w:r>
        <w:br/>
      </w:r>
      <w:r>
        <w:rPr>
          <w:rStyle w:val="VerbatimChar"/>
        </w:rPr>
        <w:t xml:space="preserve">E12  permit price:          p_E(t) = on(t) · { override(t) (blank: τ(t))  if the price is overridden;  p̂(t) otherwise }</w:t>
      </w:r>
      <w:r>
        <w:br/>
      </w:r>
      <w:r>
        <w:rPr>
          <w:rStyle w:val="VerbatimChar"/>
        </w:rPr>
        <w:t xml:space="preserve">E13  tax-equivalent price:  p̃_E(t) = p_E(t) · V,      revenue factor ρ = 1/V</w:t>
      </w:r>
      <w:r>
        <w:br/>
      </w:r>
      <w:r>
        <w:rPr>
          <w:rStyle w:val="VerbatimChar"/>
        </w:rPr>
        <w:t xml:space="preserve">E14  carbon tax by sector:  T_e(t) = τ(t) · c_e · (1 − κ_e(t))</w:t>
      </w:r>
      <w:r>
        <w:br/>
      </w:r>
      <w:r>
        <w:rPr>
          <w:rStyle w:val="VerbatimChar"/>
        </w:rPr>
        <w:t xml:space="preserve">                            c_e = 1 − xcov_e if the new tax is complementary to an existing ETS, else cov_e</w:t>
      </w:r>
      <w:r>
        <w:br/>
      </w:r>
      <w:r>
        <w:rPr>
          <w:rStyle w:val="VerbatimChar"/>
        </w:rPr>
        <w:t xml:space="preserve">E15  ETS cost by sector:    A_e(t) = p̃_E(t) · κ_e(t) · (1 − ω_e(t))                  (auctioned part, in the price)</w:t>
      </w:r>
      <w:r>
        <w:br/>
      </w:r>
      <w:r>
        <w:rPr>
          <w:rStyle w:val="VerbatimChar"/>
        </w:rPr>
        <w:t xml:space="preserve">E16  shadow price:          Σ_e(t) = (b_G(e)(t) + reg_G(e)) · a_ssc · 1[fbcov_e] + p̃_E(t) · κ_e(t) · ω_e(t)</w:t>
      </w:r>
      <w:r>
        <w:br/>
      </w:r>
      <w:r>
        <w:rPr>
          <w:rStyle w:val="VerbatimChar"/>
        </w:rPr>
        <w:t xml:space="preserve">                            reg = 0 (regulations: placeholder)</w:t>
      </w:r>
      <w:r>
        <w:br/>
      </w:r>
      <w:r>
        <w:rPr>
          <w:rStyle w:val="VerbatimChar"/>
        </w:rPr>
        <w:t xml:space="preserve">E17  existing carbon tax:   φ^ct(t) = 1[apply] · (1 + γ^ct)^max(0, t − Tx)        (factor on the data)</w:t>
      </w:r>
      <w:r>
        <w:br/>
      </w:r>
      <w:r>
        <w:rPr>
          <w:rStyle w:val="VerbatimChar"/>
        </w:rPr>
        <w:t xml:space="preserve">     existing ETS:          φ^ets(t) the same with γ^ets</w:t>
      </w:r>
      <w:r>
        <w:br/>
      </w:r>
      <w:r>
        <w:rPr>
          <w:rStyle w:val="VerbatimChar"/>
        </w:rPr>
        <w:t xml:space="preserve">E18  methane fee:           m(t) = Λ(t; T0^m,T1^m,m0,m1) · 1[scenario &gt; 1] + 1[carbon tax applies to methane] · τ(t)   ($/tCO2e)</w:t>
      </w:r>
      <w:r>
        <w:br/>
      </w:r>
      <w:r>
        <w:rPr>
          <w:rStyle w:val="VerbatimChar"/>
        </w:rPr>
        <w:t xml:space="preserve">E18a exemption factor:      x[f,s] = 0  if f ∈ {LPG, kerosene}, s = residential and ex starts with "Yes";   1 otherwise</w:t>
      </w:r>
    </w:p>
    <w:p>
      <w:pPr>
        <w:numPr>
          <w:ilvl w:val="0"/>
          <w:numId w:val="1004"/>
        </w:numPr>
        <w:pStyle w:val="Compact"/>
      </w:pPr>
      <w:r>
        <w:t xml:space="preserve">E11 is the log form of the legacy quick estimate, and V replaces its hardcoded 1.1 (fixes legacy bugs L15, L16).</w:t>
      </w:r>
    </w:p>
    <w:p>
      <w:pPr>
        <w:numPr>
          <w:ilvl w:val="0"/>
          <w:numId w:val="1004"/>
        </w:numPr>
        <w:pStyle w:val="Compact"/>
      </w:pPr>
      <w:r>
        <w:t xml:space="preserve">The fast estimate meets the cap only approximately. Section 6 gives the next-iteration price that a goal seek uses to close the gap; the solved prices enter E12 as the override.</w:t>
      </w:r>
    </w:p>
    <w:bookmarkEnd w:id="28"/>
    <w:bookmarkStart w:id="29" w:name="retail-prices-before-and-after-policies"/>
    <w:p>
      <w:pPr>
        <w:pStyle w:val="Heading3"/>
      </w:pPr>
      <w:r>
        <w:t xml:space="preserve">2. Retail prices before and after policies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 (source)</w:t>
            </w:r>
          </w:p>
        </w:tc>
      </w:tr>
      <w:tr>
        <w:tc>
          <w:tcPr/>
          <w:p>
            <w:pPr>
              <w:pStyle w:val="Compact"/>
              <w:jc w:val="left"/>
            </w:pPr>
            <w:r>
              <w:t xml:space="preserve">gpn_m(t)</w:t>
            </w:r>
          </w:p>
        </w:tc>
        <w:tc>
          <w:tcPr/>
          <w:p>
            <w:pPr>
              <w:pStyle w:val="Compact"/>
              <w:jc w:val="left"/>
            </w:pPr>
            <w:r>
              <w:t xml:space="preserve">international price of commodity m (oil, coal, gas of the country’s market, flat 1 for biomass), nominal, by chosen source (IMF, WB, IEA, EIA or averages)</w:t>
            </w:r>
          </w:p>
        </w:tc>
      </w:tr>
      <w:tr>
        <w:tc>
          <w:tcPr/>
          <w:p>
            <w:pPr>
              <w:pStyle w:val="Compact"/>
              <w:jc w:val="left"/>
            </w:pPr>
            <w:r>
              <w:t xml:space="preserve">h_m(t)</w:t>
            </w:r>
          </w:p>
        </w:tc>
        <w:tc>
          <w:tcPr/>
          <w:p>
            <w:pPr>
              <w:pStyle w:val="Compact"/>
              <w:jc w:val="left"/>
            </w:pPr>
            <w:r>
              <w:t xml:space="preserve">High/Low adjustment of m after L (1 otherwise)</w:t>
            </w:r>
          </w:p>
        </w:tc>
      </w:tr>
      <w:tr>
        <w:tc>
          <w:tcPr/>
          <w:p>
            <w:pPr>
              <w:pStyle w:val="Compact"/>
              <w:jc w:val="left"/>
            </w:pPr>
            <w:r>
              <w:t xml:space="preserve">C_c, X_c (t ≤ L)</w:t>
            </w:r>
          </w:p>
        </w:tc>
        <w:tc>
          <w:tcPr/>
          <w:p>
            <w:pPr>
              <w:pStyle w:val="Compact"/>
              <w:jc w:val="left"/>
            </w:pPr>
            <w:r>
              <w:t xml:space="preserve">historical supply cost and excise and other taxes (IMF price dataset, nominal × ι, per GJ)</w:t>
            </w:r>
          </w:p>
        </w:tc>
      </w:tr>
      <w:tr>
        <w:tc>
          <w:tcPr/>
          <w:p>
            <w:pPr>
              <w:pStyle w:val="Compact"/>
              <w:jc w:val="left"/>
            </w:pPr>
            <w:r>
              <w:t xml:space="preserve">C̄_c</w:t>
            </w:r>
          </w:p>
        </w:tc>
        <w:tc>
          <w:tcPr/>
          <w:p>
            <w:pPr>
              <w:pStyle w:val="Compact"/>
              <w:jc w:val="left"/>
            </w:pPr>
            <w:r>
              <w:t xml:space="preserve">fixed part of the supply cost (margin; coal and gas also production cost), base-year value × ι(t₀)</w:t>
            </w:r>
          </w:p>
        </w:tc>
      </w:tr>
      <w:tr>
        <w:tc>
          <w:tcPr/>
          <w:p>
            <w:pPr>
              <w:pStyle w:val="Compact"/>
              <w:jc w:val="left"/>
            </w:pPr>
            <w:r>
              <w:t xml:space="preserve">π_c, v_c, u_c</w:t>
            </w:r>
          </w:p>
        </w:tc>
        <w:tc>
          <w:tcPr/>
          <w:p>
            <w:pPr>
              <w:pStyle w:val="Compact"/>
              <w:jc w:val="left"/>
            </w:pPr>
            <w:r>
              <w:t xml:space="preserve">pass-through of supply-cost changes, VAT rate (gasoline, diesel, LPG, kerosene: × household share, sheet OilProductShares, as legacy), GJ per price unit</w:t>
            </w:r>
          </w:p>
        </w:tc>
      </w:tr>
      <w:tr>
        <w:tc>
          <w:tcPr/>
          <w:p>
            <w:pPr>
              <w:pStyle w:val="Compact"/>
              <w:jc w:val="left"/>
            </w:pPr>
            <w:r>
              <w:t xml:space="preserve">EF[f,s]</w:t>
            </w:r>
          </w:p>
        </w:tc>
        <w:tc>
          <w:tcPr/>
          <w:p>
            <w:pPr>
              <w:pStyle w:val="Compact"/>
              <w:jc w:val="left"/>
            </w:pPr>
            <w:r>
              <w:t xml:space="preserve">calibrated CO2 emission factor (tCO2/GJ), section 6</w:t>
            </w:r>
          </w:p>
        </w:tc>
      </w:tr>
      <w:tr>
        <w:tc>
          <w:tcPr/>
          <w:p>
            <w:pPr>
              <w:pStyle w:val="Compact"/>
              <w:jc w:val="left"/>
            </w:pPr>
            <w:r>
              <w:t xml:space="preserve">j(f,s), XCP0[f,s]</w:t>
            </w:r>
          </w:p>
        </w:tc>
        <w:tc>
          <w:tcPr/>
          <w:p>
            <w:pPr>
              <w:pStyle w:val="Compact"/>
              <w:jc w:val="left"/>
            </w:pPr>
            <w:r>
              <w:t xml:space="preserve">ECP sector of the price fuel (coal, gas: their price sector; oil products, biomass, jet fuel: transport; other oil products: industry), existing carbon pricing embedded in the price data (XT + XE in L, $/tCO2)</w:t>
            </w:r>
          </w:p>
        </w:tc>
      </w:tr>
    </w:tbl>
    <w:p>
      <w:pPr>
        <w:pStyle w:val="BodyText"/>
      </w:pPr>
      <w:r>
        <w:t xml:space="preserve">Before new policies, by price fuel c (projection t &gt; L; data up to L):</w:t>
      </w:r>
    </w:p>
    <w:p>
      <w:pPr>
        <w:pStyle w:val="SourceCode"/>
      </w:pPr>
      <w:r>
        <w:rPr>
          <w:rStyle w:val="VerbatimChar"/>
        </w:rPr>
        <w:t xml:space="preserve">E19  international price:   gp_m(t) = gpn_m(t) · δ(t) · h_m(t);   Π_c = gp of the commodity of c</w:t>
      </w:r>
      <w:r>
        <w:br/>
      </w:r>
      <w:r>
        <w:rPr>
          <w:rStyle w:val="VerbatimChar"/>
        </w:rPr>
        <w:t xml:space="preserve">E20  supply cost:           C_c(t) = C̄_c + (C_c(t−1) − C̄_c) · Π_c(t)/Π_c(t−1)</w:t>
      </w:r>
      <w:r>
        <w:br/>
      </w:r>
      <w:r>
        <w:rPr>
          <w:rStyle w:val="VerbatimChar"/>
        </w:rPr>
        <w:t xml:space="preserve">E21  floating taxes:        X̃_c(t) = X̃_c(t−1) − (C_c(t) − C_c(t−1)) · (1 − π_c);   X̃_c(t ≤ L) = X_c</w:t>
      </w:r>
      <w:r>
        <w:br/>
      </w:r>
      <w:r>
        <w:rPr>
          <w:rStyle w:val="VerbatimChar"/>
        </w:rPr>
        <w:t xml:space="preserve">E22  excise and other:      X_c(t) = max(X_c(L), X̃_c(t))  if X_c(L) ≥ 0;   X̃_c(t) otherwise</w:t>
      </w:r>
      <w:r>
        <w:br/>
      </w:r>
      <w:r>
        <w:rPr>
          <w:rStyle w:val="VerbatimChar"/>
        </w:rPr>
        <w:t xml:space="preserve">E23  split by sign:         X⁺_c = max(X_c, 0)  (taxes),   X⁻_c = min(X_c, 0)  (subsidies, negative)</w:t>
      </w:r>
      <w:r>
        <w:br/>
      </w:r>
      <w:r>
        <w:rPr>
          <w:rStyle w:val="VerbatimChar"/>
        </w:rPr>
        <w:t xml:space="preserve">E24  VAT payment:           VAT_c = (C_c + X_c) · v_c</w:t>
      </w:r>
      <w:r>
        <w:br/>
      </w:r>
      <w:r>
        <w:rPr>
          <w:rStyle w:val="VerbatimChar"/>
        </w:rPr>
        <w:t xml:space="preserve">E25  retail price:          R_c = (C_c + X_c) · (1 + v_c)</w:t>
      </w:r>
    </w:p>
    <w:p>
      <w:pPr>
        <w:numPr>
          <w:ilvl w:val="0"/>
          <w:numId w:val="1005"/>
        </w:numPr>
        <w:pStyle w:val="Compact"/>
      </w:pPr>
      <w:r>
        <w:t xml:space="preserve">Other oil products take pass-through and margin from the dataset (fixes legacy bug L13).</w:t>
      </w:r>
    </w:p>
    <w:p>
      <w:pPr>
        <w:numPr>
          <w:ilvl w:val="0"/>
          <w:numId w:val="1005"/>
        </w:numPr>
        <w:pStyle w:val="Compact"/>
      </w:pPr>
      <w:r>
        <w:t xml:space="preserve">E21: the floating part applies (1 − π) once, so X̃_c(t) = X_c(L) + (C_c(L) − C_c(t)) · (1 − π_c) (v4.10, legacy bug L14 fixed: legacy applies (1 − π) twice in the first projected year when the pass-through is 0.5 or 0.8; no effect for Egypt, pass-through 0 or 1).</w:t>
      </w:r>
    </w:p>
    <w:p>
      <w:pPr>
        <w:pStyle w:val="FirstParagraph"/>
      </w:pPr>
      <w:r>
        <w:t xml:space="preserve">New policies and the after-tax price, by fuel f and subsector s (e = s):</w:t>
      </w:r>
    </w:p>
    <w:p>
      <w:pPr>
        <w:pStyle w:val="SourceCode"/>
      </w:pPr>
      <w:r>
        <w:rPr>
          <w:rStyle w:val="VerbatimChar"/>
        </w:rPr>
        <w:t xml:space="preserve">E26  new carbon tax:        N^ct[f,s] = T_s · EF[f,s] · cov_f · x[f,s]</w:t>
      </w:r>
      <w:r>
        <w:br/>
      </w:r>
      <w:r>
        <w:rPr>
          <w:rStyle w:val="VerbatimChar"/>
        </w:rPr>
        <w:t xml:space="preserve">E27  new ETS cost:          N^ets[f,s] = A_s · EF[f,s] · x[f,s]</w:t>
      </w:r>
      <w:r>
        <w:br/>
      </w:r>
      <w:r>
        <w:rPr>
          <w:rStyle w:val="VerbatimChar"/>
        </w:rPr>
        <w:t xml:space="preserve">E28  new excise (reform):   N^x[f,s] = F_c(f,s) / u_c(f,s) · x[f,s]</w:t>
      </w:r>
      <w:r>
        <w:br/>
      </w:r>
      <w:r>
        <w:rPr>
          <w:rStyle w:val="VerbatimChar"/>
        </w:rPr>
        <w:t xml:space="preserve">E29  total new policy:      N[f,s] = N^ct + N^ets + N^x</w:t>
      </w:r>
      <w:r>
        <w:br/>
      </w:r>
      <w:r>
        <w:rPr>
          <w:rStyle w:val="VerbatimChar"/>
        </w:rPr>
        <w:t xml:space="preserve">E30  existing carbon price: XCP[f,s]  = EF · (XT[j,f](t*) · φ^ct + XE[j,f](t*) · φ^ets),  t* = min(t, Tx)   (level)</w:t>
      </w:r>
      <w:r>
        <w:br/>
      </w:r>
      <w:r>
        <w:rPr>
          <w:rStyle w:val="VerbatimChar"/>
        </w:rPr>
        <w:t xml:space="preserve">                            ΔXCP[f,s] = XCP[f,s] − EF · XCP0[f,s]                          (change vs price data)</w:t>
      </w:r>
      <w:r>
        <w:br/>
      </w:r>
      <w:r>
        <w:rPr>
          <w:rStyle w:val="VerbatimChar"/>
        </w:rPr>
        <w:t xml:space="preserve">E31  after-tax price:       P[f,s] = max(R_c(f,s) + (N[f,s] + ΔXCP[f,s]) · (1 + v_c(f,s)), 0.01)</w:t>
      </w:r>
      <w:r>
        <w:br/>
      </w:r>
      <w:r>
        <w:rPr>
          <w:rStyle w:val="VerbatimChar"/>
        </w:rPr>
        <w:t xml:space="preserve">E32  shadow price:          Sh[f,s] = Σ_s · EF[f,s]</w:t>
      </w:r>
    </w:p>
    <w:p>
      <w:pPr>
        <w:pStyle w:val="FirstParagraph"/>
      </w:pPr>
      <w:r>
        <w:t xml:space="preserve">The IMF retail prices already contain any existing carbon pricing, so only its change (ΔXCP) enters the price.</w:t>
      </w:r>
    </w:p>
    <w:p>
      <w:pPr>
        <w:pStyle w:val="BodyText"/>
      </w:pPr>
      <w:r>
        <w:t xml:space="preserve">An exempt fuel (E18a) carries none of the new carbon tax, ETS cost and new excise, so neither their VAT nor their revenue (E73). Existing taxes, the change in existing carbon pricing, the subsidy phase-outs and the shadow price stay, as legacy. ETS-covered emissions (E7, section 6) still count the exempt fuel where its sector is in an ETS.</w:t>
      </w:r>
    </w:p>
    <w:bookmarkEnd w:id="29"/>
    <w:bookmarkStart w:id="30" w:name="power"/>
    <w:p>
      <w:pPr>
        <w:pStyle w:val="Heading3"/>
      </w:pPr>
      <w:r>
        <w:t xml:space="preserve">3. Power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 (source)</w:t>
            </w:r>
          </w:p>
        </w:tc>
      </w:tr>
      <w:tr>
        <w:tc>
          <w:tcPr/>
          <w:p>
            <w:pPr>
              <w:pStyle w:val="Compact"/>
              <w:jc w:val="left"/>
            </w:pPr>
            <w:r>
              <w:t xml:space="preserve">cax0_k, tcf_k(t)</w:t>
            </w:r>
          </w:p>
        </w:tc>
        <w:tc>
          <w:tcPr/>
          <w:p>
            <w:pPr>
              <w:pStyle w:val="Compact"/>
              <w:jc w:val="left"/>
            </w:pPr>
            <w:r>
              <w:t xml:space="preserve">capital cost at time factor 1 ($/kW) and capex time factor path of the scenario’s decline option (legacy power data)</w:t>
            </w:r>
          </w:p>
        </w:tc>
      </w:tr>
      <w:tr>
        <w:tc>
          <w:tcPr/>
          <w:p>
            <w:pPr>
              <w:pStyle w:val="Compact"/>
              <w:jc w:val="left"/>
            </w:pPr>
            <w:r>
              <w:t xml:space="preserve">N_k, w_k, cf_k, ν_k</w:t>
            </w:r>
          </w:p>
        </w:tc>
        <w:tc>
          <w:tcPr/>
          <w:p>
            <w:pPr>
              <w:pStyle w:val="Compact"/>
              <w:jc w:val="left"/>
            </w:pPr>
            <w:r>
              <w:t xml:space="preserve">lifetime, WACC, capacity factor, thermal efficiency of the scenario (E32a)</w:t>
            </w:r>
          </w:p>
        </w:tc>
      </w:tr>
      <w:tr>
        <w:tc>
          <w:tcPr/>
          <w:p>
            <w:pPr>
              <w:pStyle w:val="Compact"/>
              <w:jc w:val="left"/>
            </w:pPr>
            <w:r>
              <w:t xml:space="preserve">dtc_k, tcx_k, opf_k, vop_k, rns_k</w:t>
            </w:r>
          </w:p>
        </w:tc>
        <w:tc>
          <w:tcPr/>
          <w:p>
            <w:pPr>
              <w:pStyle w:val="Compact"/>
              <w:jc w:val="left"/>
            </w:pPr>
            <w:r>
              <w:t xml:space="preserve">decommissioning and transmission capex ($/kW), fixed O&amp;M, variable O&amp;M (incl. nuclear fuel), renewable subsidy ($/kWh)</w:t>
            </w:r>
          </w:p>
        </w:tc>
      </w:tr>
      <w:tr>
        <w:tc>
          <w:tcPr/>
          <w:p>
            <w:pPr>
              <w:pStyle w:val="Compact"/>
              <w:jc w:val="left"/>
            </w:pPr>
            <w:r>
              <w:t xml:space="preserve">dlf_k</w:t>
            </w:r>
          </w:p>
        </w:tc>
        <w:tc>
          <w:tcPr/>
          <w:p>
            <w:pPr>
              <w:pStyle w:val="Compact"/>
              <w:jc w:val="left"/>
            </w:pPr>
            <w:r>
              <w:t xml:space="preserve">discounted lifetime (1 − (1+w)^−N)/(1 − (1+w)^−1)</w:t>
            </w:r>
          </w:p>
        </w:tc>
      </w:tr>
      <w:tr>
        <w:tc>
          <w:tcPr/>
          <w:p>
            <w:pPr>
              <w:pStyle w:val="Compact"/>
              <w:jc w:val="left"/>
            </w:pPr>
            <w:r>
              <w:t xml:space="preserve">e_k</w:t>
            </w:r>
          </w:p>
        </w:tc>
        <w:tc>
          <w:tcPr/>
          <w:p>
            <w:pPr>
              <w:pStyle w:val="Compact"/>
              <w:jc w:val="left"/>
            </w:pPr>
            <w:r>
              <w:t xml:space="preserve">tCO2 per kWh = EF_k · θ_e/ν_k (calibrated EF, section 6)</w:t>
            </w:r>
          </w:p>
        </w:tc>
      </w:tr>
      <w:tr>
        <w:tc>
          <w:tcPr/>
          <w:p>
            <w:pPr>
              <w:pStyle w:val="Compact"/>
              <w:jc w:val="left"/>
            </w:pPr>
            <w:r>
              <w:t xml:space="preserve">XCP0_k</w:t>
            </w:r>
          </w:p>
        </w:tc>
        <w:tc>
          <w:tcPr/>
          <w:p>
            <w:pPr>
              <w:pStyle w:val="Compact"/>
              <w:jc w:val="left"/>
            </w:pPr>
            <w:r>
              <w:t xml:space="preserve">existing carbon pricing of power and the type’s fuel embedded in the price data ($/tCO2)</w:t>
            </w:r>
          </w:p>
        </w:tc>
      </w:tr>
      <w:tr>
        <w:tc>
          <w:tcPr/>
          <w:p>
            <w:pPr>
              <w:pStyle w:val="Compact"/>
              <w:jc w:val="left"/>
            </w:pPr>
            <w:r>
              <w:t xml:space="preserve">ℓ_k</w:t>
            </w:r>
          </w:p>
        </w:tc>
        <w:tc>
          <w:tcPr/>
          <w:p>
            <w:pPr>
              <w:pStyle w:val="Compact"/>
              <w:jc w:val="left"/>
            </w:pPr>
            <w:r>
              <w:t xml:space="preserve">VRE flag: 1 for wind, solar, other renewables</w:t>
            </w:r>
          </w:p>
        </w:tc>
      </w:tr>
      <w:tr>
        <w:tc>
          <w:tcPr/>
          <w:p>
            <w:pPr>
              <w:pStyle w:val="Compact"/>
              <w:jc w:val="left"/>
            </w:pPr>
            <w:r>
              <w:t xml:space="preserve">cbat, cint, obat, cel</w:t>
            </w:r>
          </w:p>
        </w:tc>
        <w:tc>
          <w:tcPr/>
          <w:p>
            <w:pPr>
              <w:pStyle w:val="Compact"/>
              <w:jc w:val="left"/>
            </w:pPr>
            <w:r>
              <w:t xml:space="preserve">battery capex ($/kWh), interface capex ($/kW), battery opex, long-term storage cost per unit (paths)</w:t>
            </w:r>
          </w:p>
        </w:tc>
      </w:tr>
      <w:tr>
        <w:tc>
          <w:tcPr/>
          <w:p>
            <w:pPr>
              <w:pStyle w:val="Compact"/>
              <w:jc w:val="left"/>
            </w:pPr>
            <w:r>
              <w:t xml:space="preserve">a_st, a_lt, x_lt, h_st, r_st, dlf_ren</w:t>
            </w:r>
          </w:p>
        </w:tc>
        <w:tc>
          <w:tcPr/>
          <w:p>
            <w:pPr>
              <w:pStyle w:val="Compact"/>
              <w:jc w:val="left"/>
            </w:pPr>
            <w:r>
              <w:t xml:space="preserve">storage allocations, long-term start share x_lt, short-term marginal hours h_st, kWh storage per kW, renewables’ discounted lifetime</w:t>
            </w:r>
          </w:p>
        </w:tc>
      </w:tr>
      <w:tr>
        <w:tc>
          <w:tcPr/>
          <w:p>
            <w:pPr>
              <w:pStyle w:val="Compact"/>
              <w:jc w:val="left"/>
            </w:pPr>
            <w:r>
              <w:t xml:space="preserve">tmc_u, π_u, v_u</w:t>
            </w:r>
          </w:p>
        </w:tc>
        <w:tc>
          <w:tcPr/>
          <w:p>
            <w:pPr>
              <w:pStyle w:val="Compact"/>
              <w:jc w:val="left"/>
            </w:pPr>
            <w:r>
              <w:t xml:space="preserve">T&amp;D add-on, pass-through, VAT rate of user group u</w:t>
            </w:r>
          </w:p>
        </w:tc>
      </w:tr>
      <w:tr>
        <w:tc>
          <w:tcPr/>
          <w:p>
            <w:pPr>
              <w:pStyle w:val="Compact"/>
              <w:jc w:val="left"/>
            </w:pPr>
            <w:r>
              <w:t xml:space="preserve">εY_d, εU_d, εF_d, α_d, α⁺, inc(t), shock(t)</w:t>
            </w:r>
          </w:p>
        </w:tc>
        <w:tc>
          <w:tcPr/>
          <w:p>
            <w:pPr>
              <w:pStyle w:val="Compact"/>
              <w:jc w:val="left"/>
            </w:pPr>
            <w:r>
              <w:t xml:space="preserve">electricity elasticities, autonomous and additional efficiency gain, income factor path, legacy 2023-2024 demand shock (switch Settings C19, on as legacy)</w:t>
            </w:r>
          </w:p>
        </w:tc>
      </w:tr>
      <w:tr>
        <w:tc>
          <w:tcPr/>
          <w:p>
            <w:pPr>
              <w:pStyle w:val="Compact"/>
              <w:jc w:val="left"/>
            </w:pPr>
            <w:r>
              <w:t xml:space="preserve">ρ_req, χ_k, ρ_gc</w:t>
            </w:r>
          </w:p>
        </w:tc>
        <w:tc>
          <w:tcPr/>
          <w:p>
            <w:pPr>
              <w:pStyle w:val="Compact"/>
              <w:jc w:val="left"/>
            </w:pPr>
            <w:r>
              <w:t xml:space="preserve">MWy required per ktoe of demand (incl. net exports, losses, own use); ktoe of fuel per MWy; generation per unit consumed</w:t>
            </w:r>
          </w:p>
        </w:tc>
      </w:tr>
      <w:tr>
        <w:tc>
          <w:tcPr/>
          <w:p>
            <w:pPr>
              <w:pStyle w:val="Compact"/>
              <w:jc w:val="left"/>
            </w:pPr>
            <w:r>
              <w:t xml:space="preserve">μ_coal, μ_gas, K_d, K_i, c_min</w:t>
            </w:r>
          </w:p>
        </w:tc>
        <w:tc>
          <w:tcPr/>
          <w:p>
            <w:pPr>
              <w:pStyle w:val="Compact"/>
              <w:jc w:val="left"/>
            </w:pPr>
            <w:r>
              <w:t xml:space="preserve">maximum capacity factors of coal and gas; dispatch and investment logit constants; minimum cost</w:t>
            </w:r>
          </w:p>
        </w:tc>
      </w:tr>
      <w:tr>
        <w:tc>
          <w:tcPr/>
          <w:p>
            <w:pPr>
              <w:pStyle w:val="Compact"/>
              <w:jc w:val="left"/>
            </w:pPr>
            <w:r>
              <w:t xml:space="preserve">p(t), Rs(t), rb, x_e(t), x_m,u(t)</w:t>
            </w:r>
          </w:p>
        </w:tc>
        <w:tc>
          <w:tcPr/>
          <w:p>
            <w:pPr>
              <w:pStyle w:val="Compact"/>
              <w:jc w:val="left"/>
            </w:pPr>
            <w:r>
              <w:t xml:space="preserve">PPA share of coal and gas generation; renewable subsidy per kWh; rebate switch (1/0); electricity excise; manual electricity excise</w:t>
            </w:r>
          </w:p>
        </w:tc>
      </w:tr>
      <w:tr>
        <w:tc>
          <w:tcPr/>
          <w:p>
            <w:pPr>
              <w:pStyle w:val="Compact"/>
              <w:jc w:val="left"/>
            </w:pPr>
            <w:r>
              <w:t xml:space="preserve">r_k, q_k, permit_k(t), tb_k</w:t>
            </w:r>
          </w:p>
        </w:tc>
        <w:tc>
          <w:tcPr/>
          <w:p>
            <w:pPr>
              <w:pStyle w:val="Compact"/>
              <w:jc w:val="left"/>
            </w:pPr>
            <w:r>
              <w:t xml:space="preserve">retirement rate (1/lifetime), scale-up rate, investment permitted (Yes and from year), tie breaker</w:t>
            </w:r>
          </w:p>
        </w:tc>
      </w:tr>
      <w:tr>
        <w:tc>
          <w:tcPr/>
          <w:p>
            <w:pPr>
              <w:pStyle w:val="Compact"/>
              <w:jc w:val="left"/>
            </w:pPr>
            <w:r>
              <w:t xml:space="preserve">e_max, e_f</w:t>
            </w:r>
          </w:p>
        </w:tc>
        <w:tc>
          <w:tcPr/>
          <w:p>
            <w:pPr>
              <w:pStyle w:val="Compact"/>
              <w:jc w:val="left"/>
            </w:pPr>
            <w:r>
              <w:t xml:space="preserve">maximum early coal retirement (share of effective coal capacity) and factor on the cost-based early retirement (legacy power data)</w:t>
            </w:r>
          </w:p>
        </w:tc>
      </w:tr>
    </w:tbl>
    <w:p>
      <w:pPr>
        <w:pStyle w:val="BodyText"/>
      </w:pPr>
      <w:r>
        <w:t xml:space="preserve">Every input is read in the scenario’s own MTInputs column; the data of the scenario (A0):</w:t>
      </w:r>
    </w:p>
    <w:p>
      <w:pPr>
        <w:pStyle w:val="SourceCode"/>
      </w:pPr>
      <w:r>
        <w:rPr>
          <w:rStyle w:val="VerbatimChar"/>
        </w:rPr>
        <w:t xml:space="preserve">E32a capacity factor:       cf_k = cfa_k if lo_k &lt; cfa_k &lt; hi else cfs_k;     ν_k = νa_k if νa_k ≥ ν_min else νs_k</w:t>
      </w:r>
      <w:r>
        <w:br/>
      </w:r>
      <w:r>
        <w:rPr>
          <w:rStyle w:val="VerbatimChar"/>
        </w:rPr>
        <w:t xml:space="preserve">                            w_k = Country*: w_c + adj_coal | Tech: w_c + adj_k | else max(w_user | w_income | ws_k, w_min)</w:t>
      </w:r>
      <w:r>
        <w:br/>
      </w:r>
      <w:r>
        <w:rPr>
          <w:rStyle w:val="VerbatimChar"/>
        </w:rPr>
        <w:t xml:space="preserve">                            K_k(t₀) = G_k(t₀) / cf_k;   permit_k from NewInv_k (If Present*: K_k(t₀)/ΣK(t₀) &gt; 0.001), from year Y_k</w:t>
      </w:r>
      <w:r>
        <w:br/>
      </w:r>
      <w:r>
        <w:rPr>
          <w:rStyle w:val="VerbatimChar"/>
        </w:rPr>
        <w:t xml:space="preserve">E32b PPA share:             p(t) = PPA · (max(0, 1 − max(0, t − T_p)/n_p) if the scenario's switch is Yes, else 1)</w:t>
      </w:r>
      <w:r>
        <w:br/>
      </w:r>
      <w:r>
        <w:rPr>
          <w:rStyle w:val="VerbatimChar"/>
        </w:rPr>
        <w:t xml:space="preserve">E32c renewable subsidy:     Rs(t) = −(Rs_base + 1[scenario &gt; 1, t ≥ T_s] · Rs_add · max(0, 1 − (t − T_s)/n_s));</w:t>
      </w:r>
      <w:r>
        <w:br/>
      </w:r>
      <w:r>
        <w:rPr>
          <w:rStyle w:val="VerbatimChar"/>
        </w:rPr>
        <w:t xml:space="preserve">                            rns_k = Rs · 1[wind, solar, other renewables, biomass; hydro if switched on]</w:t>
      </w:r>
    </w:p>
    <w:p>
      <w:pPr>
        <w:pStyle w:val="FirstParagraph"/>
      </w:pPr>
      <w:r>
        <w:t xml:space="preserve">Costs per kWh ($/kWh):</w:t>
      </w:r>
    </w:p>
    <w:p>
      <w:pPr>
        <w:pStyle w:val="SourceCode"/>
      </w:pPr>
      <w:r>
        <w:rPr>
          <w:rStyle w:val="VerbatimChar"/>
        </w:rPr>
        <w:t xml:space="preserve">E33  capital cost:          cax_k(t) = cax0_k · tcf_k(t)</w:t>
      </w:r>
      <w:r>
        <w:br/>
      </w:r>
      <w:r>
        <w:rPr>
          <w:rStyle w:val="VerbatimChar"/>
        </w:rPr>
        <w:t xml:space="preserve">E34  vintage averages:      cāx_k(t) = cāx_k(t−1)(1 − φ_k(t−1)) + cax_k(t−1) φ_k(t−1);     cāx_k(t₀) = cax_k(t₀)</w:t>
      </w:r>
      <w:r>
        <w:br/>
      </w:r>
      <w:r>
        <w:rPr>
          <w:rStyle w:val="VerbatimChar"/>
        </w:rPr>
        <w:t xml:space="preserve">                            sto_k(t) = sto_k(t−1)(1 − φ_k(t−1)) + ℓ_k msc(t) φ_k(t−1);     sto_k(t₀) = ℓ_k msc(t₀)</w:t>
      </w:r>
      <w:r>
        <w:br/>
      </w:r>
      <w:r>
        <w:rPr>
          <w:rStyle w:val="VerbatimChar"/>
        </w:rPr>
        <w:t xml:space="preserve">E35  amortised fixed:       fix_k = (cāx_k (1/N_k + w_k/2) + dtc_k/N_k) / (cf_k · H) + opf_k + sto_k</w:t>
      </w:r>
      <w:r>
        <w:br/>
      </w:r>
      <w:r>
        <w:rPr>
          <w:rStyle w:val="VerbatimChar"/>
        </w:rPr>
        <w:t xml:space="preserve">E36  levelised fixed:       lfx_k = (cax_k + dtc_k + tcx_k) / (cf_k · H · dlf_k) + opf_k + rns_k + ℓ_k msc</w:t>
      </w:r>
      <w:r>
        <w:br/>
      </w:r>
      <w:r>
        <w:rPr>
          <w:rStyle w:val="VerbatimChar"/>
        </w:rPr>
        <w:t xml:space="preserve">E37  fuel price:            fp_k(t) = mean of R_c(k)(τ) over τ ∈ [t−4, t] ∩ [t₀, t]   (spot option: R_c(k)(t); v6.2, legacy bug L126: legacy [t−2, t+2])</w:t>
      </w:r>
      <w:r>
        <w:br/>
      </w:r>
      <w:r>
        <w:rPr>
          <w:rStyle w:val="VerbatimChar"/>
        </w:rPr>
        <w:t xml:space="preserve">E38  existing carbon:       xc_k = e_k (XT[pow,f(k)](t*) φ^ct + XE[pow,f(k)](t*) φ^ets − XCP0_k)</w:t>
      </w:r>
      <w:r>
        <w:br/>
      </w:r>
      <w:r>
        <w:rPr>
          <w:rStyle w:val="VerbatimChar"/>
        </w:rPr>
        <w:t xml:space="preserve">E39  variable cost:         vc_k = vop_k + fp_k · θ_e/ν_k + xc_k</w:t>
      </w:r>
      <w:r>
        <w:br/>
      </w:r>
      <w:r>
        <w:rPr>
          <w:rStyle w:val="VerbatimChar"/>
        </w:rPr>
        <w:t xml:space="preserve">E40  new policy cost:       pc_k = e_k (T_pow · cov_f(k) + A_pow) + F_c(k) · θ_e/(ν_k u_c(k))</w:t>
      </w:r>
      <w:r>
        <w:br/>
      </w:r>
      <w:r>
        <w:rPr>
          <w:rStyle w:val="VerbatimChar"/>
        </w:rPr>
        <w:t xml:space="preserve">E41  shadow price, rebate:  sh_k = Σ_pow · e_k;    reb(t) = −Σ_k sh_k(t) · s_k(t₀)  (0 in t₀)</w:t>
      </w:r>
      <w:r>
        <w:br/>
      </w:r>
      <w:r>
        <w:rPr>
          <w:rStyle w:val="VerbatimChar"/>
        </w:rPr>
        <w:t xml:space="preserve">E42  total variable cost:   tvc_k = vc_k + pc_k + sh_k + reb</w:t>
      </w:r>
      <w:r>
        <w:br/>
      </w:r>
      <w:r>
        <w:rPr>
          <w:rStyle w:val="VerbatimChar"/>
        </w:rPr>
        <w:t xml:space="preserve">E43  levelised variable:    lvc_k(t) = Σ_{τ=t..2041} β_k(τ) tvc_k(τ) / Σ_{τ=t..2041} β_k(τ),   β_k(τ) = (1 + w_k)^(t₀−τ)</w:t>
      </w:r>
      <w:r>
        <w:br/>
      </w:r>
      <w:r>
        <w:rPr>
          <w:rStyle w:val="VerbatimChar"/>
        </w:rPr>
        <w:t xml:space="preserve">E44  investment cost:       tic_k = max(lfx_k + lvc_k, c_min)</w:t>
      </w:r>
      <w:r>
        <w:br/>
      </w:r>
      <w:r>
        <w:rPr>
          <w:rStyle w:val="VerbatimChar"/>
        </w:rPr>
        <w:t xml:space="preserve">E45  generation cost:       gc_k = fix_k + vc_k;     gc̄ = Σ_k s_k gc_k;     pc̄ = ρ_gc Σ_k s_k pc_k</w:t>
      </w:r>
      <w:r>
        <w:br/>
      </w:r>
      <w:r>
        <w:rPr>
          <w:rStyle w:val="VerbatimChar"/>
        </w:rPr>
        <w:t xml:space="preserve">E46  VRE share:             vre = s_wind + s_solar + s_other renewables</w:t>
      </w:r>
      <w:r>
        <w:br/>
      </w:r>
      <w:r>
        <w:rPr>
          <w:rStyle w:val="VerbatimChar"/>
        </w:rPr>
        <w:t xml:space="preserve">E47  storage cost:          cph = (cbat + cint/r_st)/(dlf_ren · H) + obat/H</w:t>
      </w:r>
      <w:r>
        <w:br/>
      </w:r>
      <w:r>
        <w:rPr>
          <w:rStyle w:val="VerbatimChar"/>
        </w:rPr>
        <w:t xml:space="preserve">                            msc = a_st · h_st · vre · cph + 2 max(0, vre − x_lt)/(1 − x_lt)² · cel · a_lt · u_lt</w:t>
      </w:r>
    </w:p>
    <w:p>
      <w:pPr>
        <w:numPr>
          <w:ilvl w:val="0"/>
          <w:numId w:val="1006"/>
        </w:numPr>
        <w:pStyle w:val="Compact"/>
      </w:pPr>
      <w:r>
        <w:t xml:space="preserve">E41: the rebate is per kWh generated, with fixed base-year shares (fixes legacy bug L9). E47 applies the long-term allocation once (fixes legacy bug L4); u_lt = LongTermStorageFor100pcVRE (legacy row 3909).</w:t>
      </w:r>
    </w:p>
    <w:p>
      <w:pPr>
        <w:pStyle w:val="FirstParagraph"/>
      </w:pPr>
      <w:r>
        <w:t xml:space="preserve">Electricity prices and demand:</w:t>
      </w:r>
    </w:p>
    <w:p>
      <w:pPr>
        <w:pStyle w:val="SourceCode"/>
      </w:pPr>
      <w:r>
        <w:rPr>
          <w:rStyle w:val="VerbatimChar"/>
        </w:rPr>
        <w:t xml:space="preserve">E48  supply cost:           sc_u(t) = gc̄(t−1) + tmc_u                     (t₀: gc̄(t₀) + tmc_u)</w:t>
      </w:r>
      <w:r>
        <w:br/>
      </w:r>
      <w:r>
        <w:rPr>
          <w:rStyle w:val="VerbatimChar"/>
        </w:rPr>
        <w:t xml:space="preserve">E49  price before policies: pp_u(t) = pp_u(t−1) + π_u (sc_u(t) − sc_u(t−1)) (1 + v_u)    (data up to L)</w:t>
      </w:r>
      <w:r>
        <w:br/>
      </w:r>
      <w:r>
        <w:rPr>
          <w:rStyle w:val="VerbatimChar"/>
        </w:rPr>
        <w:t xml:space="preserve">E50  end-user price:        p_u = pp_u + (pc̄ · π_u (1 − rb) + x_u)(1 + v_u),   x_u(t) = x_e(t) + 1[t &gt; L] π_u (x_m,u(t) − x_m,u(L))</w:t>
      </w:r>
      <w:r>
        <w:br/>
      </w:r>
      <w:r>
        <w:rPr>
          <w:rStyle w:val="VerbatimChar"/>
        </w:rPr>
        <w:t xml:space="preserve">E51  subsidy gap:           gap_u = pp_u/(1 + v_u) − sc_u                 (negative = subsidy)</w:t>
      </w:r>
      <w:r>
        <w:br/>
      </w:r>
      <w:r>
        <w:rPr>
          <w:rStyle w:val="VerbatimChar"/>
        </w:rPr>
        <w:t xml:space="preserve">E52  demand price:          pd_d(t) = w_d p_res(t−1) + (1 − w_d) p_ind(t−1)   (t₀: data of the year before); w_d = price weight of demand group d (Inputs_power)</w:t>
      </w:r>
      <w:r>
        <w:br/>
      </w:r>
      <w:r>
        <w:rPr>
          <w:rStyle w:val="VerbatimChar"/>
        </w:rPr>
        <w:t xml:space="preserve">E53  demand multiple:       M_d(t) = (1/(1 + α_d + α⁺))^(1+εU_d) · (1 + g(t))^(εY_d · inc(t))</w:t>
      </w:r>
      <w:r>
        <w:br/>
      </w:r>
      <w:r>
        <w:rPr>
          <w:rStyle w:val="VerbatimChar"/>
        </w:rPr>
        <w:t xml:space="preserve">                                     · (pd_d(t)/pd_d(t−1))^(εU_d + εF_d + εU_d εF_d) · (1 + shock(t) · switch)</w:t>
      </w:r>
      <w:r>
        <w:br/>
      </w:r>
      <w:r>
        <w:rPr>
          <w:rStyle w:val="VerbatimChar"/>
        </w:rPr>
        <w:t xml:space="preserve">E54  demand:                D_s(t) = D_s(t−1) · M_d(s)(t)  (t₀: data);   D = Σ_s D_s;   cons_res = D_res · θ_g,  cons_ind = (D − D_res) · θ_g  (GWh)</w:t>
      </w:r>
      <w:r>
        <w:br/>
      </w:r>
      <w:r>
        <w:rPr>
          <w:rStyle w:val="VerbatimChar"/>
        </w:rPr>
        <w:t xml:space="preserve">E55  required generation:   Req(t) = ρ_req · D(t)                         (t₀: actual generation)</w:t>
      </w:r>
    </w:p>
    <w:p>
      <w:pPr>
        <w:numPr>
          <w:ilvl w:val="0"/>
          <w:numId w:val="1007"/>
        </w:numPr>
        <w:pStyle w:val="Compact"/>
      </w:pPr>
      <w:r>
        <w:t xml:space="preserve">E53 fixes legacy bugs L1 (services use the services multiple), L2 (autonomous efficiency with the usage elasticity) and L3 (income factor once, not anchored to 2023). g(t) is GDP growth after the feedback (section 9).</w:t>
      </w:r>
    </w:p>
    <w:p>
      <w:pPr>
        <w:pStyle w:val="FirstParagraph"/>
      </w:pPr>
      <w:r>
        <w:t xml:space="preserve">Dispatch, capacity, retirement and investment (MW, MWy):</w:t>
      </w:r>
    </w:p>
    <w:p>
      <w:pPr>
        <w:pStyle w:val="SourceCode"/>
      </w:pPr>
      <w:r>
        <w:rPr>
          <w:rStyle w:val="VerbatimChar"/>
        </w:rPr>
        <w:t xml:space="preserve">E56  capacity:              K_k(t) = K_k(t−1) − Ret_k(t−1) + I_k(t−1)  (t₀: E32a);    Ke_k = cf_k K_k;    Gmax_k = μ_k K_k</w:t>
      </w:r>
      <w:r>
        <w:br/>
      </w:r>
      <w:r>
        <w:rPr>
          <w:rStyle w:val="VerbatimChar"/>
        </w:rPr>
        <w:t xml:space="preserve">E57  coal and gas need:     Rcg = max(Req − Σ_{k∉CG} Ke_k, 0)</w:t>
      </w:r>
      <w:r>
        <w:br/>
      </w:r>
      <w:r>
        <w:rPr>
          <w:rStyle w:val="VerbatimChar"/>
        </w:rPr>
        <w:t xml:space="preserve">E58  minimum run:           Gmin_k = min(max(Rcg − Σ_{j∈CG, j≠k} Gmax_j, 0), Gmax_k),    k ∈ CG</w:t>
      </w:r>
      <w:r>
        <w:br/>
      </w:r>
      <w:r>
        <w:rPr>
          <w:rStyle w:val="VerbatimChar"/>
        </w:rPr>
        <w:t xml:space="preserve">E59  remainder, logit:      rem = max(Rcg − Σ_CG Gmin_k, 0);    λ_k = exp(−K_d max(tvc_k, c_min) / max(min_CG tvc, c_min))</w:t>
      </w:r>
      <w:r>
        <w:br/>
      </w:r>
      <w:r>
        <w:rPr>
          <w:rStyle w:val="VerbatimChar"/>
        </w:rPr>
        <w:t xml:space="preserve">E60  generation:            Gl_k = min(Gmax_k, Gmin_k + rem · λ_k / Σ_CG λ_j);   G_k = Gl_k + p (Ke_k · Rcg/Σ_CG Ke_j − Gl_k)   for k ∈ CG;   G_k = Ke_k otherwise</w:t>
      </w:r>
      <w:r>
        <w:br/>
      </w:r>
      <w:r>
        <w:rPr>
          <w:rStyle w:val="VerbatimChar"/>
        </w:rPr>
        <w:t xml:space="preserve">                            s_k = G_k / Σ_j G_j;    FU_k = χ_k G_k  (fuel use, ktoe);    G_k(t₀) = data</w:t>
      </w:r>
      <w:r>
        <w:br/>
      </w:r>
      <w:r>
        <w:rPr>
          <w:rStyle w:val="VerbatimChar"/>
        </w:rPr>
        <w:t xml:space="preserve">E61  retirement:            Ret_k = min(base_k + 1[coal] · Early, K_k);   Rete_k = cf_k Ret_k</w:t>
      </w:r>
      <w:r>
        <w:br/>
      </w:r>
      <w:r>
        <w:rPr>
          <w:rStyle w:val="VerbatimChar"/>
        </w:rPr>
        <w:t xml:space="preserve">                            base_k = planned retirement (data) if switched on for k, else r_k K_k</w:t>
      </w:r>
      <w:r>
        <w:br/>
      </w:r>
      <w:r>
        <w:rPr>
          <w:rStyle w:val="VerbatimChar"/>
        </w:rPr>
        <w:t xml:space="preserve">E62  early coal retirement: room(t) = max(0, Max_wind + Max_solar − ΔG(t−1) − Σ_{k≠coal} Rete_k(t−1)),  ΔG = max(0, G(t) − G(t−1)); t₀: Max_wind + Max_solar</w:t>
      </w:r>
      <w:r>
        <w:br/>
      </w:r>
      <w:r>
        <w:rPr>
          <w:rStyle w:val="VerbatimChar"/>
        </w:rPr>
        <w:t xml:space="preserve">                            ec = 1 / (1 + exp(−K_i (tic_wind − tvc_coal)/c̲) + exp(−K_i (tic_solar − tvc_coal)/c̲)),  c̲ = min(tvc_coal, tic_wind, tic_solar)</w:t>
      </w:r>
      <w:r>
        <w:br/>
      </w:r>
      <w:r>
        <w:rPr>
          <w:rStyle w:val="VerbatimChar"/>
        </w:rPr>
        <w:t xml:space="preserve">                            Early = max(0, min(e_max · Ke_coal, room) · (1 − ec)) / cf_coal · e_f · (1 − p),   e_f = 0 in scenario 1 unless switched on</w:t>
      </w:r>
      <w:r>
        <w:br/>
      </w:r>
      <w:r>
        <w:rPr>
          <w:rStyle w:val="VerbatimChar"/>
        </w:rPr>
        <w:t xml:space="preserve">E63  need:                  need(t) = max(Req(t) × Req(t)/Req(t−1) − (Σ_k Ke_k − Σ_k Rete_k), 0)     (v6.2: next year's requirement estimated with this year's growth, so no later year is read; legacy bug L67: legacy uses Req(t))</w:t>
      </w:r>
      <w:r>
        <w:br/>
      </w:r>
      <w:r>
        <w:rPr>
          <w:rStyle w:val="VerbatimChar"/>
        </w:rPr>
        <w:t xml:space="preserve">E64  scale-up limit:        Max_k = q_k · Σ_j Ke_j · permit_k</w:t>
      </w:r>
      <w:r>
        <w:br/>
      </w:r>
      <w:r>
        <w:rPr>
          <w:rStyle w:val="VerbatimChar"/>
        </w:rPr>
        <w:t xml:space="preserve">E65  first round (logit):   λi_k = permit_k exp(−K_i tic_k / cmin),  cmin = max(min_{permit} tic, c_min);   I1_k = min(Max_k, need · λi_k/Σ_j λi_j)</w:t>
      </w:r>
      <w:r>
        <w:br/>
      </w:r>
      <w:r>
        <w:rPr>
          <w:rStyle w:val="VerbatimChar"/>
        </w:rPr>
        <w:t xml:space="preserve">E66  second round:          I2_k = permit_k · max(0, min(Max_k − I1_k, deficit − Σ_{j: tic_j+tb_j &lt; tic_k+tb_k} (Max_j − I1_j) permit_j)),</w:t>
      </w:r>
      <w:r>
        <w:br/>
      </w:r>
      <w:r>
        <w:rPr>
          <w:rStyle w:val="VerbatimChar"/>
        </w:rPr>
        <w:t xml:space="preserve">                            deficit = max(need − Σ_j I1_j, 0);   gas: + (deficit − Σ_j I2_j) if PwDeficitGas = Yes</w:t>
      </w:r>
      <w:r>
        <w:br/>
      </w:r>
      <w:r>
        <w:rPr>
          <w:rStyle w:val="VerbatimChar"/>
        </w:rPr>
        <w:t xml:space="preserve">E67  nameplate investment:  I_k = (I1_k + I2_k) / cf_k;    Inv$_k = I_k · cax_k(t) / 1000  (USD m);   φ_k = I_k / (K_k + I_k − Ret_k)</w:t>
      </w:r>
      <w:r>
        <w:br/>
      </w:r>
      <w:r>
        <w:rPr>
          <w:rStyle w:val="VerbatimChar"/>
        </w:rPr>
        <w:t xml:space="preserve">E68  power CO2:             CO2_k = FU_k · EF_k   (EF_k in MtCO2/ktoe)</w:t>
      </w:r>
    </w:p>
    <w:p>
      <w:pPr>
        <w:numPr>
          <w:ilvl w:val="0"/>
          <w:numId w:val="1008"/>
        </w:numPr>
        <w:pStyle w:val="Compact"/>
      </w:pPr>
      <w:r>
        <w:t xml:space="preserve">E60 has no stray reference (fixes legacy bug L11); total nameplate investment is the sum over types (fixes legacy bug L12). The PPA share runs at its capacity factor scaled to the need (legacy rows 3794-3805).</w:t>
      </w:r>
    </w:p>
    <w:p>
      <w:pPr>
        <w:numPr>
          <w:ilvl w:val="0"/>
          <w:numId w:val="1008"/>
        </w:numPr>
        <w:pStyle w:val="Compact"/>
      </w:pPr>
      <w:r>
        <w:t xml:space="preserve">E61 caps effective retirement like nameplate retirement (fixes legacy bug L8); E62 keeps nameplate and effective capacity apart (fixes legacy bug L7).</w:t>
      </w:r>
    </w:p>
    <w:p>
      <w:pPr>
        <w:numPr>
          <w:ilvl w:val="0"/>
          <w:numId w:val="1008"/>
        </w:numPr>
        <w:pStyle w:val="Compact"/>
      </w:pPr>
      <w:r>
        <w:t xml:space="preserve">E63 uses actual capacity (fixes legacy bug L10); E65 normalises by the cheapest permitted type (fixes legacy bug L6); E67 values investment at the capital cost of the year (fixes legacy bug L5).</w:t>
      </w:r>
    </w:p>
    <w:bookmarkEnd w:id="30"/>
    <w:bookmarkStart w:id="32" w:name="fuel-use-by-subsector"/>
    <w:p>
      <w:pPr>
        <w:pStyle w:val="Heading3"/>
      </w:pPr>
      <w:r>
        <w:t xml:space="preserve">4. Fuel use by subsector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 (source)</w:t>
            </w:r>
          </w:p>
        </w:tc>
      </w:tr>
      <w:tr>
        <w:tc>
          <w:tcPr/>
          <w:p>
            <w:pPr>
              <w:pStyle w:val="Compact"/>
              <w:jc w:val="left"/>
            </w:pPr>
            <w:r>
              <w:t xml:space="preserve">Q</w:t>
            </w:r>
            <w:hyperlink r:id="rId31">
              <w:r>
                <w:rPr>
                  <w:rStyle w:val="Hyperlink"/>
                </w:rPr>
                <w:t xml:space="preserve">f,s</w:t>
              </w:r>
            </w:hyperlink>
          </w:p>
        </w:tc>
        <w:tc>
          <w:tcPr/>
          <w:p>
            <w:pPr>
              <w:pStyle w:val="Compact"/>
              <w:jc w:val="left"/>
            </w:pPr>
            <w:r>
              <w:t xml:space="preserve">base-year fuel use (energy balance data, ktoe)</w:t>
            </w:r>
          </w:p>
        </w:tc>
      </w:tr>
      <w:tr>
        <w:tc>
          <w:tcPr/>
          <w:p>
            <w:pPr>
              <w:pStyle w:val="Compact"/>
              <w:jc w:val="left"/>
            </w:pPr>
            <w:r>
              <w:t xml:space="preserve">εY, εU, εF</w:t>
            </w:r>
          </w:p>
        </w:tc>
        <w:tc>
          <w:tcPr/>
          <w:p>
            <w:pPr>
              <w:pStyle w:val="Compact"/>
              <w:jc w:val="left"/>
            </w:pPr>
            <w:r>
              <w:t xml:space="preserve">income, usage and efficiency elasticities of fuel f in subsector s (legacy CPAT elasticities)</w:t>
            </w:r>
          </w:p>
        </w:tc>
      </w:tr>
      <w:tr>
        <w:tc>
          <w:tcPr/>
          <w:p>
            <w:pPr>
              <w:pStyle w:val="Compact"/>
              <w:jc w:val="left"/>
            </w:pPr>
            <w:r>
              <w:t xml:space="preserve">α</w:t>
            </w:r>
          </w:p>
        </w:tc>
        <w:tc>
          <w:tcPr/>
          <w:p>
            <w:pPr>
              <w:pStyle w:val="Compact"/>
              <w:jc w:val="left"/>
            </w:pPr>
            <w:r>
              <w:t xml:space="preserve">autonomous energy efficiency improvement</w:t>
            </w:r>
          </w:p>
        </w:tc>
      </w:tr>
    </w:tbl>
    <w:p>
      <w:pPr>
        <w:pStyle w:val="SourceCode"/>
      </w:pPr>
      <w:r>
        <w:rPr>
          <w:rStyle w:val="VerbatimChar"/>
        </w:rPr>
        <w:t xml:space="preserve">E69  Qᵉ[f,s](t) = Qᵉ[f,s](t−1) · (1/(1+α+α⁺_G(s)))^(1+εU) · (1 + g(t))^(εY · inc(t)) · (P(t)/P(t−1))^εU</w:t>
      </w:r>
      <w:r>
        <w:br/>
      </w:r>
      <w:r>
        <w:rPr>
          <w:rStyle w:val="VerbatimChar"/>
        </w:rPr>
        <w:t xml:space="preserve">                  · ((P(t) + Sh(t)) / (P(t−1) + Sh(t−1)))^(εF (1+εU)) · (1 + shock(t) · switch),   Qᵉ(t₀) = Q(t₀)</w:t>
      </w:r>
      <w:r>
        <w:br/>
      </w:r>
      <w:r>
        <w:rPr>
          <w:rStyle w:val="VerbatimChar"/>
        </w:rPr>
        <w:t xml:space="preserve">     Q[f,s](t)  = Qᵉ[f,s](t) + Lk[f,s](t)        (Lk: residential leakage to biomass, section 4a; 0 elsewhere)</w:t>
      </w:r>
      <w:r>
        <w:br/>
      </w:r>
      <w:r>
        <w:rPr>
          <w:rStyle w:val="VerbatimChar"/>
        </w:rPr>
        <w:t xml:space="preserve">E70  Q[S] = Σ_{s∈S} Σ_f Q[f,s];     Q[f] = Σ_s Q[f,s] + Σ_{k: fuel f} FU_k;     Q = Σ_f Q[f]</w:t>
      </w:r>
    </w:p>
    <w:p>
      <w:pPr>
        <w:numPr>
          <w:ilvl w:val="0"/>
          <w:numId w:val="1009"/>
        </w:numPr>
        <w:pStyle w:val="Compact"/>
      </w:pPr>
      <w:r>
        <w:t xml:space="preserve">P is the after-tax price (E31), Sh the shadow price (E32), g GDP growth (E95), inc(t) the income factor (legacy row 2433, as power demand E53; v4.12; in the workbook: section 0 row 14 = (1 + g)^inc − 1). α⁺_G(s) is the additional policy-induced efficiency gain of the subsector’s legacy group (MTInputs 243-245 by scenario: road vehicles = road, rail, aviation, navigation; residential; industrial = the other subsectors, other energy use included: legacy bug L66), v4.13. Residential biomass has εY = 0 unless MTInputs</w:t>
      </w:r>
      <w:r>
        <w:t xml:space="preserve"> </w:t>
      </w:r>
      <w:r>
        <w:rPr>
          <w:rStyle w:val="VerbatimChar"/>
        </w:rPr>
        <w:t xml:space="preserve">BiomassNormal</w:t>
      </w:r>
      <w:r>
        <w:t xml:space="preserve"> </w:t>
      </w:r>
      <w:r>
        <w:t xml:space="preserve">= Yes (legacy row 5567; v4.13). This is CPAT equation 3.3.3. shock(t) is legacy’s exogenous shock on energy consumption (row 2439: −20.8% in 2023, +9.2% in 2024, 0 after), switch Settings C19, on as legacy; the same factor multiplies power demand (section 3). The shadow price of feebates and of the output-based part of the ETS acts on the efficiency margin only.</w:t>
      </w:r>
    </w:p>
    <w:p>
      <w:pPr>
        <w:numPr>
          <w:ilvl w:val="0"/>
          <w:numId w:val="1009"/>
        </w:numPr>
        <w:pStyle w:val="Compact"/>
      </w:pPr>
      <w:r>
        <w:t xml:space="preserve">Electricity demand D_s is shown in the sector blocks as a memo. It is not part of the fuel totals; generation fuel use FU_k is.</w:t>
      </w:r>
    </w:p>
    <w:p>
      <w:pPr>
        <w:numPr>
          <w:ilvl w:val="0"/>
          <w:numId w:val="1009"/>
        </w:numPr>
        <w:pStyle w:val="Compact"/>
      </w:pPr>
      <w:r>
        <w:t xml:space="preserve">Qᵉ is the elasticity model (</w:t>
      </w:r>
      <w:r>
        <w:rPr>
          <w:rStyle w:val="VerbatimChar"/>
        </w:rPr>
        <w:t xml:space="preserve">enel</w:t>
      </w:r>
      <w:r>
        <w:t xml:space="preserve">), Q the fuel use used everywhere else (</w:t>
      </w:r>
      <w:r>
        <w:rPr>
          <w:rStyle w:val="VerbatimChar"/>
        </w:rPr>
        <w:t xml:space="preserve">ener</w:t>
      </w:r>
      <w:r>
        <w:t xml:space="preserve">): road fuels from the engineer model where TrModel = Engineer (section 4b), the residential fuels plus their leakage (section 4a).</w:t>
      </w:r>
    </w:p>
    <w:bookmarkEnd w:id="32"/>
    <w:bookmarkStart w:id="33" w:name="X62cbfe29780180eea7f6787cf94f956a113db21"/>
    <w:p>
      <w:pPr>
        <w:pStyle w:val="Heading3"/>
      </w:pPr>
      <w:r>
        <w:t xml:space="preserve">4a. Residential leakage to biomass (switch BiomassLeakage; default off)</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 (source)</w:t>
            </w:r>
          </w:p>
        </w:tc>
      </w:tr>
      <w:tr>
        <w:tc>
          <w:tcPr/>
          <w:p>
            <w:pPr>
              <w:pStyle w:val="Compact"/>
              <w:jc w:val="left"/>
            </w:pPr>
            <w:r>
              <w:t xml:space="preserve">lk</w:t>
            </w:r>
          </w:p>
        </w:tc>
        <w:tc>
          <w:tcPr/>
          <w:p>
            <w:pPr>
              <w:pStyle w:val="Compact"/>
              <w:jc w:val="left"/>
            </w:pPr>
            <w:r>
              <w:t xml:space="preserve">leakage on: MTInputs</w:t>
            </w:r>
            <w:r>
              <w:t xml:space="preserve"> </w:t>
            </w:r>
            <w:r>
              <w:rPr>
                <w:rStyle w:val="VerbatimChar"/>
              </w:rPr>
              <w:t xml:space="preserve">BiomassLeakage</w:t>
            </w:r>
            <w:r>
              <w:t xml:space="preserve"> </w:t>
            </w:r>
            <w:r>
              <w:t xml:space="preserve">(scenario 1) starts with</w:t>
            </w:r>
            <w:r>
              <w:t xml:space="preserve"> </w:t>
            </w:r>
            <w:r>
              <w:t xml:space="preserve">“</w:t>
            </w:r>
            <w:r>
              <w:t xml:space="preserve">Yes</w:t>
            </w:r>
            <w:r>
              <w:t xml:space="preserve">”</w:t>
            </w:r>
            <w:r>
              <w:t xml:space="preserve"> </w:t>
            </w:r>
            <w:r>
              <w:t xml:space="preserve">(setting)</w:t>
            </w:r>
          </w:p>
        </w:tc>
      </w:tr>
      <w:tr>
        <w:tc>
          <w:tcPr/>
          <w:p>
            <w:pPr>
              <w:pStyle w:val="Compact"/>
              <w:jc w:val="left"/>
            </w:pPr>
            <w:r>
              <w:t xml:space="preserve">m*</w:t>
            </w:r>
          </w:p>
        </w:tc>
        <w:tc>
          <w:tcPr/>
          <w:p>
            <w:pPr>
              <w:pStyle w:val="Compact"/>
              <w:jc w:val="left"/>
            </w:pPr>
            <w:r>
              <w:t xml:space="preserve">most-used cooking fuel of the country, overall sample (WHOCooking); only m* ∈ M = {natural gas, LPG, kerosene} leaks</w:t>
            </w:r>
          </w:p>
        </w:tc>
      </w:tr>
      <w:tr>
        <w:tc>
          <w:tcPr/>
          <w:p>
            <w:pPr>
              <w:pStyle w:val="Compact"/>
              <w:jc w:val="left"/>
            </w:pPr>
            <w:r>
              <w:t xml:space="preserve">e_m, e_b</w:t>
            </w:r>
          </w:p>
        </w:tc>
        <w:tc>
          <w:tcPr/>
          <w:p>
            <w:pPr>
              <w:pStyle w:val="Compact"/>
              <w:jc w:val="left"/>
            </w:pPr>
            <w:r>
              <w:t xml:space="preserve">cookstove efficiency of fuel m and of biomass (MTInputs NatGasEff, LPGEff, KerEff, BioEff, scenario 1)</w:t>
            </w:r>
          </w:p>
        </w:tc>
      </w:tr>
      <w:tr>
        <w:tc>
          <w:tcPr/>
          <w:p>
            <w:pPr>
              <w:pStyle w:val="Compact"/>
              <w:jc w:val="left"/>
            </w:pPr>
            <w:r>
              <w:t xml:space="preserve">σ</w:t>
            </w:r>
          </w:p>
        </w:tc>
        <w:tc>
          <w:tcPr/>
          <w:p>
            <w:pPr>
              <w:pStyle w:val="Compact"/>
              <w:jc w:val="left"/>
            </w:pPr>
            <w:r>
              <w:t xml:space="preserve">cross-price elasticity of biomass with respect to LPG (Elasticities C131, legacy row 360; 0.25)</w:t>
            </w:r>
          </w:p>
        </w:tc>
      </w:tr>
      <w:tr>
        <w:tc>
          <w:tcPr/>
          <w:p>
            <w:pPr>
              <w:pStyle w:val="Compact"/>
              <w:jc w:val="left"/>
            </w:pPr>
            <w:r>
              <w:t xml:space="preserve">ℓ</w:t>
            </w:r>
          </w:p>
        </w:tc>
        <w:tc>
          <w:tcPr/>
          <w:p>
            <w:pPr>
              <w:pStyle w:val="Compact"/>
              <w:jc w:val="left"/>
            </w:pPr>
            <w:r>
              <w:t xml:space="preserve">substitution lag (1 year, sheet Constants)</w:t>
            </w:r>
          </w:p>
        </w:tc>
      </w:tr>
    </w:tbl>
    <w:p>
      <w:pPr>
        <w:pStyle w:val="BodyText"/>
      </w:pPr>
      <w:r>
        <w:t xml:space="preserve">For m ∈ M in the residential subsector (s = res), t &gt; t₀ (all flows 0 in t₀):</w:t>
      </w:r>
    </w:p>
    <w:p>
      <w:pPr>
        <w:pStyle w:val="SourceCode"/>
      </w:pPr>
      <w:r>
        <w:rPr>
          <w:rStyle w:val="VerbatimChar"/>
        </w:rPr>
        <w:t xml:space="preserve">E69a new policy in the price:  W_m(t) = N[m,res](t) · (1 + v_c(m,res))</w:t>
      </w:r>
      <w:r>
        <w:br/>
      </w:r>
      <w:r>
        <w:rPr>
          <w:rStyle w:val="VerbatimChar"/>
        </w:rPr>
        <w:t xml:space="preserve">E69b leaked share:             p_m(t) = 1[lk and m = m*] · min( (1 + (W_m(t) − W_m(t−1)) / P[m,res](t−1))^(σ e_b / e_m / ℓ) − 1, 1 )</w:t>
      </w:r>
      <w:r>
        <w:br/>
      </w:r>
      <w:r>
        <w:rPr>
          <w:rStyle w:val="VerbatimChar"/>
        </w:rPr>
        <w:t xml:space="preserve">E69c fossil change:            d_m(t) = − Q[m,res](t−1) · e_m · p_m(t)</w:t>
      </w:r>
      <w:r>
        <w:br/>
      </w:r>
      <w:r>
        <w:rPr>
          <w:rStyle w:val="VerbatimChar"/>
        </w:rPr>
        <w:t xml:space="preserve">E69d biomass replacing it:     b_m(t) = − d_m(t) · e_m / e_b                       (same useful energy)</w:t>
      </w:r>
      <w:r>
        <w:br/>
      </w:r>
      <w:r>
        <w:rPr>
          <w:rStyle w:val="VerbatimChar"/>
        </w:rPr>
        <w:t xml:space="preserve">E69e cumulative changes:       Lk[m,res](t) = Lk[m,res](t−1) + d_m(t),     Lk[bio,res](t) = Lk[bio,res](t−1) + Σ_m b_m(t)</w:t>
      </w:r>
    </w:p>
    <w:p>
      <w:pPr>
        <w:numPr>
          <w:ilvl w:val="0"/>
          <w:numId w:val="1010"/>
        </w:numPr>
        <w:pStyle w:val="Compact"/>
      </w:pPr>
      <w:r>
        <w:t xml:space="preserve">A rise in the new policy relative to last year’s after-tax price moves a share of the most-used cooking fuel to biomass; a fall moves it back (p &lt; 0). The share is capped at 1. With a flat policy after its start the share is 0, so the shift happens in the years the policy rises and then stays as a level shift (Lk is not grown with GDP).</w:t>
      </w:r>
    </w:p>
    <w:p>
      <w:pPr>
        <w:numPr>
          <w:ilvl w:val="0"/>
          <w:numId w:val="1010"/>
        </w:numPr>
        <w:pStyle w:val="Compact"/>
      </w:pPr>
      <w:r>
        <w:t xml:space="preserve">The fossil change is weighted by the fuel’s cookstove efficiency (p is read as a share of useful energy), and biomass gains the same useful energy: e_m d_m + e_b Σ b = 0 each year.</w:t>
      </w:r>
    </w:p>
    <w:p>
      <w:pPr>
        <w:numPr>
          <w:ilvl w:val="0"/>
          <w:numId w:val="1010"/>
        </w:numPr>
        <w:pStyle w:val="Compact"/>
      </w:pPr>
      <w:r>
        <w:t xml:space="preserve">W_m is the new policy of the row itself (E26-E29), so an exempt fuel (E18a) does not leak.</w:t>
      </w:r>
    </w:p>
    <w:p>
      <w:pPr>
        <w:numPr>
          <w:ilvl w:val="0"/>
          <w:numId w:val="1010"/>
        </w:numPr>
        <w:pStyle w:val="Compact"/>
      </w:pPr>
      <w:r>
        <w:t xml:space="preserve">The change is computed on last year’s actual use Q(t−1), which already includes earlier leakage; Qᵉ stays the elasticity model. Every product of the fuel follows Q: CO2, CH4, local pollutants, revenues, the price-block weights and the distribution module.</w:t>
      </w:r>
      <w:r>
        <w:t xml:space="preserve"> </w:t>
      </w:r>
      <w:r>
        <w:t xml:space="preserve">Road transport, engineer model (switch TrModel; default off)</w:t>
      </w:r>
    </w:p>
    <w:p>
      <w:pPr>
        <w:pStyle w:val="FirstParagraph"/>
      </w:pPr>
      <w:r>
        <w:t xml:space="preserve">Classes c ∈ {passenger new, passenger used, freight, 2-3 wheeler}; powertrains i ∈ ICE fuels (gasoline, diesel, LPG, CNG/LNG), PHEV (passenger), BEV. Years up to the last data year Tᴰ take the data (Transport1); the equations below are for later years. Bugs fixed against legacy:</w:t>
      </w:r>
      <w:r>
        <w:t xml:space="preserve"> </w:t>
      </w:r>
      <w:r>
        <w:rPr>
          <w:rStyle w:val="VerbatimChar"/>
        </w:rPr>
        <w:t xml:space="preserve">Transport_vs_Legacy_v7_0.md</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 (source)</w:t>
            </w:r>
          </w:p>
        </w:tc>
      </w:tr>
      <w:tr>
        <w:tc>
          <w:tcPr/>
          <w:p>
            <w:pPr>
              <w:pStyle w:val="Compact"/>
              <w:jc w:val="left"/>
            </w:pPr>
            <w:r>
              <w:t xml:space="preserve">N(t), y(t)</w:t>
            </w:r>
          </w:p>
        </w:tc>
        <w:tc>
          <w:tcPr/>
          <w:p>
            <w:pPr>
              <w:pStyle w:val="Compact"/>
              <w:jc w:val="left"/>
            </w:pPr>
            <w:r>
              <w:t xml:space="preserve">population; GDP per capita (section 9)</w:t>
            </w:r>
          </w:p>
        </w:tc>
      </w:tr>
      <w:tr>
        <w:tc>
          <w:tcPr/>
          <w:p>
            <w:pPr>
              <w:pStyle w:val="Compact"/>
              <w:jc w:val="left"/>
            </w:pPr>
            <w:r>
              <w:t xml:space="preserve">Sat_c, γ, λ, gmax, dmax</w:t>
            </w:r>
          </w:p>
        </w:tc>
        <w:tc>
          <w:tcPr/>
          <w:p>
            <w:pPr>
              <w:pStyle w:val="Compact"/>
              <w:jc w:val="left"/>
            </w:pPr>
            <w:r>
              <w:t xml:space="preserve">ownership saturation (data); Gompertz constants a_G, b_G; partial adjustment; maximum annual growth and decline of ownership (parameters)</w:t>
            </w:r>
          </w:p>
        </w:tc>
      </w:tr>
      <w:tr>
        <w:tc>
          <w:tcPr/>
          <w:p>
            <w:pPr>
              <w:pStyle w:val="Compact"/>
              <w:jc w:val="left"/>
            </w:pPr>
            <w:r>
              <w:t xml:space="preserve">L_c, own_c</w:t>
            </w:r>
          </w:p>
        </w:tc>
        <w:tc>
          <w:tcPr/>
          <w:p>
            <w:pPr>
              <w:pStyle w:val="Compact"/>
              <w:jc w:val="left"/>
            </w:pPr>
            <w:r>
              <w:t xml:space="preserve">vehicle lifetime; ownership period of the buyer (parameters)</w:t>
            </w:r>
          </w:p>
        </w:tc>
      </w:tr>
      <w:tr>
        <w:tc>
          <w:tcPr/>
          <w:p>
            <w:pPr>
              <w:pStyle w:val="Compact"/>
              <w:jc w:val="left"/>
            </w:pPr>
            <w:r>
              <w:t xml:space="preserve">s_used</w:t>
            </w:r>
          </w:p>
        </w:tc>
        <w:tc>
          <w:tcPr/>
          <w:p>
            <w:pPr>
              <w:pStyle w:val="Compact"/>
              <w:jc w:val="left"/>
            </w:pPr>
            <w:r>
              <w:t xml:space="preserve">used share of passenger purchases (data)</w:t>
            </w:r>
          </w:p>
        </w:tc>
      </w:tr>
      <w:tr>
        <w:tc>
          <w:tcPr/>
          <w:p>
            <w:pPr>
              <w:pStyle w:val="Compact"/>
              <w:jc w:val="left"/>
            </w:pPr>
            <w:r>
              <w:t xml:space="preserve">P_c,i</w:t>
            </w:r>
          </w:p>
        </w:tc>
        <w:tc>
          <w:tcPr/>
          <w:p>
            <w:pPr>
              <w:pStyle w:val="Compact"/>
              <w:jc w:val="left"/>
            </w:pPr>
            <w:r>
              <w:t xml:space="preserve">purchase price (Transport2)</w:t>
            </w:r>
          </w:p>
        </w:tc>
      </w:tr>
      <w:tr>
        <w:tc>
          <w:tcPr/>
          <w:p>
            <w:pPr>
              <w:pStyle w:val="Compact"/>
              <w:jc w:val="left"/>
            </w:pPr>
            <w:r>
              <w:t xml:space="preserve">τ_cu, τ_av, v</w:t>
            </w:r>
          </w:p>
        </w:tc>
        <w:tc>
          <w:tcPr/>
          <w:p>
            <w:pPr>
              <w:pStyle w:val="Compact"/>
              <w:jc w:val="left"/>
            </w:pPr>
            <w:r>
              <w:t xml:space="preserve">customs (× import share), ad-valorem tax, VAT on vehicles (data, policy rows)</w:t>
            </w:r>
          </w:p>
        </w:tc>
      </w:tr>
      <w:tr>
        <w:tc>
          <w:tcPr/>
          <w:p>
            <w:pPr>
              <w:pStyle w:val="Compact"/>
              <w:jc w:val="left"/>
            </w:pPr>
            <w:r>
              <w:t xml:space="preserve">fb, piv</w:t>
            </w:r>
          </w:p>
        </w:tc>
        <w:tc>
          <w:tcPr/>
          <w:p>
            <w:pPr>
              <w:pStyle w:val="Compact"/>
              <w:jc w:val="left"/>
            </w:pPr>
            <w:r>
              <w:t xml:space="preserve">feebate rate ($/t CO2) and pivot (g CO2/km); sub: EV subsidy ($/vehicle)</w:t>
            </w:r>
          </w:p>
        </w:tc>
      </w:tr>
      <w:tr>
        <w:tc>
          <w:tcPr/>
          <w:p>
            <w:pPr>
              <w:pStyle w:val="Compact"/>
              <w:jc w:val="left"/>
            </w:pPr>
            <w:r>
              <w:t xml:space="preserve">δ1, ins, m_c,i</w:t>
            </w:r>
          </w:p>
        </w:tc>
        <w:tc>
          <w:tcPr/>
          <w:p>
            <w:pPr>
              <w:pStyle w:val="Compact"/>
              <w:jc w:val="left"/>
            </w:pPr>
            <w:r>
              <w:t xml:space="preserve">first-year depreciation, insurance share, maintenance $/km (parameters)</w:t>
            </w:r>
          </w:p>
        </w:tc>
      </w:tr>
      <w:tr>
        <w:tc>
          <w:tcPr/>
          <w:p>
            <w:pPr>
              <w:pStyle w:val="Compact"/>
              <w:jc w:val="left"/>
            </w:pPr>
            <w:r>
              <w:t xml:space="preserve">r(y)</w:t>
            </w:r>
          </w:p>
        </w:tc>
        <w:tc>
          <w:tcPr/>
          <w:p>
            <w:pPr>
              <w:pStyle w:val="Compact"/>
              <w:jc w:val="left"/>
            </w:pPr>
            <w:r>
              <w:t xml:space="preserve">consumer discount rate, linear in GDP per capita between two income levels (parameters)</w:t>
            </w:r>
          </w:p>
        </w:tc>
      </w:tr>
      <w:tr>
        <w:tc>
          <w:tcPr/>
          <w:p>
            <w:pPr>
              <w:pStyle w:val="Compact"/>
              <w:jc w:val="left"/>
            </w:pPr>
            <w:r>
              <w:t xml:space="preserve">p_i, p_e</w:t>
            </w:r>
          </w:p>
        </w:tc>
        <w:tc>
          <w:tcPr/>
          <w:p>
            <w:pPr>
              <w:pStyle w:val="Compact"/>
              <w:jc w:val="left"/>
            </w:pPr>
            <w:r>
              <w:t xml:space="preserve">fuel price incl. new policies ($/liter; section 2); EV electricity price = power price of t−1 + mark-up</w:t>
            </w:r>
          </w:p>
        </w:tc>
      </w:tr>
      <w:tr>
        <w:tc>
          <w:tcPr/>
          <w:p>
            <w:pPr>
              <w:pStyle w:val="Compact"/>
              <w:jc w:val="left"/>
            </w:pPr>
            <w:r>
              <w:t xml:space="preserve">dt</w:t>
            </w:r>
          </w:p>
        </w:tc>
        <w:tc>
          <w:tcPr/>
          <w:p>
            <w:pPr>
              <w:pStyle w:val="Compact"/>
              <w:jc w:val="left"/>
            </w:pPr>
            <w:r>
              <w:t xml:space="preserve">distance tax ($/km, policy ramp)</w:t>
            </w:r>
          </w:p>
        </w:tc>
      </w:tr>
      <w:tr>
        <w:tc>
          <w:tcPr/>
          <w:p>
            <w:pPr>
              <w:pStyle w:val="Compact"/>
              <w:jc w:val="left"/>
            </w:pPr>
            <w:r>
              <w:t xml:space="preserve">RA_c</w:t>
            </w:r>
          </w:p>
        </w:tc>
        <w:tc>
          <w:tcPr/>
          <w:p>
            <w:pPr>
              <w:pStyle w:val="Compact"/>
              <w:jc w:val="left"/>
            </w:pPr>
            <w:r>
              <w:t xml:space="preserve">range anxiety ($/vehicle; Transport3, then falling with charging stations)</w:t>
            </w:r>
          </w:p>
        </w:tc>
      </w:tr>
      <w:tr>
        <w:tc>
          <w:tcPr/>
          <w:p>
            <w:pPr>
              <w:pStyle w:val="Compact"/>
              <w:jc w:val="left"/>
            </w:pPr>
            <w:r>
              <w:t xml:space="preserve">k_c</w:t>
            </w:r>
          </w:p>
        </w:tc>
        <w:tc>
          <w:tcPr/>
          <w:p>
            <w:pPr>
              <w:pStyle w:val="Compact"/>
              <w:jc w:val="left"/>
            </w:pPr>
            <w:r>
              <w:t xml:space="preserve">logit constant; η_own, η_cross: own and cross TCO elasticities of the ICE fuel split</w:t>
            </w:r>
          </w:p>
        </w:tc>
      </w:tr>
      <w:tr>
        <w:tc>
          <w:tcPr/>
          <w:p>
            <w:pPr>
              <w:pStyle w:val="Compact"/>
              <w:jc w:val="left"/>
            </w:pPr>
            <w:r>
              <w:t xml:space="preserve">ε_D, ε_E, ε_Y, α</w:t>
            </w:r>
          </w:p>
        </w:tc>
        <w:tc>
          <w:tcPr/>
          <w:p>
            <w:pPr>
              <w:pStyle w:val="Compact"/>
              <w:jc w:val="left"/>
            </w:pPr>
            <w:r>
              <w:t xml:space="preserve">driving, fuel-economy and distance-income elasticities; autonomous efficiency improvement</w:t>
            </w:r>
          </w:p>
        </w:tc>
      </w:tr>
      <w:tr>
        <w:tc>
          <w:tcPr/>
          <w:p>
            <w:pPr>
              <w:pStyle w:val="Compact"/>
              <w:jc w:val="left"/>
            </w:pPr>
            <w:r>
              <w:t xml:space="preserve">FE</w:t>
            </w:r>
          </w:p>
        </w:tc>
        <w:tc>
          <w:tcPr/>
          <w:p>
            <w:pPr>
              <w:pStyle w:val="Compact"/>
              <w:jc w:val="left"/>
            </w:pPr>
            <w:r>
              <w:t xml:space="preserve">fuel economy (km per liter; BEV km per kWh)</w:t>
            </w:r>
          </w:p>
        </w:tc>
      </w:tr>
    </w:tbl>
    <w:p>
      <w:pPr>
        <w:pStyle w:val="SourceCode"/>
      </w:pPr>
      <w:r>
        <w:rPr>
          <w:rStyle w:val="VerbatimChar"/>
        </w:rPr>
        <w:t xml:space="preserve">T1  ownership target:  O*_c(t) = Sat_c · exp(a_G · exp(b_G · y(t))) · J_c,   J_c = O_c(Tᴰ) / O*_c,raw(Tᴰ)  (two-sided)</w:t>
      </w:r>
      <w:r>
        <w:br/>
      </w:r>
      <w:r>
        <w:rPr>
          <w:rStyle w:val="VerbatimChar"/>
        </w:rPr>
        <w:t xml:space="preserve">T2  ownership demand:  O_c(t) = λ O*_c(t) + (1 − λ) O_c(t−1),   bounded to [(1 − dmax) O_c(t−1), (1 + gmax) O_c(t−1)]</w:t>
      </w:r>
      <w:r>
        <w:br/>
      </w:r>
      <w:r>
        <w:rPr>
          <w:rStyle w:val="VerbatimChar"/>
        </w:rPr>
        <w:t xml:space="preserve">                       freight: O*_fre = O*_pass · share_fre(y);   2-3 wheelers: hump in y</w:t>
      </w:r>
      <w:r>
        <w:br/>
      </w:r>
      <w:r>
        <w:rPr>
          <w:rStyle w:val="VerbatimChar"/>
        </w:rPr>
        <w:t xml:space="preserve">T3  retirement:        Ret_c(t) = min(mean of the opening stock over min(L_c, t − t₀) years / L_c, opening)</w:t>
      </w:r>
      <w:r>
        <w:br/>
      </w:r>
      <w:r>
        <w:rPr>
          <w:rStyle w:val="VerbatimChar"/>
        </w:rPr>
        <w:t xml:space="preserve">T4  purchases:         S_c(t) = O_c(t) N(t) − (opening − Ret);   passenger new / used: (1 − s_used), s_used</w:t>
      </w:r>
      <w:r>
        <w:br/>
      </w:r>
      <w:r>
        <w:rPr>
          <w:rStyle w:val="VerbatimChar"/>
        </w:rPr>
        <w:t xml:space="preserve">T5  discounted km:     K_c = Σ_{τ=1..own_c} VKT_c / (1 + r)^τ</w:t>
      </w:r>
      <w:r>
        <w:br/>
      </w:r>
      <w:r>
        <w:rPr>
          <w:rStyle w:val="VerbatimChar"/>
        </w:rPr>
        <w:t xml:space="preserve">T6  price after taxes: Pt_c,i = P_c,i (1 + τ_cu)(1 + τ_av)(1 + v) + FB_c,i − sub_c·1[BEV]</w:t>
      </w:r>
      <w:r>
        <w:br/>
      </w:r>
      <w:r>
        <w:rPr>
          <w:rStyle w:val="VerbatimChar"/>
        </w:rPr>
        <w:t xml:space="preserve">                       FB_c,i = fb · (int_c,i − piv) · K_c / 10⁶      (int: g CO2/km; BEV 0)</w:t>
      </w:r>
      <w:r>
        <w:br/>
      </w:r>
      <w:r>
        <w:rPr>
          <w:rStyle w:val="VerbatimChar"/>
        </w:rPr>
        <w:t xml:space="preserve">T7  TCO per km:        TCO_c,i = [Pt (δ1 + annuity of (1 − δ1) over L_c − 1 years) − salvage</w:t>
      </w:r>
      <w:r>
        <w:br/>
      </w:r>
      <w:r>
        <w:rPr>
          <w:rStyle w:val="VerbatimChar"/>
        </w:rPr>
        <w:t xml:space="preserve">                                  + ins · Pt · annuity + m_c,i K_c + (p_i/FE_c,i + dt) K_c + RA_c·1[BEV]] / K_c</w:t>
      </w:r>
      <w:r>
        <w:br/>
      </w:r>
      <w:r>
        <w:rPr>
          <w:rStyle w:val="VerbatimChar"/>
        </w:rPr>
        <w:t xml:space="preserve">T8  EV choice:         sh_EV,c = e^(−k_c TCO_EV/T̄) / (e^(−k_c TCO_EV/T̄) + e^(−k_c TCO_ICE/T̄)),   T̄ = TCO weighted by last year's ICE share</w:t>
      </w:r>
      <w:r>
        <w:br/>
      </w:r>
      <w:r>
        <w:rPr>
          <w:rStyle w:val="VerbatimChar"/>
        </w:rPr>
        <w:t xml:space="preserve">T9  ICE fuel split:    sh_i(t) = sh_i(t−1) · (TCO_i(t)/TCO_i(t−1))^η_own · (TCŌ_−i(t)/TCŌ_−i(t−1))^η_cross,  rescaled to 1 − sh_EV</w:t>
      </w:r>
      <w:r>
        <w:br/>
      </w:r>
      <w:r>
        <w:rPr>
          <w:rStyle w:val="VerbatimChar"/>
        </w:rPr>
        <w:t xml:space="preserve">T10 new fuel economy:  FEⁿ_i(t) = FEⁿ_i(t−1) · ((p_i + fbl_i)(t)/(p_i + fbl_i)(t−1))^|ε_E| · (1 + α)     (fbl: feebate per liter)</w:t>
      </w:r>
      <w:r>
        <w:br/>
      </w:r>
      <w:r>
        <w:rPr>
          <w:rStyle w:val="VerbatimChar"/>
        </w:rPr>
        <w:t xml:space="preserve">T11 stock fuel economy: FEˢ(t) = FEⁿ(t) · φ + FEˢ(t−1) · (1 − φ),   φ = share of new vehicles in the stock</w:t>
      </w:r>
      <w:r>
        <w:br/>
      </w:r>
      <w:r>
        <w:rPr>
          <w:rStyle w:val="VerbatimChar"/>
        </w:rPr>
        <w:t xml:space="preserve">T12 distance:          VKT_c(t) = VKT_c(t−1) · (cost per km ratio)^ε_D · (y(t)/y(t−1))^ε_Y</w:t>
      </w:r>
      <w:r>
        <w:br/>
      </w:r>
      <w:r>
        <w:rPr>
          <w:rStyle w:val="VerbatimChar"/>
        </w:rPr>
        <w:t xml:space="preserve">T13 fuel use:          F_i = Σ_c Veh_c,i · VKT_c · f1_c / FEˢ_c,i           (bln liters or kWh)</w:t>
      </w:r>
      <w:r>
        <w:br/>
      </w:r>
      <w:r>
        <w:rPr>
          <w:rStyle w:val="VerbatimChar"/>
        </w:rPr>
        <w:t xml:space="preserve">T14 calibration:       f1_c = distance factor from Σ_i (energy balance_i / bottom-up_i)(t₀) weighted by fuel use;</w:t>
      </w:r>
      <w:r>
        <w:br/>
      </w:r>
      <w:r>
        <w:rPr>
          <w:rStyle w:val="VerbatimChar"/>
        </w:rPr>
        <w:t xml:space="preserve">                       Q_i(t) = F_i(t) / lpk_i · f2_i,   f2_i = Q_i(t₀) / (F_i(t₀)/lpk_i)     (lpk: liters per ktoe)</w:t>
      </w:r>
      <w:r>
        <w:br/>
      </w:r>
      <w:r>
        <w:rPr>
          <w:rStyle w:val="VerbatimChar"/>
        </w:rPr>
        <w:t xml:space="preserve">T15 buses:             bus fuel_i(t) = bus fuel_i(t₀) · Q_pass,i(t)/Q_pass,i(t₀);   electricity likewise</w:t>
      </w:r>
      <w:r>
        <w:br/>
      </w:r>
      <w:r>
        <w:rPr>
          <w:rStyle w:val="VerbatimChar"/>
        </w:rPr>
        <w:t xml:space="preserve">T16 switch:            Q[f,rod] = Q_f(engineer) if TrModel = Engineer, else E69 (f ∈ gasoline, diesel, LPG, gas, biofuels);</w:t>
      </w:r>
      <w:r>
        <w:br/>
      </w:r>
      <w:r>
        <w:rPr>
          <w:rStyle w:val="VerbatimChar"/>
        </w:rPr>
        <w:t xml:space="preserve">                       road electricity → power demand D_rod</w:t>
      </w:r>
      <w:r>
        <w:br/>
      </w:r>
      <w:r>
        <w:rPr>
          <w:rStyle w:val="VerbatimChar"/>
        </w:rPr>
        <w:t xml:space="preserve">T17 biofuels:          Q_bio = (Q_bgs + Q_obf)(t₀) · Q_gso/Q_gso(t₀) + Q_bdi(t₀) · Q_die/Q_die(t₀)   (legacy rows 5436-5438)</w:t>
      </w:r>
      <w:r>
        <w:br/>
      </w:r>
      <w:r>
        <w:rPr>
          <w:rStyle w:val="VerbatimChar"/>
        </w:rPr>
        <w:t xml:space="preserve">T18 feebate EF:        e_gso = EF_gso · Q_gso/(Q_gso + Q_bgs)(t₀),  e_die = EF_die · Q_die/(Q_die + Q_bdi)(t₀)   (E2146:E2147; I40)</w:t>
      </w:r>
    </w:p>
    <w:p>
      <w:pPr>
        <w:numPr>
          <w:ilvl w:val="0"/>
          <w:numId w:val="1011"/>
        </w:numPr>
        <w:pStyle w:val="Compact"/>
      </w:pPr>
      <w:r>
        <w:t xml:space="preserve">T1 calibrates both ways at the last data year (legacy only scaled up, at 2024: bug L27).</w:t>
      </w:r>
    </w:p>
    <w:p>
      <w:pPr>
        <w:numPr>
          <w:ilvl w:val="0"/>
          <w:numId w:val="1011"/>
        </w:numPr>
        <w:pStyle w:val="Compact"/>
      </w:pPr>
      <w:r>
        <w:t xml:space="preserve">T7: used vehicles are priced at the resale value of a new vehicle and the fuel economy of their production year; both used ICEVs and used BEVs depreciate over the same period (L38); PHEVs carry no range anxiety (L41).</w:t>
      </w:r>
    </w:p>
    <w:p>
      <w:pPr>
        <w:numPr>
          <w:ilvl w:val="0"/>
          <w:numId w:val="1011"/>
        </w:numPr>
        <w:pStyle w:val="Compact"/>
      </w:pPr>
      <w:r>
        <w:t xml:space="preserve">No circular reference: the EV electricity price is last year’s power price, and GDP is that of section 9, which uses last year’s GDP effect.</w:t>
      </w:r>
    </w:p>
    <w:bookmarkEnd w:id="33"/>
    <w:bookmarkStart w:id="34" w:name="revenues-usd-million"/>
    <w:p>
      <w:pPr>
        <w:pStyle w:val="Heading3"/>
      </w:pPr>
      <w:r>
        <w:t xml:space="preserve">5. Revenues (USD million)</w:t>
      </w:r>
    </w:p>
    <w:p>
      <w:pPr>
        <w:pStyle w:val="SourceCode"/>
      </w:pPr>
      <w:r>
        <w:rPr>
          <w:rStyle w:val="VerbatimChar"/>
        </w:rPr>
        <w:t xml:space="preserve">E71  existing taxes:        Rtx[f,s]  = θ Q[f,s] (X⁺_c + VAT_c + ΔXCP[f,s](1 + v_c)),   c = c(f,s)</w:t>
      </w:r>
      <w:r>
        <w:br/>
      </w:r>
      <w:r>
        <w:rPr>
          <w:rStyle w:val="VerbatimChar"/>
        </w:rPr>
        <w:t xml:space="preserve">E72  existing subsidies:    Rsub[f,s] = θ Q[f,s] X⁻_c                                    (negative)</w:t>
      </w:r>
      <w:r>
        <w:br/>
      </w:r>
      <w:r>
        <w:rPr>
          <w:rStyle w:val="VerbatimChar"/>
        </w:rPr>
        <w:t xml:space="preserve">E73  new policies:          Rnew[f,s] = θ Q[f,s] (N^ct + N^x + ρ N^ets + v_c N)</w:t>
      </w:r>
      <w:r>
        <w:br/>
      </w:r>
      <w:r>
        <w:rPr>
          <w:rStyle w:val="VerbatimChar"/>
        </w:rPr>
        <w:t xml:space="preserve">E74  existing carbon (memo):Rxcp[f,s] = θ Q[f,s] XCP[f,s]</w:t>
      </w:r>
      <w:r>
        <w:br/>
      </w:r>
      <w:r>
        <w:rPr>
          <w:rStyle w:val="VerbatimChar"/>
        </w:rPr>
        <w:t xml:space="preserve">E75  power:                 Rtx_pow  = Σ_k θ FU_k (X⁺ + VAT)_c(k) + Σ_k M G_k xc_k + Σ_u pp_u v_u/(1+v_u) cons_u</w:t>
      </w:r>
      <w:r>
        <w:br/>
      </w:r>
      <w:r>
        <w:rPr>
          <w:rStyle w:val="VerbatimChar"/>
        </w:rPr>
        <w:t xml:space="preserve">                            Rsub_pow = Σ_k θ FU_k X⁻_c(k) + Σ_u gap_u cons_u + Σ_k M G_k rns_k</w:t>
      </w:r>
      <w:r>
        <w:br/>
      </w:r>
      <w:r>
        <w:rPr>
          <w:rStyle w:val="VerbatimChar"/>
        </w:rPr>
        <w:t xml:space="preserve">                            Rnew_pow = Σ_k (M G_k pc_k − CO2_k A_pow (1 − ρ)) + Σ_u ((pc̄ π_u (1 − rb) + x_u) v_u − rb pc̄ π_u + x_u) cons_u</w:t>
      </w:r>
      <w:r>
        <w:br/>
      </w:r>
      <w:r>
        <w:rPr>
          <w:rStyle w:val="VerbatimChar"/>
        </w:rPr>
        <w:t xml:space="preserve">E76  totals:                Rnet = Rtx + Rsub;   Rmf = methane fee revenue (E84);   Rtot = Rnet + Rnew + Rmf;   ΔRtot vs scenario 1</w:t>
      </w:r>
    </w:p>
    <w:p>
      <w:pPr>
        <w:pStyle w:val="FirstParagraph"/>
      </w:pPr>
      <w:r>
        <w:t xml:space="preserve">Totals sum the subsectors, fuels and power. The ETS raises revenue at the permit price on the auctioned part only (ρ N^ets). Feebates are revenue-neutral.</w:t>
      </w:r>
    </w:p>
    <w:bookmarkEnd w:id="34"/>
    <w:bookmarkStart w:id="35" w:name="co2-emissions-and-the-calibration-factor"/>
    <w:p>
      <w:pPr>
        <w:pStyle w:val="Heading3"/>
      </w:pPr>
      <w:r>
        <w:t xml:space="preserve">6. CO2 emissions and the calibration factor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 (source)</w:t>
            </w:r>
          </w:p>
        </w:tc>
      </w:tr>
      <w:tr>
        <w:tc>
          <w:tcPr/>
          <w:p>
            <w:pPr>
              <w:pStyle w:val="Compact"/>
              <w:jc w:val="left"/>
            </w:pPr>
            <w:r>
              <w:t xml:space="preserve">EF⁰[f,s], EF⁰_k</w:t>
            </w:r>
          </w:p>
        </w:tc>
        <w:tc>
          <w:tcPr/>
          <w:p>
            <w:pPr>
              <w:pStyle w:val="Compact"/>
              <w:jc w:val="left"/>
            </w:pPr>
            <w:r>
              <w:t xml:space="preserve">CO2 emission factors before calibration (IIASA)</w:t>
            </w:r>
          </w:p>
        </w:tc>
      </w:tr>
      <w:tr>
        <w:tc>
          <w:tcPr/>
          <w:p>
            <w:pPr>
              <w:pStyle w:val="Compact"/>
              <w:jc w:val="left"/>
            </w:pPr>
            <w:r>
              <w:t xml:space="preserve">CO2inv(Y)</w:t>
            </w:r>
          </w:p>
        </w:tc>
        <w:tc>
          <w:tcPr/>
          <w:p>
            <w:pPr>
              <w:pStyle w:val="Compact"/>
              <w:jc w:val="left"/>
            </w:pPr>
            <w:r>
              <w:t xml:space="preserve">energy CO2 of the GHG inventory in year Y</w:t>
            </w:r>
          </w:p>
        </w:tc>
      </w:tr>
      <w:tr>
        <w:tc>
          <w:tcPr/>
          <w:p>
            <w:pPr>
              <w:pStyle w:val="Compact"/>
              <w:jc w:val="left"/>
            </w:pPr>
            <w:r>
              <w:t xml:space="preserve">β_ets</w:t>
            </w:r>
          </w:p>
        </w:tc>
        <w:tc>
          <w:tcPr/>
          <w:p>
            <w:pPr>
              <w:pStyle w:val="Compact"/>
              <w:jc w:val="left"/>
            </w:pPr>
            <w:r>
              <w:t xml:space="preserve">convergence exponent of the ETS price proposal (0.5)</w:t>
            </w:r>
          </w:p>
        </w:tc>
      </w:tr>
    </w:tbl>
    <w:p>
      <w:pPr>
        <w:pStyle w:val="SourceCode"/>
      </w:pPr>
      <w:r>
        <w:rPr>
          <w:rStyle w:val="VerbatimChar"/>
        </w:rPr>
        <w:t xml:space="preserve">E77  calibration factor:    φ_CO2 = CO2inv(Y) / CO2^(1)_uncal(Y)   if the calibration switch is on (default off), else 1</w:t>
      </w:r>
      <w:r>
        <w:br/>
      </w:r>
      <w:r>
        <w:rPr>
          <w:rStyle w:val="VerbatimChar"/>
        </w:rPr>
        <w:t xml:space="preserve">                            EF = φ_CO2 · EF⁰ for every subsector, fuel and generation type</w:t>
      </w:r>
      <w:r>
        <w:br/>
      </w:r>
      <w:r>
        <w:rPr>
          <w:rStyle w:val="VerbatimChar"/>
        </w:rPr>
        <w:t xml:space="preserve">E78  CO2:                   CO2[f,s] = θ Q[f,s] EF[f,s];   CO2_k (E68);   CO2 = Σ_{f,s} CO2[f,s] + Σ_k CO2_k</w:t>
      </w:r>
      <w:r>
        <w:br/>
      </w:r>
      <w:r>
        <w:rPr>
          <w:rStyle w:val="VerbatimChar"/>
        </w:rPr>
        <w:t xml:space="preserve">E79  ETS check:             CO2_e by ETS sector;   cov(t) = Σ_e CO2_e κ_e;   gap = cov/cap − 1</w:t>
      </w:r>
      <w:r>
        <w:br/>
      </w:r>
      <w:r>
        <w:rPr>
          <w:rStyle w:val="VerbatimChar"/>
        </w:rPr>
        <w:t xml:space="preserve">                            lr = ln(cap/bce) / ln(cov/bce)       (0 if cap ≤ 0, cap ≥ bce or cov ≥ bce)</w:t>
      </w:r>
      <w:r>
        <w:br/>
      </w:r>
      <w:r>
        <w:rPr>
          <w:rStyle w:val="VerbatimChar"/>
        </w:rPr>
        <w:t xml:space="preserve">                            p_next = p_E · lr^β_ets               (p̂ if p_E ≤ 0 or lr = 0)</w:t>
      </w:r>
    </w:p>
    <w:p>
      <w:pPr>
        <w:numPr>
          <w:ilvl w:val="0"/>
          <w:numId w:val="1012"/>
        </w:numPr>
        <w:pStyle w:val="Compact"/>
      </w:pPr>
      <w:r>
        <w:t xml:space="preserve">CO2^(1)_uncal(Y) is scenario-1 energy CO2 with uncalibrated factors. Scenario-1 fuel use does not depend on the factors, so the calibrated baseline equals the inventory in Y. The baseline CO2 of the ETS (CO2base_e) is scenario-1 CO2_e.</w:t>
      </w:r>
    </w:p>
    <w:bookmarkEnd w:id="35"/>
    <w:bookmarkStart w:id="36" w:name="X5c3592b1a45b95e6da17a906846577d4357aefa"/>
    <w:p>
      <w:pPr>
        <w:pStyle w:val="Heading3"/>
      </w:pPr>
      <w:r>
        <w:t xml:space="preserve">7. Non-CO2 GHGs and methane (Mt CO2e unless stated)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 (source)</w:t>
            </w:r>
          </w:p>
        </w:tc>
      </w:tr>
      <w:tr>
        <w:tc>
          <w:tcPr/>
          <w:p>
            <w:pPr>
              <w:pStyle w:val="Compact"/>
              <w:jc w:val="left"/>
            </w:pPr>
            <w:r>
              <w:t xml:space="preserve">pop(t)</w:t>
            </w:r>
          </w:p>
        </w:tc>
        <w:tc>
          <w:tcPr/>
          <w:p>
            <w:pPr>
              <w:pStyle w:val="Compact"/>
              <w:jc w:val="left"/>
            </w:pPr>
            <w:r>
              <w:t xml:space="preserve">population (UN WPP)</w:t>
            </w:r>
          </w:p>
        </w:tc>
      </w:tr>
      <w:tr>
        <w:tc>
          <w:tcPr/>
          <w:p>
            <w:pPr>
              <w:pStyle w:val="Compact"/>
              <w:jc w:val="left"/>
            </w:pPr>
            <w:r>
              <w:t xml:space="preserve">inv_{cat,gas}(t)</w:t>
            </w:r>
          </w:p>
        </w:tc>
        <w:tc>
          <w:tcPr/>
          <w:p>
            <w:pPr>
              <w:pStyle w:val="Compact"/>
              <w:jc w:val="left"/>
            </w:pPr>
            <w:r>
              <w:t xml:space="preserve">GHG inventory by category and gas, while it has the year</w:t>
            </w:r>
          </w:p>
        </w:tc>
      </w:tr>
      <w:tr>
        <w:tc>
          <w:tcPr/>
          <w:p>
            <w:pPr>
              <w:pStyle w:val="Compact"/>
              <w:jc w:val="left"/>
            </w:pPr>
            <w:r>
              <w:t xml:space="preserve">e0, e1</w:t>
            </w:r>
          </w:p>
        </w:tc>
        <w:tc>
          <w:tcPr/>
          <w:p>
            <w:pPr>
              <w:pStyle w:val="Compact"/>
              <w:jc w:val="left"/>
            </w:pPr>
            <w:r>
              <w:t xml:space="preserve">combustion CH4 factors, base year and final year EFEnd (GAINS, t/ktoe)</w:t>
            </w:r>
          </w:p>
        </w:tc>
      </w:tr>
      <w:tr>
        <w:tc>
          <w:tcPr/>
          <w:p>
            <w:pPr>
              <w:pStyle w:val="Compact"/>
              <w:jc w:val="left"/>
            </w:pPr>
            <w:r>
              <w:t xml:space="preserve">GWP_F, GWP_NF</w:t>
            </w:r>
          </w:p>
        </w:tc>
        <w:tc>
          <w:tcPr/>
          <w:p>
            <w:pPr>
              <w:pStyle w:val="Compact"/>
              <w:jc w:val="left"/>
            </w:pPr>
            <w:r>
              <w:t xml:space="preserve">GWP100 of fossil and non-fossil methane (IPCC AR6)</w:t>
            </w:r>
          </w:p>
        </w:tc>
      </w:tr>
      <w:tr>
        <w:tc>
          <w:tcPr/>
          <w:p>
            <w:pPr>
              <w:pStyle w:val="Compact"/>
              <w:jc w:val="left"/>
            </w:pPr>
            <w:r>
              <w:t xml:space="preserve">a_j, b_j, sh_j, φ_fl</w:t>
            </w:r>
          </w:p>
        </w:tc>
        <w:tc>
          <w:tcPr/>
          <w:p>
            <w:pPr>
              <w:pStyle w:val="Compact"/>
              <w:jc w:val="left"/>
            </w:pPr>
            <w:r>
              <w:t xml:space="preserve">methane abatement curve and input share by source j, flared share (CH4Inputs data)</w:t>
            </w:r>
          </w:p>
        </w:tc>
      </w:tr>
      <w:tr>
        <w:tc>
          <w:tcPr/>
          <w:p>
            <w:pPr>
              <w:pStyle w:val="Compact"/>
              <w:jc w:val="left"/>
            </w:pPr>
            <w:r>
              <w:t xml:space="preserve">ηY_cat, ηN_cat</w:t>
            </w:r>
          </w:p>
        </w:tc>
        <w:tc>
          <w:tcPr/>
          <w:p>
            <w:pPr>
              <w:pStyle w:val="Compact"/>
              <w:jc w:val="left"/>
            </w:pPr>
            <w:r>
              <w:t xml:space="preserve">elasticities of a non-energy category to GDP per capita and population</w:t>
            </w:r>
          </w:p>
        </w:tc>
      </w:tr>
      <w:tr>
        <w:tc>
          <w:tcPr/>
          <w:p>
            <w:pPr>
              <w:pStyle w:val="Compact"/>
              <w:jc w:val="left"/>
            </w:pPr>
            <w:r>
              <w:t xml:space="preserve">d_lu</w:t>
            </w:r>
          </w:p>
        </w:tc>
        <w:tc>
          <w:tcPr/>
          <w:p>
            <w:pPr>
              <w:pStyle w:val="Compact"/>
              <w:jc w:val="left"/>
            </w:pPr>
            <w:r>
              <w:t xml:space="preserve">LULUCF annual decline (share of the last inventory value)</w:t>
            </w:r>
          </w:p>
        </w:tc>
      </w:tr>
    </w:tbl>
    <w:p>
      <w:pPr>
        <w:pStyle w:val="BodyText"/>
      </w:pPr>
      <w:r>
        <w:t xml:space="preserve">Methane sources j: oil and gas, downstream gas, coal mining, biomass (fossil, energy); livestock, rice (agriculture); waste.</w:t>
      </w:r>
    </w:p>
    <w:p>
      <w:pPr>
        <w:pStyle w:val="SourceCode"/>
      </w:pPr>
      <w:r>
        <w:rPr>
          <w:rStyle w:val="VerbatimChar"/>
        </w:rPr>
        <w:t xml:space="preserve">E80  drivers:               pop.g = pop(t)/pop(t−1) − 1;   gpc = (1 + g)/(1 + pop.g) − 1</w:t>
      </w:r>
      <w:r>
        <w:br/>
      </w:r>
      <w:r>
        <w:rPr>
          <w:rStyle w:val="VerbatimChar"/>
        </w:rPr>
        <w:t xml:space="preserve">                            ψ(t) = CO2(t)/CO2^(1)(t) if non-energy mitigation = Yes, else 1</w:t>
      </w:r>
      <w:r>
        <w:br/>
      </w:r>
      <w:r>
        <w:rPr>
          <w:rStyle w:val="VerbatimChar"/>
        </w:rPr>
        <w:t xml:space="preserve">                            dr_cat(t) = (1 + gpc)^ηY_cat (1 + pop.g)^ηN_cat · ψ(t)/ψ(t−1)    (t₀: 1)</w:t>
      </w:r>
      <w:r>
        <w:br/>
      </w:r>
      <w:r>
        <w:rPr>
          <w:rStyle w:val="VerbatimChar"/>
        </w:rPr>
        <w:t xml:space="preserve">E81  combustion CH4 (kt):   CH4[f,s] = Q[f,s] (e0 + (e1 − e0) min(1, (t − t₀)/(EFEnd − t₀))) / 1000;   power: FU_k</w:t>
      </w:r>
      <w:r>
        <w:br/>
      </w:r>
      <w:r>
        <w:rPr>
          <w:rStyle w:val="VerbatimChar"/>
        </w:rPr>
        <w:t xml:space="preserve">E82  source activity:       Act_og = gas + oil production;  Act_cm = coal production  (base-year balance, held)</w:t>
      </w:r>
      <w:r>
        <w:br/>
      </w:r>
      <w:r>
        <w:rPr>
          <w:rStyle w:val="VerbatimChar"/>
        </w:rPr>
        <w:t xml:space="preserve">                            Act_dg = Q[gas];  Act_bm = Q[biomass]</w:t>
      </w:r>
      <w:r>
        <w:br/>
      </w:r>
      <w:r>
        <w:rPr>
          <w:rStyle w:val="VerbatimChar"/>
        </w:rPr>
        <w:t xml:space="preserve">                            Act_j(t) = Act_j(t−1)(1 + gpc)^ηY (1 + pop.g)^ηN   for livestock, rice, waste (t₀: 1)</w:t>
      </w:r>
      <w:r>
        <w:br/>
      </w:r>
      <w:r>
        <w:rPr>
          <w:rStyle w:val="VerbatimChar"/>
        </w:rPr>
        <w:t xml:space="preserve">E83  source shares:         fossil j: w_j = min(10 · Act_j(Y)/Σ_fossil Act(Y), sh_j),  share_j = w_j/Σ_fossil w</w:t>
      </w:r>
      <w:r>
        <w:br/>
      </w:r>
      <w:r>
        <w:rPr>
          <w:rStyle w:val="VerbatimChar"/>
        </w:rPr>
        <w:t xml:space="preserve">                            livestock, rice: share_j = sh_j;  waste: 1</w:t>
      </w:r>
      <w:r>
        <w:br/>
      </w:r>
      <w:r>
        <w:rPr>
          <w:rStyle w:val="VerbatimChar"/>
        </w:rPr>
        <w:t xml:space="preserve">E84  abatement, emissions:  abt_j = min(1, max(0, a_j (m · GWP_j)^b_j))</w:t>
      </w:r>
      <w:r>
        <w:br/>
      </w:r>
      <w:r>
        <w:rPr>
          <w:rStyle w:val="VerbatimChar"/>
        </w:rPr>
        <w:t xml:space="preserve">                            E_j = inv_cat(j),CH4(Y) · share_j · 1000/GWP_j        (kt CH4 of source j in Y)</w:t>
      </w:r>
      <w:r>
        <w:br/>
      </w:r>
      <w:r>
        <w:rPr>
          <w:rStyle w:val="VerbatimChar"/>
        </w:rPr>
        <w:t xml:space="preserve">                            CH4_j(t) = E_j · Act_j(t)/Act_j(Y) · (1 − abt_j)      (kt)</w:t>
      </w:r>
      <w:r>
        <w:br/>
      </w:r>
      <w:r>
        <w:rPr>
          <w:rStyle w:val="VerbatimChar"/>
        </w:rPr>
        <w:t xml:space="preserve">                            Rmf = m · (GWP_F Σ_fossil CH4_j + GWP_NF Σ_non-fossil CH4_j) / 1000   (USD m)</w:t>
      </w:r>
      <w:r>
        <w:br/>
      </w:r>
      <w:r>
        <w:rPr>
          <w:rStyle w:val="VerbatimChar"/>
        </w:rPr>
        <w:t xml:space="preserve">E85  energy GHGs:           CO2_enr = CO2 + r_fl · φ_fl · E_og · Act_og(t)/Act_og(Y) · abt_og / 1000   (flaring)</w:t>
      </w:r>
      <w:r>
        <w:br/>
      </w:r>
      <w:r>
        <w:rPr>
          <w:rStyle w:val="VerbatimChar"/>
        </w:rPr>
        <w:t xml:space="preserve">                            CH4_enr = k_CH4 · (Σ_{f,s,k} CH4 + Σ_fossil CH4_j) · GWP_F/1000</w:t>
      </w:r>
      <w:r>
        <w:br/>
      </w:r>
      <w:r>
        <w:rPr>
          <w:rStyle w:val="VerbatimChar"/>
        </w:rPr>
        <w:t xml:space="preserve">                            k_CH4 = inv_enr,CH4(Y) / [(Σ CH4 + Σ_fossil CH4_j) · GWP_F/1000]^(1)(Y)</w:t>
      </w:r>
      <w:r>
        <w:br/>
      </w:r>
      <w:r>
        <w:rPr>
          <w:rStyle w:val="VerbatimChar"/>
        </w:rPr>
        <w:t xml:space="preserve">E86  other categories:      inventory value while it exists, else (prev = last year's value):</w:t>
      </w:r>
      <w:r>
        <w:br/>
      </w:r>
      <w:r>
        <w:rPr>
          <w:rStyle w:val="VerbatimChar"/>
        </w:rPr>
        <w:t xml:space="preserve">                            energy N2O:            prev · CO2(t)/CO2(t−1);   energy F-gases, LULUCF non-CO2: prev</w:t>
      </w:r>
      <w:r>
        <w:br/>
      </w:r>
      <w:r>
        <w:rPr>
          <w:rStyle w:val="VerbatimChar"/>
        </w:rPr>
        <w:t xml:space="preserve">                            industrial processes:  prev · (1 + 1[scale with industry] · max(0, growth of industrial CO2))</w:t>
      </w:r>
      <w:r>
        <w:br/>
      </w:r>
      <w:r>
        <w:rPr>
          <w:rStyle w:val="VerbatimChar"/>
        </w:rPr>
        <w:t xml:space="preserve">                            agriculture, waste CH4: (Σ_{j∈cat} CH4_j) GWP_NF/1000</w:t>
      </w:r>
      <w:r>
        <w:br/>
      </w:r>
      <w:r>
        <w:rPr>
          <w:rStyle w:val="VerbatimChar"/>
        </w:rPr>
        <w:t xml:space="preserve">                            other gases of agriculture, waste, other: prev · dr_cat</w:t>
      </w:r>
      <w:r>
        <w:br/>
      </w:r>
      <w:r>
        <w:rPr>
          <w:rStyle w:val="VerbatimChar"/>
        </w:rPr>
        <w:t xml:space="preserve">                            LULUCF CO2:            prev if prev &lt; 0, else prev · ψ(t)/ψ(t−1) − d_lu · |inv_LULUCF,CO2(Y)|</w:t>
      </w:r>
      <w:r>
        <w:br/>
      </w:r>
      <w:r>
        <w:rPr>
          <w:rStyle w:val="VerbatimChar"/>
        </w:rPr>
        <w:t xml:space="preserve">                            GHG = Σ over categories and gases excluding LULUCF;  GHG incl. LULUCF = GHG + LULUCF</w:t>
      </w:r>
    </w:p>
    <w:p>
      <w:pPr>
        <w:numPr>
          <w:ilvl w:val="0"/>
          <w:numId w:val="1013"/>
        </w:numPr>
        <w:pStyle w:val="Compact"/>
      </w:pPr>
      <w:r>
        <w:t xml:space="preserve">The flaring term burns the flared share of the abated oil and gas methane (r_fl = 44/16 t CO2 per t CH4).</w:t>
      </w:r>
    </w:p>
    <w:p>
      <w:pPr>
        <w:numPr>
          <w:ilvl w:val="0"/>
          <w:numId w:val="1013"/>
        </w:numPr>
        <w:pStyle w:val="Compact"/>
      </w:pPr>
      <w:r>
        <w:t xml:space="preserve">Shares, Act_j(Y) and k_CH4 come from scenario 1: the calibration is to the observed inventory.</w:t>
      </w:r>
    </w:p>
    <w:p>
      <w:pPr>
        <w:numPr>
          <w:ilvl w:val="0"/>
          <w:numId w:val="1013"/>
        </w:numPr>
        <w:pStyle w:val="Compact"/>
      </w:pPr>
      <w:r>
        <w:t xml:space="preserve">Fixes: non-energy methane grows and is abated (L18); flaring is CO2, not methane (L19); population from UN WPP (L20); each source uses its own curve (L21).</w:t>
      </w:r>
    </w:p>
    <w:bookmarkEnd w:id="36"/>
    <w:bookmarkStart w:id="37" w:name="local-air-pollutants-kt"/>
    <w:p>
      <w:pPr>
        <w:pStyle w:val="Heading3"/>
      </w:pPr>
      <w:r>
        <w:t xml:space="preserve">8. Local air pollutants (kt)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 (source)</w:t>
            </w:r>
          </w:p>
        </w:tc>
      </w:tr>
      <w:tr>
        <w:tc>
          <w:tcPr/>
          <w:p>
            <w:pPr>
              <w:pStyle w:val="Compact"/>
              <w:jc w:val="left"/>
            </w:pPr>
            <w:r>
              <w:t xml:space="preserve">ap0, ap1</w:t>
            </w:r>
          </w:p>
        </w:tc>
        <w:tc>
          <w:tcPr/>
          <w:p>
            <w:pPr>
              <w:pStyle w:val="Compact"/>
              <w:jc w:val="left"/>
            </w:pPr>
            <w:r>
              <w:t xml:space="preserve">emission factors of pollutant p (PM2.5, NOx, SO2, VOC, BC, OC, CO), base year and EFEnd (GAINS, t/ktoe)</w:t>
            </w:r>
          </w:p>
        </w:tc>
      </w:tr>
      <w:tr>
        <w:tc>
          <w:tcPr/>
          <w:p>
            <w:pPr>
              <w:pStyle w:val="Compact"/>
              <w:jc w:val="left"/>
            </w:pPr>
            <w:r>
              <w:t xml:space="preserve">GWP_p</w:t>
            </w:r>
          </w:p>
        </w:tc>
        <w:tc>
          <w:tcPr/>
          <w:p>
            <w:pPr>
              <w:pStyle w:val="Compact"/>
              <w:jc w:val="left"/>
            </w:pPr>
            <w:r>
              <w:t xml:space="preserve">GWP100 of pollutant p for the country’s GAINS region</w:t>
            </w:r>
          </w:p>
        </w:tc>
      </w:tr>
      <w:tr>
        <w:tc>
          <w:tcPr/>
          <w:p>
            <w:pPr>
              <w:pStyle w:val="Compact"/>
              <w:jc w:val="left"/>
            </w:pPr>
            <w:r>
              <w:t xml:space="preserve">r_POM</w:t>
            </w:r>
          </w:p>
        </w:tc>
        <w:tc>
          <w:tcPr/>
          <w:p>
            <w:pPr>
              <w:pStyle w:val="Compact"/>
              <w:jc w:val="left"/>
            </w:pPr>
            <w:r>
              <w:t xml:space="preserve">primary organic matter per tonne of organic carbon (legacy constant)</w:t>
            </w:r>
          </w:p>
        </w:tc>
      </w:tr>
    </w:tbl>
    <w:p>
      <w:pPr>
        <w:pStyle w:val="SourceCode"/>
      </w:pPr>
      <w:r>
        <w:rPr>
          <w:rStyle w:val="VerbatimChar"/>
        </w:rPr>
        <w:t xml:space="preserve">E87  weight:                w(t) = min(1, (t − t₀)/(EFEnd − t₀))</w:t>
      </w:r>
      <w:r>
        <w:br/>
      </w:r>
      <w:r>
        <w:rPr>
          <w:rStyle w:val="VerbatimChar"/>
        </w:rPr>
        <w:t xml:space="preserve">E88  emissions:             AP[p,s] = Σ_f Q[f,s] ((1 − w) ap0[f,s,p] + w ap1[f,s,p]) / 1000;   power: Σ over FU_k</w:t>
      </w:r>
      <w:r>
        <w:br/>
      </w:r>
      <w:r>
        <w:rPr>
          <w:rStyle w:val="VerbatimChar"/>
        </w:rPr>
        <w:t xml:space="preserve">E89  totals, forcing:       AP[p] = Σ_s AP[p,s] + AP[p,pow];   F_p = AP[p] GWP_p / 1000 (Mt CO2e, memo)</w:t>
      </w:r>
      <w:r>
        <w:br/>
      </w:r>
      <w:r>
        <w:rPr>
          <w:rStyle w:val="VerbatimChar"/>
        </w:rPr>
        <w:t xml:space="preserve">E90  module sectors:        coal and gas plants, other plants, road, ground level other, other, food &amp; forestry (sum to AP[p])</w:t>
      </w:r>
      <w:r>
        <w:br/>
      </w:r>
      <w:r>
        <w:rPr>
          <w:rStyle w:val="VerbatimChar"/>
        </w:rPr>
        <w:t xml:space="preserve">                            POM = r_POM · OC;   other PM2.5 = max(0, PM2.5 − BC − POM)</w:t>
      </w:r>
    </w:p>
    <w:p>
      <w:pPr>
        <w:pStyle w:val="FirstParagraph"/>
      </w:pPr>
      <w:r>
        <w:t xml:space="preserve">Totals include navigation (fixes legacy bug L22) and services and food &amp; forestry (fixes legacy bug L23).</w:t>
      </w:r>
    </w:p>
    <w:bookmarkEnd w:id="37"/>
    <w:bookmarkStart w:id="38" w:name="gdp-effects-and-feedback"/>
    <w:p>
      <w:pPr>
        <w:pStyle w:val="Heading3"/>
      </w:pPr>
      <w:r>
        <w:t xml:space="preserve">9. GDP effects and feedback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 (source)</w:t>
            </w:r>
          </w:p>
        </w:tc>
      </w:tr>
      <w:tr>
        <w:tc>
          <w:tcPr/>
          <w:p>
            <w:pPr>
              <w:pStyle w:val="Compact"/>
              <w:jc w:val="left"/>
            </w:pPr>
            <w:r>
              <w:t xml:space="preserve">g0(t), Y0(t)</w:t>
            </w:r>
          </w:p>
        </w:tc>
        <w:tc>
          <w:tcPr/>
          <w:p>
            <w:pPr>
              <w:pStyle w:val="Compact"/>
              <w:jc w:val="left"/>
            </w:pPr>
            <w:r>
              <w:t xml:space="preserve">baseline real GDP growth and real GDP (IMF WEO)</w:t>
            </w:r>
          </w:p>
        </w:tc>
      </w:tr>
      <w:tr>
        <w:tc>
          <w:tcPr/>
          <w:p>
            <w:pPr>
              <w:pStyle w:val="Compact"/>
              <w:jc w:val="left"/>
            </w:pPr>
            <w:r>
              <w:t xml:space="preserve">sh_i</w:t>
            </w:r>
          </w:p>
        </w:tc>
        <w:tc>
          <w:tcPr/>
          <w:p>
            <w:pPr>
              <w:pStyle w:val="Compact"/>
              <w:jc w:val="left"/>
            </w:pPr>
            <w:r>
              <w:t xml:space="preserve">revenue-use shares: labour tax cuts, corporate tax cuts, public investment, current spending, transfers (%)</w:t>
            </w:r>
          </w:p>
        </w:tc>
      </w:tr>
      <w:tr>
        <w:tc>
          <w:tcPr/>
          <w:p>
            <w:pPr>
              <w:pStyle w:val="Compact"/>
              <w:jc w:val="left"/>
            </w:pPr>
            <w:r>
              <w:t xml:space="preserve">m_i(k)</w:t>
            </w:r>
          </w:p>
        </w:tc>
        <w:tc>
          <w:tcPr/>
          <w:p>
            <w:pPr>
              <w:pStyle w:val="Compact"/>
              <w:jc w:val="left"/>
            </w:pPr>
            <w:r>
              <w:t xml:space="preserve">fiscal multiplier of instrument i at lag k = 0..19 (legacy MFMod medians; global or income group; base, low, high)</w:t>
            </w:r>
          </w:p>
        </w:tc>
      </w:tr>
    </w:tbl>
    <w:p>
      <w:pPr>
        <w:pStyle w:val="SourceCode"/>
      </w:pPr>
      <w:r>
        <w:rPr>
          <w:rStyle w:val="VerbatimChar"/>
        </w:rPr>
        <w:t xml:space="preserve">E91  fiscal space:          fs(t) = (Rnew(t) − Rnew^(1)(t)) / Y0(t)            (share of GDP; both in USD m)</w:t>
      </w:r>
      <w:r>
        <w:br/>
      </w:r>
      <w:r>
        <w:rPr>
          <w:rStyle w:val="VerbatimChar"/>
        </w:rPr>
        <w:t xml:space="preserve">E92  impulse:               imp(t) = fs(t) − fs(t−1)                            (t₀: fs(t₀))</w:t>
      </w:r>
      <w:r>
        <w:br/>
      </w:r>
      <w:r>
        <w:rPr>
          <w:rStyle w:val="VerbatimChar"/>
        </w:rPr>
        <w:t xml:space="preserve">E93  effect of a use:       eff_i(t) = sh_i/100 · Σ_{k=0..19} imp(t−k) m_i(k);   the revenue itself: share −1, excise multipliers</w:t>
      </w:r>
      <w:r>
        <w:br/>
      </w:r>
      <w:r>
        <w:rPr>
          <w:rStyle w:val="VerbatimChar"/>
        </w:rPr>
        <w:t xml:space="preserve">E94  GDP effect:            ε_GDP(t) = Σ_i eff_i(t) · 1[endogenous GDP = Yes]</w:t>
      </w:r>
      <w:r>
        <w:br/>
      </w:r>
      <w:r>
        <w:rPr>
          <w:rStyle w:val="VerbatimChar"/>
        </w:rPr>
        <w:t xml:space="preserve">E95  feedback:              lvl(t) = 1 + ε_GDP(t−1)  (t₀: 1);   g(t) = (1 + g0(t)) · lvl(t)/lvl(t−1) − 1;   Y(t) = Y0(t) lvl(t)</w:t>
      </w:r>
    </w:p>
    <w:p>
      <w:pPr>
        <w:numPr>
          <w:ilvl w:val="0"/>
          <w:numId w:val="1014"/>
        </w:numPr>
        <w:pStyle w:val="Compact"/>
      </w:pPr>
      <w:r>
        <w:t xml:space="preserve">E95 raises the GDP level by the effect, one year later, instead of adding it to growth every year (fixes legacy bug L24). Scenario 1 has no fiscal space, so its g = g0.</w:t>
      </w:r>
    </w:p>
    <w:p>
      <w:pPr>
        <w:pStyle w:val="FirstParagraph"/>
      </w:pPr>
      <w:r>
        <w:t xml:space="preserve">Other deliberate differences from legacy CPAT are listed on the workbook sheet LegacyDiff and in</w:t>
      </w:r>
      <w:r>
        <w:t xml:space="preserve"> </w:t>
      </w:r>
      <w:r>
        <w:rPr>
          <w:rStyle w:val="VerbatimChar"/>
        </w:rPr>
        <w:t xml:space="preserve">Formulas_v7_0.md</w:t>
      </w:r>
      <w:r>
        <w:t xml:space="preserve"> </w:t>
      </w:r>
      <w:r>
        <w:t xml:space="preserve">section B.</w:t>
      </w:r>
    </w:p>
    <w:bookmarkEnd w:id="38"/>
    <w:bookmarkStart w:id="39" w:name="symbols-workbook-variable-codes"/>
    <w:p>
      <w:pPr>
        <w:pStyle w:val="Heading3"/>
      </w:pPr>
      <w:r>
        <w:t xml:space="preserve">Symbols → workbook variable codes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w:t>
            </w:r>
          </w:p>
        </w:tc>
        <w:tc>
          <w:tcPr/>
          <w:p>
            <w:pPr>
              <w:pStyle w:val="Compact"/>
              <w:jc w:val="left"/>
            </w:pPr>
            <w:r>
              <w:t xml:space="preserve">Code</w:t>
            </w:r>
          </w:p>
        </w:tc>
      </w:tr>
      <w:tr>
        <w:tc>
          <w:tcPr/>
          <w:p>
            <w:pPr>
              <w:pStyle w:val="Compact"/>
              <w:jc w:val="left"/>
            </w:pPr>
            <w:r>
              <w:t xml:space="preserve">ι, δ</w:t>
            </w:r>
          </w:p>
        </w:tc>
        <w:tc>
          <w:tcPr/>
          <w:p>
            <w:pPr>
              <w:pStyle w:val="Compact"/>
              <w:jc w:val="left"/>
            </w:pPr>
            <w:r>
              <w:t xml:space="preserve">CPI and deflator indices</w:t>
            </w:r>
          </w:p>
        </w:tc>
        <w:tc>
          <w:tcPr/>
          <w:p>
            <w:pPr>
              <w:pStyle w:val="Compact"/>
              <w:jc w:val="left"/>
            </w:pPr>
            <w:r>
              <w:t xml:space="preserve">index</w:t>
            </w:r>
          </w:p>
        </w:tc>
        <w:tc>
          <w:tcPr/>
          <w:p>
            <w:pPr>
              <w:pStyle w:val="Compact"/>
              <w:jc w:val="left"/>
            </w:pPr>
            <w:r>
              <w:rPr>
                <w:rStyle w:val="VerbatimChar"/>
              </w:rPr>
              <w:t xml:space="preserve">infl</w:t>
            </w:r>
            <w:r>
              <w:t xml:space="preserve">,</w:t>
            </w:r>
            <w:r>
              <w:t xml:space="preserve"> </w:t>
            </w:r>
            <w:r>
              <w:rPr>
                <w:rStyle w:val="VerbatimChar"/>
              </w:rPr>
              <w:t xml:space="preserve">defl</w:t>
            </w:r>
          </w:p>
        </w:tc>
      </w:tr>
      <w:tr>
        <w:tc>
          <w:tcPr/>
          <w:p>
            <w:pPr>
              <w:pStyle w:val="Compact"/>
              <w:jc w:val="left"/>
            </w:pPr>
            <w:r>
              <w:t xml:space="preserve">τ</w:t>
            </w:r>
          </w:p>
        </w:tc>
        <w:tc>
          <w:tcPr/>
          <w:p>
            <w:pPr>
              <w:pStyle w:val="Compact"/>
              <w:jc w:val="left"/>
            </w:pPr>
            <w:r>
              <w:t xml:space="preserve">carbon price</w:t>
            </w:r>
          </w:p>
        </w:tc>
        <w:tc>
          <w:tcPr/>
          <w:p>
            <w:pPr>
              <w:pStyle w:val="Compact"/>
              <w:jc w:val="left"/>
            </w:pPr>
            <w:r>
              <w:t xml:space="preserve">$/tCO2</w:t>
            </w:r>
          </w:p>
        </w:tc>
        <w:tc>
          <w:tcPr/>
          <w:p>
            <w:pPr>
              <w:pStyle w:val="Compact"/>
              <w:jc w:val="left"/>
            </w:pPr>
            <w:r>
              <w:rPr>
                <w:rStyle w:val="VerbatimChar"/>
              </w:rPr>
              <w:t xml:space="preserve">cptraj</w:t>
            </w:r>
          </w:p>
        </w:tc>
      </w:tr>
      <w:tr>
        <w:tc>
          <w:tcPr/>
          <w:p>
            <w:pPr>
              <w:pStyle w:val="Compact"/>
              <w:jc w:val="left"/>
            </w:pPr>
            <w:r>
              <w:t xml:space="preserve">F_c</w:t>
            </w:r>
          </w:p>
        </w:tc>
        <w:tc>
          <w:tcPr/>
          <w:p>
            <w:pPr>
              <w:pStyle w:val="Compact"/>
              <w:jc w:val="left"/>
            </w:pPr>
            <w:r>
              <w:t xml:space="preserve">fuel price reform</w:t>
            </w:r>
          </w:p>
        </w:tc>
        <w:tc>
          <w:tcPr/>
          <w:p>
            <w:pPr>
              <w:pStyle w:val="Compact"/>
              <w:jc w:val="left"/>
            </w:pPr>
            <w:r>
              <w:t xml:space="preserve">price unit</w:t>
            </w:r>
          </w:p>
        </w:tc>
        <w:tc>
          <w:tcPr/>
          <w:p>
            <w:pPr>
              <w:pStyle w:val="Compact"/>
              <w:jc w:val="left"/>
            </w:pPr>
            <w:r>
              <w:rPr>
                <w:rStyle w:val="VerbatimChar"/>
              </w:rPr>
              <w:t xml:space="preserve">fpr</w:t>
            </w:r>
          </w:p>
        </w:tc>
      </w:tr>
      <w:tr>
        <w:tc>
          <w:tcPr/>
          <w:p>
            <w:pPr>
              <w:pStyle w:val="Compact"/>
              <w:jc w:val="left"/>
            </w:pPr>
            <w:r>
              <w:t xml:space="preserve">b_G</w:t>
            </w:r>
          </w:p>
        </w:tc>
        <w:tc>
          <w:tcPr/>
          <w:p>
            <w:pPr>
              <w:pStyle w:val="Compact"/>
              <w:jc w:val="left"/>
            </w:pPr>
            <w:r>
              <w:t xml:space="preserve">feebate rate</w:t>
            </w:r>
          </w:p>
        </w:tc>
        <w:tc>
          <w:tcPr/>
          <w:p>
            <w:pPr>
              <w:pStyle w:val="Compact"/>
              <w:jc w:val="left"/>
            </w:pPr>
            <w:r>
              <w:t xml:space="preserve">$/tCO2</w:t>
            </w:r>
          </w:p>
        </w:tc>
        <w:tc>
          <w:tcPr/>
          <w:p>
            <w:pPr>
              <w:pStyle w:val="Compact"/>
              <w:jc w:val="left"/>
            </w:pPr>
            <w:r>
              <w:rPr>
                <w:rStyle w:val="VerbatimChar"/>
              </w:rPr>
              <w:t xml:space="preserve">fb</w:t>
            </w:r>
          </w:p>
        </w:tc>
      </w:tr>
      <w:tr>
        <w:tc>
          <w:tcPr/>
          <w:p>
            <w:pPr>
              <w:pStyle w:val="Compact"/>
              <w:jc w:val="left"/>
            </w:pPr>
            <w:r>
              <w:t xml:space="preserve">on, κ_e</w:t>
            </w:r>
          </w:p>
        </w:tc>
        <w:tc>
          <w:tcPr/>
          <w:p>
            <w:pPr>
              <w:pStyle w:val="Compact"/>
              <w:jc w:val="left"/>
            </w:pPr>
            <w:r>
              <w:t xml:space="preserve">ETS on, effective ETS coverage</w:t>
            </w:r>
          </w:p>
        </w:tc>
        <w:tc>
          <w:tcPr/>
          <w:p>
            <w:pPr>
              <w:pStyle w:val="Compact"/>
              <w:jc w:val="left"/>
            </w:pPr>
            <w:r>
              <w:t xml:space="preserve">0/1</w:t>
            </w:r>
          </w:p>
        </w:tc>
        <w:tc>
          <w:tcPr/>
          <w:p>
            <w:pPr>
              <w:pStyle w:val="Compact"/>
              <w:jc w:val="left"/>
            </w:pPr>
            <w:r>
              <w:rPr>
                <w:rStyle w:val="VerbatimChar"/>
              </w:rPr>
              <w:t xml:space="preserve">ets.on</w:t>
            </w:r>
            <w:r>
              <w:t xml:space="preserve">,</w:t>
            </w:r>
            <w:r>
              <w:t xml:space="preserve"> </w:t>
            </w:r>
            <w:r>
              <w:rPr>
                <w:rStyle w:val="VerbatimChar"/>
              </w:rPr>
              <w:t xml:space="preserve">etsc</w:t>
            </w:r>
          </w:p>
        </w:tc>
      </w:tr>
      <w:tr>
        <w:tc>
          <w:tcPr/>
          <w:p>
            <w:pPr>
              <w:pStyle w:val="Compact"/>
              <w:jc w:val="left"/>
            </w:pPr>
            <w:r>
              <w:t xml:space="preserve">B_G, ω_e</w:t>
            </w:r>
          </w:p>
        </w:tc>
        <w:tc>
          <w:tcPr/>
          <w:p>
            <w:pPr>
              <w:pStyle w:val="Compact"/>
              <w:jc w:val="left"/>
            </w:pPr>
            <w:r>
              <w:t xml:space="preserve">ETS benchmark, OBR share</w:t>
            </w:r>
          </w:p>
        </w:tc>
        <w:tc>
          <w:tcPr/>
          <w:p>
            <w:pPr>
              <w:pStyle w:val="Compact"/>
              <w:jc w:val="left"/>
            </w:pPr>
            <w:r>
              <w:t xml:space="preserve">share</w:t>
            </w:r>
          </w:p>
        </w:tc>
        <w:tc>
          <w:tcPr/>
          <w:p>
            <w:pPr>
              <w:pStyle w:val="Compact"/>
              <w:jc w:val="left"/>
            </w:pPr>
            <w:r>
              <w:rPr>
                <w:rStyle w:val="VerbatimChar"/>
              </w:rPr>
              <w:t xml:space="preserve">etsb</w:t>
            </w:r>
            <w:r>
              <w:t xml:space="preserve">,</w:t>
            </w:r>
            <w:r>
              <w:t xml:space="preserve"> </w:t>
            </w:r>
            <w:r>
              <w:rPr>
                <w:rStyle w:val="VerbatimChar"/>
              </w:rPr>
              <w:t xml:space="preserve">obr</w:t>
            </w:r>
          </w:p>
        </w:tc>
      </w:tr>
      <w:tr>
        <w:tc>
          <w:tcPr/>
          <w:p>
            <w:pPr>
              <w:pStyle w:val="Compact"/>
              <w:jc w:val="left"/>
            </w:pPr>
            <w:r>
              <w:t xml:space="preserve">bce, chg, cap</w:t>
            </w:r>
          </w:p>
        </w:tc>
        <w:tc>
          <w:tcPr/>
          <w:p>
            <w:pPr>
              <w:pStyle w:val="Compact"/>
              <w:jc w:val="left"/>
            </w:pPr>
            <w:r>
              <w:t xml:space="preserve">baseline covered CO2, cap change, cap</w:t>
            </w:r>
          </w:p>
        </w:tc>
        <w:tc>
          <w:tcPr/>
          <w:p>
            <w:pPr>
              <w:pStyle w:val="Compact"/>
              <w:jc w:val="left"/>
            </w:pPr>
            <w:r>
              <w:t xml:space="preserve">MtCO2, share</w:t>
            </w:r>
          </w:p>
        </w:tc>
        <w:tc>
          <w:tcPr/>
          <w:p>
            <w:pPr>
              <w:pStyle w:val="Compact"/>
              <w:jc w:val="left"/>
            </w:pPr>
            <w:r>
              <w:rPr>
                <w:rStyle w:val="VerbatimChar"/>
              </w:rPr>
              <w:t xml:space="preserve">ets.bce</w:t>
            </w:r>
            <w:r>
              <w:t xml:space="preserve">,</w:t>
            </w:r>
            <w:r>
              <w:t xml:space="preserve"> </w:t>
            </w:r>
            <w:r>
              <w:rPr>
                <w:rStyle w:val="VerbatimChar"/>
              </w:rPr>
              <w:t xml:space="preserve">ets.chg</w:t>
            </w:r>
            <w:r>
              <w:t xml:space="preserve">,</w:t>
            </w:r>
            <w:r>
              <w:t xml:space="preserve"> </w:t>
            </w:r>
            <w:r>
              <w:rPr>
                <w:rStyle w:val="VerbatimChar"/>
              </w:rPr>
              <w:t xml:space="preserve">ets.cap</w:t>
            </w:r>
          </w:p>
        </w:tc>
      </w:tr>
      <w:tr>
        <w:tc>
          <w:tcPr/>
          <w:p>
            <w:pPr>
              <w:pStyle w:val="Compact"/>
              <w:jc w:val="left"/>
            </w:pPr>
            <w:r>
              <w:t xml:space="preserve">V, σ̄</w:t>
            </w:r>
          </w:p>
        </w:tc>
        <w:tc>
          <w:tcPr/>
          <w:p>
            <w:pPr>
              <w:pStyle w:val="Compact"/>
              <w:jc w:val="left"/>
            </w:pPr>
            <w:r>
              <w:t xml:space="preserve">volatility adjustment, semi-elasticity</w:t>
            </w:r>
          </w:p>
        </w:tc>
        <w:tc>
          <w:tcPr/>
          <w:p>
            <w:pPr>
              <w:pStyle w:val="Compact"/>
              <w:jc w:val="left"/>
            </w:pPr>
            <w:r>
              <w:t xml:space="preserve">factor</w:t>
            </w:r>
          </w:p>
        </w:tc>
        <w:tc>
          <w:tcPr/>
          <w:p>
            <w:pPr>
              <w:pStyle w:val="Compact"/>
              <w:jc w:val="left"/>
            </w:pPr>
            <w:r>
              <w:rPr>
                <w:rStyle w:val="VerbatimChar"/>
              </w:rPr>
              <w:t xml:space="preserve">ets.vadj</w:t>
            </w:r>
            <w:r>
              <w:t xml:space="preserve">,</w:t>
            </w:r>
            <w:r>
              <w:t xml:space="preserve"> </w:t>
            </w:r>
            <w:r>
              <w:rPr>
                <w:rStyle w:val="VerbatimChar"/>
              </w:rPr>
              <w:t xml:space="preserve">ets.se</w:t>
            </w:r>
          </w:p>
        </w:tc>
      </w:tr>
      <w:tr>
        <w:tc>
          <w:tcPr/>
          <w:p>
            <w:pPr>
              <w:pStyle w:val="Compact"/>
              <w:jc w:val="left"/>
            </w:pPr>
            <w:r>
              <w:t xml:space="preserve">p̂, p_E, p̃_E, ρ</w:t>
            </w:r>
          </w:p>
        </w:tc>
        <w:tc>
          <w:tcPr/>
          <w:p>
            <w:pPr>
              <w:pStyle w:val="Compact"/>
              <w:jc w:val="left"/>
            </w:pPr>
            <w:r>
              <w:t xml:space="preserve">fast estimate, permit price, tax-equivalent price, revenue factor</w:t>
            </w:r>
          </w:p>
        </w:tc>
        <w:tc>
          <w:tcPr/>
          <w:p>
            <w:pPr>
              <w:pStyle w:val="Compact"/>
              <w:jc w:val="left"/>
            </w:pPr>
            <w:r>
              <w:t xml:space="preserve">$/tCO2</w:t>
            </w:r>
          </w:p>
        </w:tc>
        <w:tc>
          <w:tcPr/>
          <w:p>
            <w:pPr>
              <w:pStyle w:val="Compact"/>
              <w:jc w:val="left"/>
            </w:pPr>
            <w:r>
              <w:rPr>
                <w:rStyle w:val="VerbatimChar"/>
              </w:rPr>
              <w:t xml:space="preserve">ets.est</w:t>
            </w:r>
            <w:r>
              <w:t xml:space="preserve">,</w:t>
            </w:r>
            <w:r>
              <w:t xml:space="preserve"> </w:t>
            </w:r>
            <w:r>
              <w:rPr>
                <w:rStyle w:val="VerbatimChar"/>
              </w:rPr>
              <w:t xml:space="preserve">ets.p</w:t>
            </w:r>
            <w:r>
              <w:t xml:space="preserve">,</w:t>
            </w:r>
            <w:r>
              <w:t xml:space="preserve"> </w:t>
            </w:r>
            <w:r>
              <w:rPr>
                <w:rStyle w:val="VerbatimChar"/>
              </w:rPr>
              <w:t xml:space="preserve">ets.pe</w:t>
            </w:r>
            <w:r>
              <w:t xml:space="preserve">,</w:t>
            </w:r>
            <w:r>
              <w:t xml:space="preserve"> </w:t>
            </w:r>
            <w:r>
              <w:rPr>
                <w:rStyle w:val="VerbatimChar"/>
              </w:rPr>
              <w:t xml:space="preserve">ets.rf</w:t>
            </w:r>
          </w:p>
        </w:tc>
      </w:tr>
      <w:tr>
        <w:tc>
          <w:tcPr/>
          <w:p>
            <w:pPr>
              <w:pStyle w:val="Compact"/>
              <w:jc w:val="left"/>
            </w:pPr>
            <w:r>
              <w:t xml:space="preserve">T_e, A_e, Σ_e</w:t>
            </w:r>
          </w:p>
        </w:tc>
        <w:tc>
          <w:tcPr/>
          <w:p>
            <w:pPr>
              <w:pStyle w:val="Compact"/>
              <w:jc w:val="left"/>
            </w:pPr>
            <w:r>
              <w:t xml:space="preserve">carbon tax, ETS cost, shadow price by sector</w:t>
            </w:r>
          </w:p>
        </w:tc>
        <w:tc>
          <w:tcPr/>
          <w:p>
            <w:pPr>
              <w:pStyle w:val="Compact"/>
              <w:jc w:val="left"/>
            </w:pPr>
            <w:r>
              <w:t xml:space="preserve">$/tCO2</w:t>
            </w:r>
          </w:p>
        </w:tc>
        <w:tc>
          <w:tcPr/>
          <w:p>
            <w:pPr>
              <w:pStyle w:val="Compact"/>
              <w:jc w:val="left"/>
            </w:pPr>
            <w:r>
              <w:rPr>
                <w:rStyle w:val="VerbatimChar"/>
              </w:rPr>
              <w:t xml:space="preserve">ctr</w:t>
            </w:r>
            <w:r>
              <w:t xml:space="preserve">,</w:t>
            </w:r>
            <w:r>
              <w:t xml:space="preserve"> </w:t>
            </w:r>
            <w:r>
              <w:rPr>
                <w:rStyle w:val="VerbatimChar"/>
              </w:rPr>
              <w:t xml:space="preserve">etr</w:t>
            </w:r>
            <w:r>
              <w:t xml:space="preserve">,</w:t>
            </w:r>
            <w:r>
              <w:t xml:space="preserve"> </w:t>
            </w:r>
            <w:r>
              <w:rPr>
                <w:rStyle w:val="VerbatimChar"/>
              </w:rPr>
              <w:t xml:space="preserve">shpx</w:t>
            </w:r>
          </w:p>
        </w:tc>
      </w:tr>
      <w:tr>
        <w:tc>
          <w:tcPr/>
          <w:p>
            <w:pPr>
              <w:pStyle w:val="Compact"/>
              <w:jc w:val="left"/>
            </w:pPr>
            <w:r>
              <w:t xml:space="preserve">φ^ct, φ^ets, t*</w:t>
            </w:r>
          </w:p>
        </w:tc>
        <w:tc>
          <w:tcPr/>
          <w:p>
            <w:pPr>
              <w:pStyle w:val="Compact"/>
              <w:jc w:val="left"/>
            </w:pPr>
            <w:r>
              <w:t xml:space="preserve">existing carbon tax and ETS factors, data column of the year</w:t>
            </w:r>
          </w:p>
        </w:tc>
        <w:tc>
          <w:tcPr/>
          <w:p>
            <w:pPr>
              <w:pStyle w:val="Compact"/>
              <w:jc w:val="left"/>
            </w:pPr>
            <w:r>
              <w:t xml:space="preserve">factor</w:t>
            </w:r>
          </w:p>
        </w:tc>
        <w:tc>
          <w:tcPr/>
          <w:p>
            <w:pPr>
              <w:pStyle w:val="Compact"/>
              <w:jc w:val="left"/>
            </w:pPr>
            <w:r>
              <w:rPr>
                <w:rStyle w:val="VerbatimChar"/>
              </w:rPr>
              <w:t xml:space="preserve">xct.p</w:t>
            </w:r>
            <w:r>
              <w:t xml:space="preserve">,</w:t>
            </w:r>
            <w:r>
              <w:t xml:space="preserve"> </w:t>
            </w:r>
            <w:r>
              <w:rPr>
                <w:rStyle w:val="VerbatimChar"/>
              </w:rPr>
              <w:t xml:space="preserve">xets.p</w:t>
            </w:r>
            <w:r>
              <w:t xml:space="preserve">,</w:t>
            </w:r>
            <w:r>
              <w:t xml:space="preserve"> </w:t>
            </w:r>
            <w:r>
              <w:rPr>
                <w:rStyle w:val="VerbatimChar"/>
              </w:rPr>
              <w:t xml:space="preserve">xct.c</w:t>
            </w:r>
          </w:p>
        </w:tc>
      </w:tr>
      <w:tr>
        <w:tc>
          <w:tcPr/>
          <w:p>
            <w:pPr>
              <w:pStyle w:val="Compact"/>
              <w:jc w:val="left"/>
            </w:pPr>
            <w:r>
              <w:t xml:space="preserve">m</w:t>
            </w:r>
          </w:p>
        </w:tc>
        <w:tc>
          <w:tcPr/>
          <w:p>
            <w:pPr>
              <w:pStyle w:val="Compact"/>
              <w:jc w:val="left"/>
            </w:pPr>
            <w:r>
              <w:t xml:space="preserve">methane fee</w:t>
            </w:r>
          </w:p>
        </w:tc>
        <w:tc>
          <w:tcPr/>
          <w:p>
            <w:pPr>
              <w:pStyle w:val="Compact"/>
              <w:jc w:val="left"/>
            </w:pPr>
            <w:r>
              <w:t xml:space="preserve">$/tCO2e</w:t>
            </w:r>
          </w:p>
        </w:tc>
        <w:tc>
          <w:tcPr/>
          <w:p>
            <w:pPr>
              <w:pStyle w:val="Compact"/>
              <w:jc w:val="left"/>
            </w:pPr>
            <w:r>
              <w:rPr>
                <w:rStyle w:val="VerbatimChar"/>
              </w:rPr>
              <w:t xml:space="preserve">mfee</w:t>
            </w:r>
          </w:p>
        </w:tc>
      </w:tr>
      <w:tr>
        <w:tc>
          <w:tcPr/>
          <w:p>
            <w:pPr>
              <w:pStyle w:val="Compact"/>
              <w:jc w:val="left"/>
            </w:pPr>
            <w:r>
              <w:t xml:space="preserve">gp, Π_c</w:t>
            </w:r>
          </w:p>
        </w:tc>
        <w:tc>
          <w:tcPr/>
          <w:p>
            <w:pPr>
              <w:pStyle w:val="Compact"/>
              <w:jc w:val="left"/>
            </w:pPr>
            <w:r>
              <w:t xml:space="preserve">international price, reference price of c</w:t>
            </w:r>
          </w:p>
        </w:tc>
        <w:tc>
          <w:tcPr/>
          <w:p>
            <w:pPr>
              <w:pStyle w:val="Compact"/>
              <w:jc w:val="left"/>
            </w:pPr>
            <w:r>
              <w:t xml:space="preserve">source unit</w:t>
            </w:r>
          </w:p>
        </w:tc>
        <w:tc>
          <w:tcPr/>
          <w:p>
            <w:pPr>
              <w:pStyle w:val="Compact"/>
              <w:jc w:val="left"/>
            </w:pPr>
            <w:r>
              <w:rPr>
                <w:rStyle w:val="VerbatimChar"/>
              </w:rPr>
              <w:t xml:space="preserve">gp</w:t>
            </w:r>
            <w:r>
              <w:t xml:space="preserve">,</w:t>
            </w:r>
            <w:r>
              <w:t xml:space="preserve"> </w:t>
            </w:r>
            <w:r>
              <w:rPr>
                <w:rStyle w:val="VerbatimChar"/>
              </w:rPr>
              <w:t xml:space="preserve">gpi</w:t>
            </w:r>
          </w:p>
        </w:tc>
      </w:tr>
      <w:tr>
        <w:tc>
          <w:tcPr/>
          <w:p>
            <w:pPr>
              <w:pStyle w:val="Compact"/>
              <w:jc w:val="left"/>
            </w:pPr>
            <w:r>
              <w:t xml:space="preserve">C_c, C̄_c</w:t>
            </w:r>
          </w:p>
        </w:tc>
        <w:tc>
          <w:tcPr/>
          <w:p>
            <w:pPr>
              <w:pStyle w:val="Compact"/>
              <w:jc w:val="left"/>
            </w:pPr>
            <w:r>
              <w:t xml:space="preserve">supply cost, fixed part</w:t>
            </w:r>
          </w:p>
        </w:tc>
        <w:tc>
          <w:tcPr/>
          <w:p>
            <w:pPr>
              <w:pStyle w:val="Compact"/>
              <w:jc w:val="left"/>
            </w:pPr>
            <w:r>
              <w:t xml:space="preserve">$/GJ</w:t>
            </w:r>
          </w:p>
        </w:tc>
        <w:tc>
          <w:tcPr/>
          <w:p>
            <w:pPr>
              <w:pStyle w:val="Compact"/>
              <w:jc w:val="left"/>
            </w:pPr>
            <w:r>
              <w:rPr>
                <w:rStyle w:val="VerbatimChar"/>
              </w:rPr>
              <w:t xml:space="preserve">sp</w:t>
            </w:r>
            <w:r>
              <w:t xml:space="preserve">,</w:t>
            </w:r>
            <w:r>
              <w:t xml:space="preserve"> </w:t>
            </w:r>
            <w:r>
              <w:rPr>
                <w:rStyle w:val="VerbatimChar"/>
              </w:rPr>
              <w:t xml:space="preserve">spf</w:t>
            </w:r>
          </w:p>
        </w:tc>
      </w:tr>
      <w:tr>
        <w:tc>
          <w:tcPr/>
          <w:p>
            <w:pPr>
              <w:pStyle w:val="Compact"/>
              <w:jc w:val="left"/>
            </w:pPr>
            <w:r>
              <w:t xml:space="preserve">X̃_c, X_c, X⁺_c, X⁻_c</w:t>
            </w:r>
          </w:p>
        </w:tc>
        <w:tc>
          <w:tcPr/>
          <w:p>
            <w:pPr>
              <w:pStyle w:val="Compact"/>
              <w:jc w:val="left"/>
            </w:pPr>
            <w:r>
              <w:t xml:space="preserve">floating taxes, excise and other taxes, positive and negative parts</w:t>
            </w:r>
          </w:p>
        </w:tc>
        <w:tc>
          <w:tcPr/>
          <w:p>
            <w:pPr>
              <w:pStyle w:val="Compact"/>
              <w:jc w:val="left"/>
            </w:pPr>
            <w:r>
              <w:t xml:space="preserve">$/GJ</w:t>
            </w:r>
          </w:p>
        </w:tc>
        <w:tc>
          <w:tcPr/>
          <w:p>
            <w:pPr>
              <w:pStyle w:val="Compact"/>
              <w:jc w:val="left"/>
            </w:pPr>
            <w:r>
              <w:rPr>
                <w:rStyle w:val="VerbatimChar"/>
              </w:rPr>
              <w:t xml:space="preserve">txf</w:t>
            </w:r>
            <w:r>
              <w:t xml:space="preserve">,</w:t>
            </w:r>
            <w:r>
              <w:t xml:space="preserve"> </w:t>
            </w:r>
            <w:r>
              <w:rPr>
                <w:rStyle w:val="VerbatimChar"/>
              </w:rPr>
              <w:t xml:space="preserve">txo</w:t>
            </w:r>
            <w:r>
              <w:t xml:space="preserve">,</w:t>
            </w:r>
            <w:r>
              <w:t xml:space="preserve"> </w:t>
            </w:r>
            <w:r>
              <w:rPr>
                <w:rStyle w:val="VerbatimChar"/>
              </w:rPr>
              <w:t xml:space="preserve">etx</w:t>
            </w:r>
            <w:r>
              <w:t xml:space="preserve">,</w:t>
            </w:r>
            <w:r>
              <w:t xml:space="preserve"> </w:t>
            </w:r>
            <w:r>
              <w:rPr>
                <w:rStyle w:val="VerbatimChar"/>
              </w:rPr>
              <w:t xml:space="preserve">esub</w:t>
            </w:r>
          </w:p>
        </w:tc>
      </w:tr>
      <w:tr>
        <w:tc>
          <w:tcPr/>
          <w:p>
            <w:pPr>
              <w:pStyle w:val="Compact"/>
              <w:jc w:val="left"/>
            </w:pPr>
            <w:r>
              <w:t xml:space="preserve">VAT_c, R_c</w:t>
            </w:r>
          </w:p>
        </w:tc>
        <w:tc>
          <w:tcPr/>
          <w:p>
            <w:pPr>
              <w:pStyle w:val="Compact"/>
              <w:jc w:val="left"/>
            </w:pPr>
            <w:r>
              <w:t xml:space="preserve">VAT payment, retail price before new policies</w:t>
            </w:r>
          </w:p>
        </w:tc>
        <w:tc>
          <w:tcPr/>
          <w:p>
            <w:pPr>
              <w:pStyle w:val="Compact"/>
              <w:jc w:val="left"/>
            </w:pPr>
            <w:r>
              <w:t xml:space="preserve">$/GJ</w:t>
            </w:r>
          </w:p>
        </w:tc>
        <w:tc>
          <w:tcPr/>
          <w:p>
            <w:pPr>
              <w:pStyle w:val="Compact"/>
              <w:jc w:val="left"/>
            </w:pPr>
            <w:r>
              <w:rPr>
                <w:rStyle w:val="VerbatimChar"/>
              </w:rPr>
              <w:t xml:space="preserve">vat</w:t>
            </w:r>
            <w:r>
              <w:t xml:space="preserve">,</w:t>
            </w:r>
            <w:r>
              <w:t xml:space="preserve"> </w:t>
            </w:r>
            <w:r>
              <w:rPr>
                <w:rStyle w:val="VerbatimChar"/>
              </w:rPr>
              <w:t xml:space="preserve">rpb</w:t>
            </w:r>
          </w:p>
        </w:tc>
      </w:tr>
      <w:tr>
        <w:tc>
          <w:tcPr/>
          <w:p>
            <w:pPr>
              <w:pStyle w:val="Compact"/>
              <w:jc w:val="left"/>
            </w:pPr>
            <w:r>
              <w:t xml:space="preserve">N^ct, N^ets, N^x, N</w:t>
            </w:r>
          </w:p>
        </w:tc>
        <w:tc>
          <w:tcPr/>
          <w:p>
            <w:pPr>
              <w:pStyle w:val="Compact"/>
              <w:jc w:val="left"/>
            </w:pPr>
            <w:r>
              <w:t xml:space="preserve">new carbon tax, ETS cost, excise, total</w:t>
            </w:r>
          </w:p>
        </w:tc>
        <w:tc>
          <w:tcPr/>
          <w:p>
            <w:pPr>
              <w:pStyle w:val="Compact"/>
              <w:jc w:val="left"/>
            </w:pPr>
            <w:r>
              <w:t xml:space="preserve">$/GJ</w:t>
            </w:r>
          </w:p>
        </w:tc>
        <w:tc>
          <w:tcPr/>
          <w:p>
            <w:pPr>
              <w:pStyle w:val="Compact"/>
              <w:jc w:val="left"/>
            </w:pPr>
            <w:r>
              <w:rPr>
                <w:rStyle w:val="VerbatimChar"/>
              </w:rPr>
              <w:t xml:space="preserve">ctxnew</w:t>
            </w:r>
            <w:r>
              <w:t xml:space="preserve">,</w:t>
            </w:r>
            <w:r>
              <w:t xml:space="preserve"> </w:t>
            </w:r>
            <w:r>
              <w:rPr>
                <w:rStyle w:val="VerbatimChar"/>
              </w:rPr>
              <w:t xml:space="preserve">ets</w:t>
            </w:r>
            <w:r>
              <w:t xml:space="preserve">,</w:t>
            </w:r>
            <w:r>
              <w:t xml:space="preserve"> </w:t>
            </w:r>
            <w:r>
              <w:rPr>
                <w:rStyle w:val="VerbatimChar"/>
              </w:rPr>
              <w:t xml:space="preserve">ntx</w:t>
            </w:r>
            <w:r>
              <w:t xml:space="preserve">,</w:t>
            </w:r>
            <w:r>
              <w:t xml:space="preserve"> </w:t>
            </w:r>
            <w:r>
              <w:rPr>
                <w:rStyle w:val="VerbatimChar"/>
              </w:rPr>
              <w:t xml:space="preserve">nce</w:t>
            </w:r>
          </w:p>
        </w:tc>
      </w:tr>
      <w:tr>
        <w:tc>
          <w:tcPr/>
          <w:p>
            <w:pPr>
              <w:pStyle w:val="Compact"/>
              <w:jc w:val="left"/>
            </w:pPr>
            <w:r>
              <w:t xml:space="preserve">XCP, ΔXCP</w:t>
            </w:r>
          </w:p>
        </w:tc>
        <w:tc>
          <w:tcPr/>
          <w:p>
            <w:pPr>
              <w:pStyle w:val="Compact"/>
              <w:jc w:val="left"/>
            </w:pPr>
            <w:r>
              <w:t xml:space="preserve">existing carbon pricing, change vs price data</w:t>
            </w:r>
          </w:p>
        </w:tc>
        <w:tc>
          <w:tcPr/>
          <w:p>
            <w:pPr>
              <w:pStyle w:val="Compact"/>
              <w:jc w:val="left"/>
            </w:pPr>
            <w:r>
              <w:t xml:space="preserve">$/GJ</w:t>
            </w:r>
          </w:p>
        </w:tc>
        <w:tc>
          <w:tcPr/>
          <w:p>
            <w:pPr>
              <w:pStyle w:val="Compact"/>
              <w:jc w:val="left"/>
            </w:pPr>
            <w:r>
              <w:rPr>
                <w:rStyle w:val="VerbatimChar"/>
              </w:rPr>
              <w:t xml:space="preserve">xcp</w:t>
            </w:r>
            <w:r>
              <w:t xml:space="preserve">,</w:t>
            </w:r>
            <w:r>
              <w:t xml:space="preserve"> </w:t>
            </w:r>
            <w:r>
              <w:rPr>
                <w:rStyle w:val="VerbatimChar"/>
              </w:rPr>
              <w:t xml:space="preserve">xcpd</w:t>
            </w:r>
          </w:p>
        </w:tc>
      </w:tr>
      <w:tr>
        <w:tc>
          <w:tcPr/>
          <w:p>
            <w:pPr>
              <w:pStyle w:val="Compact"/>
              <w:jc w:val="left"/>
            </w:pPr>
            <w:r>
              <w:t xml:space="preserve">P, Sh</w:t>
            </w:r>
          </w:p>
        </w:tc>
        <w:tc>
          <w:tcPr/>
          <w:p>
            <w:pPr>
              <w:pStyle w:val="Compact"/>
              <w:jc w:val="left"/>
            </w:pPr>
            <w:r>
              <w:t xml:space="preserve">after-tax price, shadow price</w:t>
            </w:r>
          </w:p>
        </w:tc>
        <w:tc>
          <w:tcPr/>
          <w:p>
            <w:pPr>
              <w:pStyle w:val="Compact"/>
              <w:jc w:val="left"/>
            </w:pPr>
            <w:r>
              <w:t xml:space="preserve">$/GJ</w:t>
            </w:r>
          </w:p>
        </w:tc>
        <w:tc>
          <w:tcPr/>
          <w:p>
            <w:pPr>
              <w:pStyle w:val="Compact"/>
              <w:jc w:val="left"/>
            </w:pPr>
            <w:r>
              <w:rPr>
                <w:rStyle w:val="VerbatimChar"/>
              </w:rPr>
              <w:t xml:space="preserve">atp</w:t>
            </w:r>
            <w:r>
              <w:t xml:space="preserve">,</w:t>
            </w:r>
            <w:r>
              <w:t xml:space="preserve"> </w:t>
            </w:r>
            <w:r>
              <w:rPr>
                <w:rStyle w:val="VerbatimChar"/>
              </w:rPr>
              <w:t xml:space="preserve">shp</w:t>
            </w:r>
          </w:p>
        </w:tc>
      </w:tr>
      <w:tr>
        <w:tc>
          <w:tcPr/>
          <w:p>
            <w:pPr>
              <w:pStyle w:val="Compact"/>
              <w:jc w:val="left"/>
            </w:pPr>
            <w:r>
              <w:t xml:space="preserve">cax, cāx, sto</w:t>
            </w:r>
          </w:p>
        </w:tc>
        <w:tc>
          <w:tcPr/>
          <w:p>
            <w:pPr>
              <w:pStyle w:val="Compact"/>
              <w:jc w:val="left"/>
            </w:pPr>
            <w:r>
              <w:t xml:space="preserve">capital cost, vintage averages</w:t>
            </w:r>
          </w:p>
        </w:tc>
        <w:tc>
          <w:tcPr/>
          <w:p>
            <w:pPr>
              <w:pStyle w:val="Compact"/>
              <w:jc w:val="left"/>
            </w:pPr>
            <w:r>
              <w:t xml:space="preserve">$/kW, $/kWh</w:t>
            </w:r>
          </w:p>
        </w:tc>
        <w:tc>
          <w:tcPr/>
          <w:p>
            <w:pPr>
              <w:pStyle w:val="Compact"/>
              <w:jc w:val="left"/>
            </w:pPr>
            <w:r>
              <w:rPr>
                <w:rStyle w:val="VerbatimChar"/>
              </w:rPr>
              <w:t xml:space="preserve">cax</w:t>
            </w:r>
            <w:r>
              <w:t xml:space="preserve">,</w:t>
            </w:r>
            <w:r>
              <w:t xml:space="preserve"> </w:t>
            </w:r>
            <w:r>
              <w:rPr>
                <w:rStyle w:val="VerbatimChar"/>
              </w:rPr>
              <w:t xml:space="preserve">caxav</w:t>
            </w:r>
            <w:r>
              <w:t xml:space="preserve">,</w:t>
            </w:r>
            <w:r>
              <w:t xml:space="preserve"> </w:t>
            </w:r>
            <w:r>
              <w:rPr>
                <w:rStyle w:val="VerbatimChar"/>
              </w:rPr>
              <w:t xml:space="preserve">stoav</w:t>
            </w:r>
          </w:p>
        </w:tc>
      </w:tr>
      <w:tr>
        <w:tc>
          <w:tcPr/>
          <w:p>
            <w:pPr>
              <w:pStyle w:val="Compact"/>
              <w:jc w:val="left"/>
            </w:pPr>
            <w:r>
              <w:t xml:space="preserve">fix, lfx</w:t>
            </w:r>
          </w:p>
        </w:tc>
        <w:tc>
          <w:tcPr/>
          <w:p>
            <w:pPr>
              <w:pStyle w:val="Compact"/>
              <w:jc w:val="left"/>
            </w:pPr>
            <w:r>
              <w:t xml:space="preserve">amortised and levelised fixed cost</w:t>
            </w:r>
          </w:p>
        </w:tc>
        <w:tc>
          <w:tcPr/>
          <w:p>
            <w:pPr>
              <w:pStyle w:val="Compact"/>
              <w:jc w:val="left"/>
            </w:pPr>
            <w:r>
              <w:t xml:space="preserve">$/kWh</w:t>
            </w:r>
          </w:p>
        </w:tc>
        <w:tc>
          <w:tcPr/>
          <w:p>
            <w:pPr>
              <w:pStyle w:val="Compact"/>
              <w:jc w:val="left"/>
            </w:pPr>
            <w:r>
              <w:rPr>
                <w:rStyle w:val="VerbatimChar"/>
              </w:rPr>
              <w:t xml:space="preserve">fix</w:t>
            </w:r>
            <w:r>
              <w:t xml:space="preserve">,</w:t>
            </w:r>
            <w:r>
              <w:t xml:space="preserve"> </w:t>
            </w:r>
            <w:r>
              <w:rPr>
                <w:rStyle w:val="VerbatimChar"/>
              </w:rPr>
              <w:t xml:space="preserve">lfx</w:t>
            </w:r>
          </w:p>
        </w:tc>
      </w:tr>
      <w:tr>
        <w:tc>
          <w:tcPr/>
          <w:p>
            <w:pPr>
              <w:pStyle w:val="Compact"/>
              <w:jc w:val="left"/>
            </w:pPr>
            <w:r>
              <w:t xml:space="preserve">fp, xc, vc, pc</w:t>
            </w:r>
          </w:p>
        </w:tc>
        <w:tc>
          <w:tcPr/>
          <w:p>
            <w:pPr>
              <w:pStyle w:val="Compact"/>
              <w:jc w:val="left"/>
            </w:pPr>
            <w:r>
              <w:t xml:space="preserve">fuel price, existing carbon, variable cost, new policy cost</w:t>
            </w:r>
          </w:p>
        </w:tc>
        <w:tc>
          <w:tcPr/>
          <w:p>
            <w:pPr>
              <w:pStyle w:val="Compact"/>
              <w:jc w:val="left"/>
            </w:pPr>
            <w:r>
              <w:t xml:space="preserve">$/GJ, $/kWh</w:t>
            </w:r>
          </w:p>
        </w:tc>
        <w:tc>
          <w:tcPr/>
          <w:p>
            <w:pPr>
              <w:pStyle w:val="Compact"/>
              <w:jc w:val="left"/>
            </w:pPr>
            <w:r>
              <w:rPr>
                <w:rStyle w:val="VerbatimChar"/>
              </w:rPr>
              <w:t xml:space="preserve">fpp</w:t>
            </w:r>
            <w:r>
              <w:t xml:space="preserve">,</w:t>
            </w:r>
            <w:r>
              <w:t xml:space="preserve"> </w:t>
            </w:r>
            <w:r>
              <w:rPr>
                <w:rStyle w:val="VerbatimChar"/>
              </w:rPr>
              <w:t xml:space="preserve">xck</w:t>
            </w:r>
            <w:r>
              <w:t xml:space="preserve">,</w:t>
            </w:r>
            <w:r>
              <w:t xml:space="preserve"> </w:t>
            </w:r>
            <w:r>
              <w:rPr>
                <w:rStyle w:val="VerbatimChar"/>
              </w:rPr>
              <w:t xml:space="preserve">vbc</w:t>
            </w:r>
            <w:r>
              <w:t xml:space="preserve">,</w:t>
            </w:r>
            <w:r>
              <w:t xml:space="preserve"> </w:t>
            </w:r>
            <w:r>
              <w:rPr>
                <w:rStyle w:val="VerbatimChar"/>
              </w:rPr>
              <w:t xml:space="preserve">ccp</w:t>
            </w:r>
          </w:p>
        </w:tc>
      </w:tr>
      <w:tr>
        <w:tc>
          <w:tcPr/>
          <w:p>
            <w:pPr>
              <w:pStyle w:val="Compact"/>
              <w:jc w:val="left"/>
            </w:pPr>
            <w:r>
              <w:t xml:space="preserve">sh, reb, tvc, lvc, tic</w:t>
            </w:r>
          </w:p>
        </w:tc>
        <w:tc>
          <w:tcPr/>
          <w:p>
            <w:pPr>
              <w:pStyle w:val="Compact"/>
              <w:jc w:val="left"/>
            </w:pPr>
            <w:r>
              <w:t xml:space="preserve">shadow price, rebate, total and levelised variable cost, investment cost</w:t>
            </w:r>
          </w:p>
        </w:tc>
        <w:tc>
          <w:tcPr/>
          <w:p>
            <w:pPr>
              <w:pStyle w:val="Compact"/>
              <w:jc w:val="left"/>
            </w:pPr>
            <w:r>
              <w:t xml:space="preserve">$/kWh</w:t>
            </w:r>
          </w:p>
        </w:tc>
        <w:tc>
          <w:tcPr/>
          <w:p>
            <w:pPr>
              <w:pStyle w:val="Compact"/>
              <w:jc w:val="left"/>
            </w:pPr>
            <w:r>
              <w:rPr>
                <w:rStyle w:val="VerbatimChar"/>
              </w:rPr>
              <w:t xml:space="preserve">shk</w:t>
            </w:r>
            <w:r>
              <w:t xml:space="preserve">,</w:t>
            </w:r>
            <w:r>
              <w:t xml:space="preserve"> </w:t>
            </w:r>
            <w:r>
              <w:rPr>
                <w:rStyle w:val="VerbatimChar"/>
              </w:rPr>
              <w:t xml:space="preserve">reb</w:t>
            </w:r>
            <w:r>
              <w:t xml:space="preserve">,</w:t>
            </w:r>
            <w:r>
              <w:t xml:space="preserve"> </w:t>
            </w:r>
            <w:r>
              <w:rPr>
                <w:rStyle w:val="VerbatimChar"/>
              </w:rPr>
              <w:t xml:space="preserve">tvc</w:t>
            </w:r>
            <w:r>
              <w:t xml:space="preserve">,</w:t>
            </w:r>
            <w:r>
              <w:t xml:space="preserve"> </w:t>
            </w:r>
            <w:r>
              <w:rPr>
                <w:rStyle w:val="VerbatimChar"/>
              </w:rPr>
              <w:t xml:space="preserve">lvc</w:t>
            </w:r>
            <w:r>
              <w:t xml:space="preserve">,</w:t>
            </w:r>
            <w:r>
              <w:t xml:space="preserve"> </w:t>
            </w:r>
            <w:r>
              <w:rPr>
                <w:rStyle w:val="VerbatimChar"/>
              </w:rPr>
              <w:t xml:space="preserve">tic</w:t>
            </w:r>
          </w:p>
        </w:tc>
      </w:tr>
      <w:tr>
        <w:tc>
          <w:tcPr/>
          <w:p>
            <w:pPr>
              <w:pStyle w:val="Compact"/>
              <w:jc w:val="left"/>
            </w:pPr>
            <w:r>
              <w:t xml:space="preserve">gc, gc̄, pc̄</w:t>
            </w:r>
          </w:p>
        </w:tc>
        <w:tc>
          <w:tcPr/>
          <w:p>
            <w:pPr>
              <w:pStyle w:val="Compact"/>
              <w:jc w:val="left"/>
            </w:pPr>
            <w:r>
              <w:t xml:space="preserve">generation cost, average, average policy cost</w:t>
            </w:r>
          </w:p>
        </w:tc>
        <w:tc>
          <w:tcPr/>
          <w:p>
            <w:pPr>
              <w:pStyle w:val="Compact"/>
              <w:jc w:val="left"/>
            </w:pPr>
            <w:r>
              <w:t xml:space="preserve">$/kWh</w:t>
            </w:r>
          </w:p>
        </w:tc>
        <w:tc>
          <w:tcPr/>
          <w:p>
            <w:pPr>
              <w:pStyle w:val="Compact"/>
              <w:jc w:val="left"/>
            </w:pPr>
            <w:r>
              <w:rPr>
                <w:rStyle w:val="VerbatimChar"/>
              </w:rPr>
              <w:t xml:space="preserve">gnc</w:t>
            </w:r>
            <w:r>
              <w:t xml:space="preserve">,</w:t>
            </w:r>
            <w:r>
              <w:t xml:space="preserve"> </w:t>
            </w:r>
            <w:r>
              <w:rPr>
                <w:rStyle w:val="VerbatimChar"/>
              </w:rPr>
              <w:t xml:space="preserve">gncav</w:t>
            </w:r>
            <w:r>
              <w:t xml:space="preserve">,</w:t>
            </w:r>
            <w:r>
              <w:t xml:space="preserve"> </w:t>
            </w:r>
            <w:r>
              <w:rPr>
                <w:rStyle w:val="VerbatimChar"/>
              </w:rPr>
              <w:t xml:space="preserve">ccpav</w:t>
            </w:r>
          </w:p>
        </w:tc>
      </w:tr>
      <w:tr>
        <w:tc>
          <w:tcPr/>
          <w:p>
            <w:pPr>
              <w:pStyle w:val="Compact"/>
              <w:jc w:val="left"/>
            </w:pPr>
            <w:r>
              <w:t xml:space="preserve">vre, cph, msc</w:t>
            </w:r>
          </w:p>
        </w:tc>
        <w:tc>
          <w:tcPr/>
          <w:p>
            <w:pPr>
              <w:pStyle w:val="Compact"/>
              <w:jc w:val="left"/>
            </w:pPr>
            <w:r>
              <w:t xml:space="preserve">VRE share, storage cost per hour, marginal storage cost</w:t>
            </w:r>
          </w:p>
        </w:tc>
        <w:tc>
          <w:tcPr/>
          <w:p>
            <w:pPr>
              <w:pStyle w:val="Compact"/>
              <w:jc w:val="left"/>
            </w:pPr>
            <w:r>
              <w:t xml:space="preserve">share, $/kWh</w:t>
            </w:r>
          </w:p>
        </w:tc>
        <w:tc>
          <w:tcPr/>
          <w:p>
            <w:pPr>
              <w:pStyle w:val="Compact"/>
              <w:jc w:val="left"/>
            </w:pPr>
            <w:r>
              <w:rPr>
                <w:rStyle w:val="VerbatimChar"/>
              </w:rPr>
              <w:t xml:space="preserve">vre</w:t>
            </w:r>
            <w:r>
              <w:t xml:space="preserve">,</w:t>
            </w:r>
            <w:r>
              <w:t xml:space="preserve"> </w:t>
            </w:r>
            <w:r>
              <w:rPr>
                <w:rStyle w:val="VerbatimChar"/>
              </w:rPr>
              <w:t xml:space="preserve">cph</w:t>
            </w:r>
            <w:r>
              <w:t xml:space="preserve">,</w:t>
            </w:r>
            <w:r>
              <w:t xml:space="preserve"> </w:t>
            </w:r>
            <w:r>
              <w:rPr>
                <w:rStyle w:val="VerbatimChar"/>
              </w:rPr>
              <w:t xml:space="preserve">msc</w:t>
            </w:r>
          </w:p>
        </w:tc>
      </w:tr>
      <w:tr>
        <w:tc>
          <w:tcPr/>
          <w:p>
            <w:pPr>
              <w:pStyle w:val="Compact"/>
              <w:jc w:val="left"/>
            </w:pPr>
            <w:r>
              <w:t xml:space="preserve">sc_u, pp_u, p_u, gap_u</w:t>
            </w:r>
          </w:p>
        </w:tc>
        <w:tc>
          <w:tcPr/>
          <w:p>
            <w:pPr>
              <w:pStyle w:val="Compact"/>
              <w:jc w:val="left"/>
            </w:pPr>
            <w:r>
              <w:t xml:space="preserve">supply cost, price before policies, end-user price, subsidy gap</w:t>
            </w:r>
          </w:p>
        </w:tc>
        <w:tc>
          <w:tcPr/>
          <w:p>
            <w:pPr>
              <w:pStyle w:val="Compact"/>
              <w:jc w:val="left"/>
            </w:pPr>
            <w:r>
              <w:t xml:space="preserve">$/kWh</w:t>
            </w:r>
          </w:p>
        </w:tc>
        <w:tc>
          <w:tcPr/>
          <w:p>
            <w:pPr>
              <w:pStyle w:val="Compact"/>
              <w:jc w:val="left"/>
            </w:pPr>
            <w:r>
              <w:rPr>
                <w:rStyle w:val="VerbatimChar"/>
              </w:rPr>
              <w:t xml:space="preserve">sc</w:t>
            </w:r>
            <w:r>
              <w:t xml:space="preserve">,</w:t>
            </w:r>
            <w:r>
              <w:t xml:space="preserve"> </w:t>
            </w:r>
            <w:r>
              <w:rPr>
                <w:rStyle w:val="VerbatimChar"/>
              </w:rPr>
              <w:t xml:space="preserve">rppre</w:t>
            </w:r>
            <w:r>
              <w:t xml:space="preserve">,</w:t>
            </w:r>
            <w:r>
              <w:t xml:space="preserve"> </w:t>
            </w:r>
            <w:r>
              <w:rPr>
                <w:rStyle w:val="VerbatimChar"/>
              </w:rPr>
              <w:t xml:space="preserve">rp</w:t>
            </w:r>
            <w:r>
              <w:t xml:space="preserve">,</w:t>
            </w:r>
            <w:r>
              <w:t xml:space="preserve"> </w:t>
            </w:r>
            <w:r>
              <w:rPr>
                <w:rStyle w:val="VerbatimChar"/>
              </w:rPr>
              <w:t xml:space="preserve">sgap</w:t>
            </w:r>
          </w:p>
        </w:tc>
      </w:tr>
      <w:tr>
        <w:tc>
          <w:tcPr/>
          <w:p>
            <w:pPr>
              <w:pStyle w:val="Compact"/>
              <w:jc w:val="left"/>
            </w:pPr>
            <w:r>
              <w:t xml:space="preserve">pd_d, M_d, D_s, D, cons_u</w:t>
            </w:r>
          </w:p>
        </w:tc>
        <w:tc>
          <w:tcPr/>
          <w:p>
            <w:pPr>
              <w:pStyle w:val="Compact"/>
              <w:jc w:val="left"/>
            </w:pPr>
            <w:r>
              <w:t xml:space="preserve">demand price, demand multiple, demand, total, consumption</w:t>
            </w:r>
          </w:p>
        </w:tc>
        <w:tc>
          <w:tcPr/>
          <w:p>
            <w:pPr>
              <w:pStyle w:val="Compact"/>
              <w:jc w:val="left"/>
            </w:pPr>
            <w:r>
              <w:t xml:space="preserve">$/kWh, ktoe, GWh</w:t>
            </w:r>
          </w:p>
        </w:tc>
        <w:tc>
          <w:tcPr/>
          <w:p>
            <w:pPr>
              <w:pStyle w:val="Compact"/>
              <w:jc w:val="left"/>
            </w:pPr>
            <w:r>
              <w:rPr>
                <w:rStyle w:val="VerbatimChar"/>
              </w:rPr>
              <w:t xml:space="preserve">pdem</w:t>
            </w:r>
            <w:r>
              <w:t xml:space="preserve">,</w:t>
            </w:r>
            <w:r>
              <w:t xml:space="preserve"> </w:t>
            </w:r>
            <w:r>
              <w:rPr>
                <w:rStyle w:val="VerbatimChar"/>
              </w:rPr>
              <w:t xml:space="preserve">mult</w:t>
            </w:r>
            <w:r>
              <w:t xml:space="preserve">,</w:t>
            </w:r>
            <w:r>
              <w:t xml:space="preserve"> </w:t>
            </w:r>
            <w:r>
              <w:rPr>
                <w:rStyle w:val="VerbatimChar"/>
              </w:rPr>
              <w:t xml:space="preserve">dem</w:t>
            </w:r>
            <w:r>
              <w:t xml:space="preserve">,</w:t>
            </w:r>
            <w:r>
              <w:t xml:space="preserve"> </w:t>
            </w:r>
            <w:r>
              <w:rPr>
                <w:rStyle w:val="VerbatimChar"/>
              </w:rPr>
              <w:t xml:space="preserve">demtot</w:t>
            </w:r>
            <w:r>
              <w:t xml:space="preserve">,</w:t>
            </w:r>
            <w:r>
              <w:t xml:space="preserve"> </w:t>
            </w:r>
            <w:r>
              <w:rPr>
                <w:rStyle w:val="VerbatimChar"/>
              </w:rPr>
              <w:t xml:space="preserve">cons</w:t>
            </w:r>
          </w:p>
        </w:tc>
      </w:tr>
      <w:tr>
        <w:tc>
          <w:tcPr/>
          <w:p>
            <w:pPr>
              <w:pStyle w:val="Compact"/>
              <w:jc w:val="left"/>
            </w:pPr>
            <w:r>
              <w:t xml:space="preserve">Req, Rcg, Gmin, rem, λ</w:t>
            </w:r>
          </w:p>
        </w:tc>
        <w:tc>
          <w:tcPr/>
          <w:p>
            <w:pPr>
              <w:pStyle w:val="Compact"/>
              <w:jc w:val="left"/>
            </w:pPr>
            <w:r>
              <w:t xml:space="preserve">required generation, coal-gas need, minimum, remainder, logit weight</w:t>
            </w:r>
          </w:p>
        </w:tc>
        <w:tc>
          <w:tcPr/>
          <w:p>
            <w:pPr>
              <w:pStyle w:val="Compact"/>
              <w:jc w:val="left"/>
            </w:pPr>
            <w:r>
              <w:t xml:space="preserve">MWy</w:t>
            </w:r>
          </w:p>
        </w:tc>
        <w:tc>
          <w:tcPr/>
          <w:p>
            <w:pPr>
              <w:pStyle w:val="Compact"/>
              <w:jc w:val="left"/>
            </w:pPr>
            <w:r>
              <w:rPr>
                <w:rStyle w:val="VerbatimChar"/>
              </w:rPr>
              <w:t xml:space="preserve">req</w:t>
            </w:r>
            <w:r>
              <w:t xml:space="preserve">,</w:t>
            </w:r>
            <w:r>
              <w:t xml:space="preserve"> </w:t>
            </w:r>
            <w:r>
              <w:rPr>
                <w:rStyle w:val="VerbatimChar"/>
              </w:rPr>
              <w:t xml:space="preserve">reqcg</w:t>
            </w:r>
            <w:r>
              <w:t xml:space="preserve">,</w:t>
            </w:r>
            <w:r>
              <w:t xml:space="preserve"> </w:t>
            </w:r>
            <w:r>
              <w:rPr>
                <w:rStyle w:val="VerbatimChar"/>
              </w:rPr>
              <w:t xml:space="preserve">gmin</w:t>
            </w:r>
            <w:r>
              <w:t xml:space="preserve">,</w:t>
            </w:r>
            <w:r>
              <w:t xml:space="preserve"> </w:t>
            </w:r>
            <w:r>
              <w:rPr>
                <w:rStyle w:val="VerbatimChar"/>
              </w:rPr>
              <w:t xml:space="preserve">rem</w:t>
            </w:r>
            <w:r>
              <w:t xml:space="preserve">,</w:t>
            </w:r>
            <w:r>
              <w:t xml:space="preserve"> </w:t>
            </w:r>
            <w:r>
              <w:rPr>
                <w:rStyle w:val="VerbatimChar"/>
              </w:rPr>
              <w:t xml:space="preserve">lgd</w:t>
            </w:r>
          </w:p>
        </w:tc>
      </w:tr>
      <w:tr>
        <w:tc>
          <w:tcPr/>
          <w:p>
            <w:pPr>
              <w:pStyle w:val="Compact"/>
              <w:jc w:val="left"/>
            </w:pPr>
            <w:r>
              <w:t xml:space="preserve">G_k, s_k, FU_k</w:t>
            </w:r>
          </w:p>
        </w:tc>
        <w:tc>
          <w:tcPr/>
          <w:p>
            <w:pPr>
              <w:pStyle w:val="Compact"/>
              <w:jc w:val="left"/>
            </w:pPr>
            <w:r>
              <w:t xml:space="preserve">generation, share, fuel use</w:t>
            </w:r>
          </w:p>
        </w:tc>
        <w:tc>
          <w:tcPr/>
          <w:p>
            <w:pPr>
              <w:pStyle w:val="Compact"/>
              <w:jc w:val="left"/>
            </w:pPr>
            <w:r>
              <w:t xml:space="preserve">MWy, share, ktoe</w:t>
            </w:r>
          </w:p>
        </w:tc>
        <w:tc>
          <w:tcPr/>
          <w:p>
            <w:pPr>
              <w:pStyle w:val="Compact"/>
              <w:jc w:val="left"/>
            </w:pPr>
            <w:r>
              <w:rPr>
                <w:rStyle w:val="VerbatimChar"/>
              </w:rPr>
              <w:t xml:space="preserve">gen</w:t>
            </w:r>
            <w:r>
              <w:t xml:space="preserve">,</w:t>
            </w:r>
            <w:r>
              <w:t xml:space="preserve"> </w:t>
            </w:r>
            <w:r>
              <w:rPr>
                <w:rStyle w:val="VerbatimChar"/>
              </w:rPr>
              <w:t xml:space="preserve">shr</w:t>
            </w:r>
            <w:r>
              <w:t xml:space="preserve">,</w:t>
            </w:r>
            <w:r>
              <w:t xml:space="preserve"> </w:t>
            </w:r>
            <w:r>
              <w:rPr>
                <w:rStyle w:val="VerbatimChar"/>
              </w:rPr>
              <w:t xml:space="preserve">pe</w:t>
            </w:r>
          </w:p>
        </w:tc>
      </w:tr>
      <w:tr>
        <w:tc>
          <w:tcPr/>
          <w:p>
            <w:pPr>
              <w:pStyle w:val="Compact"/>
              <w:jc w:val="left"/>
            </w:pPr>
            <w:r>
              <w:t xml:space="preserve">K_k, Ke_k, Ret_k, Rete_k</w:t>
            </w:r>
          </w:p>
        </w:tc>
        <w:tc>
          <w:tcPr/>
          <w:p>
            <w:pPr>
              <w:pStyle w:val="Compact"/>
              <w:jc w:val="left"/>
            </w:pPr>
            <w:r>
              <w:t xml:space="preserve">capacity, effective capacity, retirement</w:t>
            </w:r>
          </w:p>
        </w:tc>
        <w:tc>
          <w:tcPr/>
          <w:p>
            <w:pPr>
              <w:pStyle w:val="Compact"/>
              <w:jc w:val="left"/>
            </w:pPr>
            <w:r>
              <w:t xml:space="preserve">MW</w:t>
            </w:r>
          </w:p>
        </w:tc>
        <w:tc>
          <w:tcPr/>
          <w:p>
            <w:pPr>
              <w:pStyle w:val="Compact"/>
              <w:jc w:val="left"/>
            </w:pPr>
            <w:r>
              <w:rPr>
                <w:rStyle w:val="VerbatimChar"/>
              </w:rPr>
              <w:t xml:space="preserve">cap</w:t>
            </w:r>
            <w:r>
              <w:t xml:space="preserve">,</w:t>
            </w:r>
            <w:r>
              <w:t xml:space="preserve"> </w:t>
            </w:r>
            <w:r>
              <w:rPr>
                <w:rStyle w:val="VerbatimChar"/>
              </w:rPr>
              <w:t xml:space="preserve">effcap</w:t>
            </w:r>
            <w:r>
              <w:t xml:space="preserve">,</w:t>
            </w:r>
            <w:r>
              <w:t xml:space="preserve"> </w:t>
            </w:r>
            <w:r>
              <w:rPr>
                <w:rStyle w:val="VerbatimChar"/>
              </w:rPr>
              <w:t xml:space="preserve">ret</w:t>
            </w:r>
            <w:r>
              <w:t xml:space="preserve">,</w:t>
            </w:r>
            <w:r>
              <w:t xml:space="preserve"> </w:t>
            </w:r>
            <w:r>
              <w:rPr>
                <w:rStyle w:val="VerbatimChar"/>
              </w:rPr>
              <w:t xml:space="preserve">reteff</w:t>
            </w:r>
          </w:p>
        </w:tc>
      </w:tr>
      <w:tr>
        <w:tc>
          <w:tcPr/>
          <w:p>
            <w:pPr>
              <w:pStyle w:val="Compact"/>
              <w:jc w:val="left"/>
            </w:pPr>
            <w:r>
              <w:t xml:space="preserve">room, ec, Early</w:t>
            </w:r>
          </w:p>
        </w:tc>
        <w:tc>
          <w:tcPr/>
          <w:p>
            <w:pPr>
              <w:pStyle w:val="Compact"/>
              <w:jc w:val="left"/>
            </w:pPr>
            <w:r>
              <w:t xml:space="preserve">early coal retirement</w:t>
            </w:r>
          </w:p>
        </w:tc>
        <w:tc>
          <w:tcPr/>
          <w:p>
            <w:pPr>
              <w:pStyle w:val="Compact"/>
              <w:jc w:val="left"/>
            </w:pPr>
            <w:r>
              <w:t xml:space="preserve">MW, share</w:t>
            </w:r>
          </w:p>
        </w:tc>
        <w:tc>
          <w:tcPr/>
          <w:p>
            <w:pPr>
              <w:pStyle w:val="Compact"/>
              <w:jc w:val="left"/>
            </w:pPr>
            <w:r>
              <w:rPr>
                <w:rStyle w:val="VerbatimChar"/>
              </w:rPr>
              <w:t xml:space="preserve">egrow</w:t>
            </w:r>
            <w:r>
              <w:t xml:space="preserve">,</w:t>
            </w:r>
            <w:r>
              <w:t xml:space="preserve"> </w:t>
            </w:r>
            <w:r>
              <w:rPr>
                <w:rStyle w:val="VerbatimChar"/>
              </w:rPr>
              <w:t xml:space="preserve">ecshr</w:t>
            </w:r>
            <w:r>
              <w:t xml:space="preserve">,</w:t>
            </w:r>
            <w:r>
              <w:t xml:space="preserve"> </w:t>
            </w:r>
            <w:r>
              <w:rPr>
                <w:rStyle w:val="VerbatimChar"/>
              </w:rPr>
              <w:t xml:space="preserve">early</w:t>
            </w:r>
          </w:p>
        </w:tc>
      </w:tr>
      <w:tr>
        <w:tc>
          <w:tcPr/>
          <w:p>
            <w:pPr>
              <w:pStyle w:val="Compact"/>
              <w:jc w:val="left"/>
            </w:pPr>
            <w:r>
              <w:t xml:space="preserve">need, Max_k, λi_k, I1_k, I2_k</w:t>
            </w:r>
          </w:p>
        </w:tc>
        <w:tc>
          <w:tcPr/>
          <w:p>
            <w:pPr>
              <w:pStyle w:val="Compact"/>
              <w:jc w:val="left"/>
            </w:pPr>
            <w:r>
              <w:t xml:space="preserve">investment need, scale-up limit, logit weight, rounds</w:t>
            </w:r>
          </w:p>
        </w:tc>
        <w:tc>
          <w:tcPr/>
          <w:p>
            <w:pPr>
              <w:pStyle w:val="Compact"/>
              <w:jc w:val="left"/>
            </w:pPr>
            <w:r>
              <w:t xml:space="preserve">MW</w:t>
            </w:r>
          </w:p>
        </w:tc>
        <w:tc>
          <w:tcPr/>
          <w:p>
            <w:pPr>
              <w:pStyle w:val="Compact"/>
              <w:jc w:val="left"/>
            </w:pPr>
            <w:r>
              <w:rPr>
                <w:rStyle w:val="VerbatimChar"/>
              </w:rPr>
              <w:t xml:space="preserve">need</w:t>
            </w:r>
            <w:r>
              <w:t xml:space="preserve">,</w:t>
            </w:r>
            <w:r>
              <w:t xml:space="preserve"> </w:t>
            </w:r>
            <w:r>
              <w:rPr>
                <w:rStyle w:val="VerbatimChar"/>
              </w:rPr>
              <w:t xml:space="preserve">maxinv</w:t>
            </w:r>
            <w:r>
              <w:t xml:space="preserve">,</w:t>
            </w:r>
            <w:r>
              <w:t xml:space="preserve"> </w:t>
            </w:r>
            <w:r>
              <w:rPr>
                <w:rStyle w:val="VerbatimChar"/>
              </w:rPr>
              <w:t xml:space="preserve">lgi</w:t>
            </w:r>
            <w:r>
              <w:t xml:space="preserve">,</w:t>
            </w:r>
            <w:r>
              <w:t xml:space="preserve"> </w:t>
            </w:r>
            <w:r>
              <w:rPr>
                <w:rStyle w:val="VerbatimChar"/>
              </w:rPr>
              <w:t xml:space="preserve">first</w:t>
            </w:r>
            <w:r>
              <w:t xml:space="preserve">,</w:t>
            </w:r>
            <w:r>
              <w:t xml:space="preserve"> </w:t>
            </w:r>
            <w:r>
              <w:rPr>
                <w:rStyle w:val="VerbatimChar"/>
              </w:rPr>
              <w:t xml:space="preserve">second</w:t>
            </w:r>
          </w:p>
        </w:tc>
      </w:tr>
      <w:tr>
        <w:tc>
          <w:tcPr/>
          <w:p>
            <w:pPr>
              <w:pStyle w:val="Compact"/>
              <w:jc w:val="left"/>
            </w:pPr>
            <w:r>
              <w:t xml:space="preserve">I_k, Inv$_k, φ_k</w:t>
            </w:r>
          </w:p>
        </w:tc>
        <w:tc>
          <w:tcPr/>
          <w:p>
            <w:pPr>
              <w:pStyle w:val="Compact"/>
              <w:jc w:val="left"/>
            </w:pPr>
            <w:r>
              <w:t xml:space="preserve">nameplate investment, spending, share in stock</w:t>
            </w:r>
          </w:p>
        </w:tc>
        <w:tc>
          <w:tcPr/>
          <w:p>
            <w:pPr>
              <w:pStyle w:val="Compact"/>
              <w:jc w:val="left"/>
            </w:pPr>
            <w:r>
              <w:t xml:space="preserve">MW, USD m, share</w:t>
            </w:r>
          </w:p>
        </w:tc>
        <w:tc>
          <w:tcPr/>
          <w:p>
            <w:pPr>
              <w:pStyle w:val="Compact"/>
              <w:jc w:val="left"/>
            </w:pPr>
            <w:r>
              <w:rPr>
                <w:rStyle w:val="VerbatimChar"/>
              </w:rPr>
              <w:t xml:space="preserve">nim</w:t>
            </w:r>
            <w:r>
              <w:t xml:space="preserve">,</w:t>
            </w:r>
            <w:r>
              <w:t xml:space="preserve"> </w:t>
            </w:r>
            <w:r>
              <w:rPr>
                <w:rStyle w:val="VerbatimChar"/>
              </w:rPr>
              <w:t xml:space="preserve">usd</w:t>
            </w:r>
            <w:r>
              <w:t xml:space="preserve">,</w:t>
            </w:r>
            <w:r>
              <w:t xml:space="preserve"> </w:t>
            </w:r>
            <w:r>
              <w:rPr>
                <w:rStyle w:val="VerbatimChar"/>
              </w:rPr>
              <w:t xml:space="preserve">phi</w:t>
            </w:r>
          </w:p>
        </w:tc>
      </w:tr>
      <w:tr>
        <w:tc>
          <w:tcPr/>
          <w:p>
            <w:pPr>
              <w:pStyle w:val="Compact"/>
              <w:jc w:val="left"/>
            </w:pPr>
            <w:r>
              <w:t xml:space="preserve">Qᵉ, Q</w:t>
            </w:r>
          </w:p>
        </w:tc>
        <w:tc>
          <w:tcPr/>
          <w:p>
            <w:pPr>
              <w:pStyle w:val="Compact"/>
              <w:jc w:val="left"/>
            </w:pPr>
            <w:r>
              <w:t xml:space="preserve">fuel use: elasticity model, used</w:t>
            </w:r>
          </w:p>
        </w:tc>
        <w:tc>
          <w:tcPr/>
          <w:p>
            <w:pPr>
              <w:pStyle w:val="Compact"/>
              <w:jc w:val="left"/>
            </w:pPr>
            <w:r>
              <w:t xml:space="preserve">ktoe</w:t>
            </w:r>
          </w:p>
        </w:tc>
        <w:tc>
          <w:tcPr/>
          <w:p>
            <w:pPr>
              <w:pStyle w:val="Compact"/>
              <w:jc w:val="left"/>
            </w:pPr>
            <w:r>
              <w:rPr>
                <w:rStyle w:val="VerbatimChar"/>
              </w:rPr>
              <w:t xml:space="preserve">enel</w:t>
            </w:r>
            <w:r>
              <w:t xml:space="preserve">,</w:t>
            </w:r>
            <w:r>
              <w:t xml:space="preserve"> </w:t>
            </w:r>
            <w:r>
              <w:rPr>
                <w:rStyle w:val="VerbatimChar"/>
              </w:rPr>
              <w:t xml:space="preserve">ener</w:t>
            </w:r>
          </w:p>
        </w:tc>
      </w:tr>
      <w:tr>
        <w:tc>
          <w:tcPr/>
          <w:p>
            <w:pPr>
              <w:pStyle w:val="Compact"/>
              <w:jc w:val="left"/>
            </w:pPr>
            <w:r>
              <w:t xml:space="preserve">x</w:t>
            </w:r>
          </w:p>
        </w:tc>
        <w:tc>
          <w:tcPr/>
          <w:p>
            <w:pPr>
              <w:pStyle w:val="Compact"/>
              <w:jc w:val="left"/>
            </w:pPr>
            <w:r>
              <w:t xml:space="preserve">exemption factor (switch</w:t>
            </w:r>
            <w:r>
              <w:t xml:space="preserve"> </w:t>
            </w:r>
            <w:r>
              <w:rPr>
                <w:rStyle w:val="VerbatimChar"/>
              </w:rPr>
              <w:t xml:space="preserve">AlwaysExemptResLPGKer</w:t>
            </w:r>
            <w:r>
              <w:t xml:space="preserve">)</w:t>
            </w:r>
          </w:p>
        </w:tc>
        <w:tc>
          <w:tcPr/>
          <w:p>
            <w:pPr>
              <w:pStyle w:val="Compact"/>
              <w:jc w:val="left"/>
            </w:pPr>
            <w:r>
              <w:t xml:space="preserve">factor</w:t>
            </w:r>
          </w:p>
        </w:tc>
        <w:tc>
          <w:tcPr/>
          <w:p>
            <w:pPr>
              <w:pStyle w:val="Compact"/>
              <w:jc w:val="left"/>
            </w:pPr>
            <w:r>
              <w:rPr>
                <w:rStyle w:val="VerbatimChar"/>
              </w:rPr>
              <w:t xml:space="preserve">exf</w:t>
            </w:r>
          </w:p>
        </w:tc>
      </w:tr>
      <w:tr>
        <w:tc>
          <w:tcPr/>
          <w:p>
            <w:pPr>
              <w:pStyle w:val="Compact"/>
              <w:jc w:val="left"/>
            </w:pPr>
            <w:r>
              <w:t xml:space="preserve">W, p, d, b</w:t>
            </w:r>
          </w:p>
        </w:tc>
        <w:tc>
          <w:tcPr/>
          <w:p>
            <w:pPr>
              <w:pStyle w:val="Compact"/>
              <w:jc w:val="left"/>
            </w:pPr>
            <w:r>
              <w:t xml:space="preserve">leakage: new policy in the price, leaked share, fossil change, biomass</w:t>
            </w:r>
          </w:p>
        </w:tc>
        <w:tc>
          <w:tcPr/>
          <w:p>
            <w:pPr>
              <w:pStyle w:val="Compact"/>
              <w:jc w:val="left"/>
            </w:pPr>
            <w:r>
              <w:t xml:space="preserve">$/GJ, share, ktoe</w:t>
            </w:r>
          </w:p>
        </w:tc>
        <w:tc>
          <w:tcPr/>
          <w:p>
            <w:pPr>
              <w:pStyle w:val="Compact"/>
              <w:jc w:val="left"/>
            </w:pPr>
            <w:r>
              <w:rPr>
                <w:rStyle w:val="VerbatimChar"/>
              </w:rPr>
              <w:t xml:space="preserve">lkt</w:t>
            </w:r>
            <w:r>
              <w:t xml:space="preserve">,</w:t>
            </w:r>
            <w:r>
              <w:t xml:space="preserve"> </w:t>
            </w:r>
            <w:r>
              <w:rPr>
                <w:rStyle w:val="VerbatimChar"/>
              </w:rPr>
              <w:t xml:space="preserve">lkp</w:t>
            </w:r>
            <w:r>
              <w:t xml:space="preserve">,</w:t>
            </w:r>
            <w:r>
              <w:t xml:space="preserve"> </w:t>
            </w:r>
            <w:r>
              <w:rPr>
                <w:rStyle w:val="VerbatimChar"/>
              </w:rPr>
              <w:t xml:space="preserve">lkd</w:t>
            </w:r>
            <w:r>
              <w:t xml:space="preserve">,</w:t>
            </w:r>
            <w:r>
              <w:t xml:space="preserve"> </w:t>
            </w:r>
            <w:r>
              <w:rPr>
                <w:rStyle w:val="VerbatimChar"/>
              </w:rPr>
              <w:t xml:space="preserve">lkb</w:t>
            </w:r>
          </w:p>
        </w:tc>
      </w:tr>
      <w:tr>
        <w:tc>
          <w:tcPr/>
          <w:p>
            <w:pPr>
              <w:pStyle w:val="Compact"/>
              <w:jc w:val="left"/>
            </w:pPr>
            <w:r>
              <w:t xml:space="preserve">Lk</w:t>
            </w:r>
          </w:p>
        </w:tc>
        <w:tc>
          <w:tcPr/>
          <w:p>
            <w:pPr>
              <w:pStyle w:val="Compact"/>
              <w:jc w:val="left"/>
            </w:pPr>
            <w:r>
              <w:t xml:space="preserve">cumulative leakage added to fuel use (fossil, biomass; none)</w:t>
            </w:r>
          </w:p>
        </w:tc>
        <w:tc>
          <w:tcPr/>
          <w:p>
            <w:pPr>
              <w:pStyle w:val="Compact"/>
              <w:jc w:val="left"/>
            </w:pPr>
            <w:r>
              <w:t xml:space="preserve">ktoe</w:t>
            </w:r>
          </w:p>
        </w:tc>
        <w:tc>
          <w:tcPr/>
          <w:p>
            <w:pPr>
              <w:pStyle w:val="Compact"/>
              <w:jc w:val="left"/>
            </w:pPr>
            <w:r>
              <w:rPr>
                <w:rStyle w:val="VerbatimChar"/>
              </w:rPr>
              <w:t xml:space="preserve">lkc</w:t>
            </w:r>
            <w:r>
              <w:t xml:space="preserve">,</w:t>
            </w:r>
            <w:r>
              <w:t xml:space="preserve"> </w:t>
            </w:r>
            <w:r>
              <w:rPr>
                <w:rStyle w:val="VerbatimChar"/>
              </w:rPr>
              <w:t xml:space="preserve">lkcb</w:t>
            </w:r>
            <w:r>
              <w:t xml:space="preserve">,</w:t>
            </w:r>
            <w:r>
              <w:t xml:space="preserve"> </w:t>
            </w:r>
            <w:r>
              <w:rPr>
                <w:rStyle w:val="VerbatimChar"/>
              </w:rPr>
              <w:t xml:space="preserve">lkz</w:t>
            </w:r>
            <w:r>
              <w:t xml:space="preserve">; net change</w:t>
            </w:r>
            <w:r>
              <w:t xml:space="preserve"> </w:t>
            </w:r>
            <w:r>
              <w:rPr>
                <w:rStyle w:val="VerbatimChar"/>
              </w:rPr>
              <w:t xml:space="preserve">lks</w:t>
            </w:r>
          </w:p>
        </w:tc>
      </w:tr>
      <w:tr>
        <w:tc>
          <w:tcPr/>
          <w:p>
            <w:pPr>
              <w:pStyle w:val="Compact"/>
              <w:jc w:val="left"/>
            </w:pPr>
            <w:r>
              <w:t xml:space="preserve">Rtx, Rsub, Rnew, Rxcp</w:t>
            </w:r>
          </w:p>
        </w:tc>
        <w:tc>
          <w:tcPr/>
          <w:p>
            <w:pPr>
              <w:pStyle w:val="Compact"/>
              <w:jc w:val="left"/>
            </w:pPr>
            <w:r>
              <w:t xml:space="preserve">revenue: existing taxes, subsidies, new policies, existing carbon</w:t>
            </w:r>
          </w:p>
        </w:tc>
        <w:tc>
          <w:tcPr/>
          <w:p>
            <w:pPr>
              <w:pStyle w:val="Compact"/>
              <w:jc w:val="left"/>
            </w:pPr>
            <w:r>
              <w:t xml:space="preserve">USD m</w:t>
            </w:r>
          </w:p>
        </w:tc>
        <w:tc>
          <w:tcPr/>
          <w:p>
            <w:pPr>
              <w:pStyle w:val="Compact"/>
              <w:jc w:val="left"/>
            </w:pPr>
            <w:r>
              <w:rPr>
                <w:rStyle w:val="VerbatimChar"/>
              </w:rPr>
              <w:t xml:space="preserve">rtx</w:t>
            </w:r>
            <w:r>
              <w:t xml:space="preserve">,</w:t>
            </w:r>
            <w:r>
              <w:t xml:space="preserve"> </w:t>
            </w:r>
            <w:r>
              <w:rPr>
                <w:rStyle w:val="VerbatimChar"/>
              </w:rPr>
              <w:t xml:space="preserve">rsub</w:t>
            </w:r>
            <w:r>
              <w:t xml:space="preserve">,</w:t>
            </w:r>
            <w:r>
              <w:t xml:space="preserve"> </w:t>
            </w:r>
            <w:r>
              <w:rPr>
                <w:rStyle w:val="VerbatimChar"/>
              </w:rPr>
              <w:t xml:space="preserve">rnew</w:t>
            </w:r>
            <w:r>
              <w:t xml:space="preserve">,</w:t>
            </w:r>
            <w:r>
              <w:t xml:space="preserve"> </w:t>
            </w:r>
            <w:r>
              <w:rPr>
                <w:rStyle w:val="VerbatimChar"/>
              </w:rPr>
              <w:t xml:space="preserve">rxcp</w:t>
            </w:r>
          </w:p>
        </w:tc>
      </w:tr>
      <w:tr>
        <w:tc>
          <w:tcPr/>
          <w:p>
            <w:pPr>
              <w:pStyle w:val="Compact"/>
              <w:jc w:val="left"/>
            </w:pPr>
            <w:r>
              <w:t xml:space="preserve">power revenue terms</w:t>
            </w:r>
          </w:p>
        </w:tc>
        <w:tc>
          <w:tcPr/>
          <w:p>
            <w:pPr>
              <w:pStyle w:val="Compact"/>
              <w:jc w:val="left"/>
            </w:pPr>
            <w:r>
              <w:t xml:space="preserve">by type and user group</w:t>
            </w:r>
          </w:p>
        </w:tc>
        <w:tc>
          <w:tcPr/>
          <w:p>
            <w:pPr>
              <w:pStyle w:val="Compact"/>
              <w:jc w:val="left"/>
            </w:pPr>
            <w:r>
              <w:t xml:space="preserve">USD m</w:t>
            </w:r>
          </w:p>
        </w:tc>
        <w:tc>
          <w:tcPr/>
          <w:p>
            <w:pPr>
              <w:pStyle w:val="Compact"/>
              <w:jc w:val="left"/>
            </w:pPr>
            <w:r>
              <w:rPr>
                <w:rStyle w:val="VerbatimChar"/>
              </w:rPr>
              <w:t xml:space="preserve">prtx</w:t>
            </w:r>
            <w:r>
              <w:t xml:space="preserve">,</w:t>
            </w:r>
            <w:r>
              <w:t xml:space="preserve"> </w:t>
            </w:r>
            <w:r>
              <w:rPr>
                <w:rStyle w:val="VerbatimChar"/>
              </w:rPr>
              <w:t xml:space="preserve">prsub</w:t>
            </w:r>
            <w:r>
              <w:t xml:space="preserve">,</w:t>
            </w:r>
            <w:r>
              <w:t xml:space="preserve"> </w:t>
            </w:r>
            <w:r>
              <w:rPr>
                <w:rStyle w:val="VerbatimChar"/>
              </w:rPr>
              <w:t xml:space="preserve">prxc</w:t>
            </w:r>
            <w:r>
              <w:t xml:space="preserve">,</w:t>
            </w:r>
            <w:r>
              <w:t xml:space="preserve"> </w:t>
            </w:r>
            <w:r>
              <w:rPr>
                <w:rStyle w:val="VerbatimChar"/>
              </w:rPr>
              <w:t xml:space="preserve">prnew</w:t>
            </w:r>
            <w:r>
              <w:t xml:space="preserve">,</w:t>
            </w:r>
            <w:r>
              <w:t xml:space="preserve"> </w:t>
            </w:r>
            <w:r>
              <w:rPr>
                <w:rStyle w:val="VerbatimChar"/>
              </w:rPr>
              <w:t xml:space="preserve">prrns</w:t>
            </w:r>
            <w:r>
              <w:t xml:space="preserve">,</w:t>
            </w:r>
            <w:r>
              <w:t xml:space="preserve"> </w:t>
            </w:r>
            <w:r>
              <w:rPr>
                <w:rStyle w:val="VerbatimChar"/>
              </w:rPr>
              <w:t xml:space="preserve">rvat</w:t>
            </w:r>
            <w:r>
              <w:t xml:space="preserve">,</w:t>
            </w:r>
            <w:r>
              <w:t xml:space="preserve"> </w:t>
            </w:r>
            <w:r>
              <w:rPr>
                <w:rStyle w:val="VerbatimChar"/>
              </w:rPr>
              <w:t xml:space="preserve">rgap</w:t>
            </w:r>
            <w:r>
              <w:t xml:space="preserve">,</w:t>
            </w:r>
            <w:r>
              <w:t xml:space="preserve"> </w:t>
            </w:r>
            <w:r>
              <w:rPr>
                <w:rStyle w:val="VerbatimChar"/>
              </w:rPr>
              <w:t xml:space="preserve">rnvat</w:t>
            </w:r>
            <w:r>
              <w:t xml:space="preserve">,</w:t>
            </w:r>
            <w:r>
              <w:t xml:space="preserve"> </w:t>
            </w:r>
            <w:r>
              <w:rPr>
                <w:rStyle w:val="VerbatimChar"/>
              </w:rPr>
              <w:t xml:space="preserve">rreb</w:t>
            </w:r>
            <w:r>
              <w:t xml:space="preserve">,</w:t>
            </w:r>
            <w:r>
              <w:t xml:space="preserve"> </w:t>
            </w:r>
            <w:r>
              <w:rPr>
                <w:rStyle w:val="VerbatimChar"/>
              </w:rPr>
              <w:t xml:space="preserve">rpex</w:t>
            </w:r>
            <w:r>
              <w:t xml:space="preserve"> </w:t>
            </w:r>
            <w:r>
              <w:t xml:space="preserve">(</w:t>
            </w:r>
            <w:r>
              <w:rPr>
                <w:rStyle w:val="VerbatimChar"/>
              </w:rPr>
              <w:t xml:space="preserve">rexs</w:t>
            </w:r>
            <w:r>
              <w:t xml:space="preserve">,</w:t>
            </w:r>
            <w:r>
              <w:t xml:space="preserve"> </w:t>
            </w:r>
            <w:r>
              <w:rPr>
                <w:rStyle w:val="VerbatimChar"/>
              </w:rPr>
              <w:t xml:space="preserve">rexm</w:t>
            </w:r>
            <w:r>
              <w:t xml:space="preserve">)</w:t>
            </w:r>
          </w:p>
        </w:tc>
      </w:tr>
      <w:tr>
        <w:tc>
          <w:tcPr/>
          <w:p>
            <w:pPr>
              <w:pStyle w:val="Compact"/>
              <w:jc w:val="left"/>
            </w:pPr>
            <w:r>
              <w:t xml:space="preserve">cf, ν, w, dlf, K(t₀) of the scenario</w:t>
            </w:r>
          </w:p>
        </w:tc>
        <w:tc>
          <w:tcPr/>
          <w:p>
            <w:pPr>
              <w:pStyle w:val="Compact"/>
              <w:jc w:val="left"/>
            </w:pPr>
            <w:r>
              <w:t xml:space="preserve">data of the scenario (A0)</w:t>
            </w:r>
          </w:p>
        </w:tc>
        <w:tc>
          <w:tcPr/>
          <w:p>
            <w:pPr>
              <w:pStyle w:val="Compact"/>
              <w:jc w:val="left"/>
            </w:pPr>
            <w:r>
              <w:t xml:space="preserve">share, years, MW</w:t>
            </w:r>
          </w:p>
        </w:tc>
        <w:tc>
          <w:tcPr/>
          <w:p>
            <w:pPr>
              <w:pStyle w:val="Compact"/>
              <w:jc w:val="left"/>
            </w:pPr>
            <w:r>
              <w:rPr>
                <w:rStyle w:val="VerbatimChar"/>
              </w:rPr>
              <w:t xml:space="preserve">cfu</w:t>
            </w:r>
            <w:r>
              <w:t xml:space="preserve">,</w:t>
            </w:r>
            <w:r>
              <w:t xml:space="preserve"> </w:t>
            </w:r>
            <w:r>
              <w:rPr>
                <w:rStyle w:val="VerbatimChar"/>
              </w:rPr>
              <w:t xml:space="preserve">nuu</w:t>
            </w:r>
            <w:r>
              <w:t xml:space="preserve">,</w:t>
            </w:r>
            <w:r>
              <w:t xml:space="preserve"> </w:t>
            </w:r>
            <w:r>
              <w:rPr>
                <w:rStyle w:val="VerbatimChar"/>
              </w:rPr>
              <w:t xml:space="preserve">wac</w:t>
            </w:r>
            <w:r>
              <w:t xml:space="preserve">,</w:t>
            </w:r>
            <w:r>
              <w:t xml:space="preserve"> </w:t>
            </w:r>
            <w:r>
              <w:rPr>
                <w:rStyle w:val="VerbatimChar"/>
              </w:rPr>
              <w:t xml:space="preserve">dlf</w:t>
            </w:r>
            <w:r>
              <w:t xml:space="preserve">,</w:t>
            </w:r>
            <w:r>
              <w:t xml:space="preserve"> </w:t>
            </w:r>
            <w:r>
              <w:rPr>
                <w:rStyle w:val="VerbatimChar"/>
              </w:rPr>
              <w:t xml:space="preserve">cap0</w:t>
            </w:r>
            <w:r>
              <w:t xml:space="preserve">;</w:t>
            </w:r>
            <w:r>
              <w:t xml:space="preserve"> </w:t>
            </w:r>
            <w:r>
              <w:rPr>
                <w:rStyle w:val="VerbatimChar"/>
              </w:rPr>
              <w:t xml:space="preserve">perm</w:t>
            </w:r>
            <w:r>
              <w:t xml:space="preserve">,</w:t>
            </w:r>
            <w:r>
              <w:t xml:space="preserve"> </w:t>
            </w:r>
            <w:r>
              <w:rPr>
                <w:rStyle w:val="VerbatimChar"/>
              </w:rPr>
              <w:t xml:space="preserve">start</w:t>
            </w:r>
            <w:r>
              <w:t xml:space="preserve">,</w:t>
            </w:r>
            <w:r>
              <w:t xml:space="preserve"> </w:t>
            </w:r>
            <w:r>
              <w:rPr>
                <w:rStyle w:val="VerbatimChar"/>
              </w:rPr>
              <w:t xml:space="preserve">rate</w:t>
            </w:r>
            <w:r>
              <w:t xml:space="preserve">,</w:t>
            </w:r>
            <w:r>
              <w:t xml:space="preserve"> </w:t>
            </w:r>
            <w:r>
              <w:rPr>
                <w:rStyle w:val="VerbatimChar"/>
              </w:rPr>
              <w:t xml:space="preserve">rr</w:t>
            </w:r>
            <w:r>
              <w:t xml:space="preserve">,</w:t>
            </w:r>
            <w:r>
              <w:t xml:space="preserve"> </w:t>
            </w:r>
            <w:r>
              <w:rPr>
                <w:rStyle w:val="VerbatimChar"/>
              </w:rPr>
              <w:t xml:space="preserve">erf</w:t>
            </w:r>
          </w:p>
        </w:tc>
      </w:tr>
      <w:tr>
        <w:tc>
          <w:tcPr/>
          <w:p>
            <w:pPr>
              <w:pStyle w:val="Compact"/>
              <w:jc w:val="left"/>
            </w:pPr>
            <w:r>
              <w:t xml:space="preserve">p, Rs, rns, rb, x_e, x_m, x</w:t>
            </w:r>
          </w:p>
        </w:tc>
        <w:tc>
          <w:tcPr/>
          <w:p>
            <w:pPr>
              <w:pStyle w:val="Compact"/>
              <w:jc w:val="left"/>
            </w:pPr>
            <w:r>
              <w:t xml:space="preserve">PPA share, renewable subsidy, rebate switch, excises</w:t>
            </w:r>
          </w:p>
        </w:tc>
        <w:tc>
          <w:tcPr/>
          <w:p>
            <w:pPr>
              <w:pStyle w:val="Compact"/>
              <w:jc w:val="left"/>
            </w:pPr>
            <w:r>
              <w:t xml:space="preserve">share, $/kWh</w:t>
            </w:r>
          </w:p>
        </w:tc>
        <w:tc>
          <w:tcPr/>
          <w:p>
            <w:pPr>
              <w:pStyle w:val="Compact"/>
              <w:jc w:val="left"/>
            </w:pPr>
            <w:r>
              <w:rPr>
                <w:rStyle w:val="VerbatimChar"/>
              </w:rPr>
              <w:t xml:space="preserve">ppa</w:t>
            </w:r>
            <w:r>
              <w:t xml:space="preserve">,</w:t>
            </w:r>
            <w:r>
              <w:t xml:space="preserve"> </w:t>
            </w:r>
            <w:r>
              <w:rPr>
                <w:rStyle w:val="VerbatimChar"/>
              </w:rPr>
              <w:t xml:space="preserve">rnsp</w:t>
            </w:r>
            <w:r>
              <w:t xml:space="preserve">,</w:t>
            </w:r>
            <w:r>
              <w:t xml:space="preserve"> </w:t>
            </w:r>
            <w:r>
              <w:rPr>
                <w:rStyle w:val="VerbatimChar"/>
              </w:rPr>
              <w:t xml:space="preserve">rns</w:t>
            </w:r>
            <w:r>
              <w:t xml:space="preserve">,</w:t>
            </w:r>
            <w:r>
              <w:t xml:space="preserve"> </w:t>
            </w:r>
            <w:r>
              <w:rPr>
                <w:rStyle w:val="VerbatimChar"/>
              </w:rPr>
              <w:t xml:space="preserve">rbs</w:t>
            </w:r>
            <w:r>
              <w:t xml:space="preserve">,</w:t>
            </w:r>
            <w:r>
              <w:t xml:space="preserve"> </w:t>
            </w:r>
            <w:r>
              <w:rPr>
                <w:rStyle w:val="VerbatimChar"/>
              </w:rPr>
              <w:t xml:space="preserve">exs</w:t>
            </w:r>
            <w:r>
              <w:t xml:space="preserve">,</w:t>
            </w:r>
            <w:r>
              <w:t xml:space="preserve"> </w:t>
            </w:r>
            <w:r>
              <w:rPr>
                <w:rStyle w:val="VerbatimChar"/>
              </w:rPr>
              <w:t xml:space="preserve">entx</w:t>
            </w:r>
            <w:r>
              <w:t xml:space="preserve">,</w:t>
            </w:r>
            <w:r>
              <w:t xml:space="preserve"> </w:t>
            </w:r>
            <w:r>
              <w:rPr>
                <w:rStyle w:val="VerbatimChar"/>
              </w:rPr>
              <w:t xml:space="preserve">pex</w:t>
            </w:r>
          </w:p>
        </w:tc>
      </w:tr>
      <w:tr>
        <w:tc>
          <w:tcPr/>
          <w:p>
            <w:pPr>
              <w:pStyle w:val="Compact"/>
              <w:jc w:val="left"/>
            </w:pPr>
            <w:r>
              <w:t xml:space="preserve">Gl, Gmax</w:t>
            </w:r>
          </w:p>
        </w:tc>
        <w:tc>
          <w:tcPr/>
          <w:p>
            <w:pPr>
              <w:pStyle w:val="Compact"/>
              <w:jc w:val="left"/>
            </w:pPr>
            <w:r>
              <w:t xml:space="preserve">dispatch before PPAs, maximum generation</w:t>
            </w:r>
          </w:p>
        </w:tc>
        <w:tc>
          <w:tcPr/>
          <w:p>
            <w:pPr>
              <w:pStyle w:val="Compact"/>
              <w:jc w:val="left"/>
            </w:pPr>
            <w:r>
              <w:t xml:space="preserve">MWy</w:t>
            </w:r>
          </w:p>
        </w:tc>
        <w:tc>
          <w:tcPr/>
          <w:p>
            <w:pPr>
              <w:pStyle w:val="Compact"/>
              <w:jc w:val="left"/>
            </w:pPr>
            <w:r>
              <w:rPr>
                <w:rStyle w:val="VerbatimChar"/>
              </w:rPr>
              <w:t xml:space="preserve">glg</w:t>
            </w:r>
            <w:r>
              <w:t xml:space="preserve">,</w:t>
            </w:r>
            <w:r>
              <w:t xml:space="preserve"> </w:t>
            </w:r>
            <w:r>
              <w:rPr>
                <w:rStyle w:val="VerbatimChar"/>
              </w:rPr>
              <w:t xml:space="preserve">gmx</w:t>
            </w:r>
          </w:p>
        </w:tc>
      </w:tr>
      <w:tr>
        <w:tc>
          <w:tcPr/>
          <w:p>
            <w:pPr>
              <w:pStyle w:val="Compact"/>
              <w:jc w:val="left"/>
            </w:pPr>
            <w:r>
              <w:t xml:space="preserve">Rnet, Rmf, Rtot</w:t>
            </w:r>
          </w:p>
        </w:tc>
        <w:tc>
          <w:tcPr/>
          <w:p>
            <w:pPr>
              <w:pStyle w:val="Compact"/>
              <w:jc w:val="left"/>
            </w:pPr>
            <w:r>
              <w:t xml:space="preserve">net existing, methane fee, total revenue</w:t>
            </w:r>
          </w:p>
        </w:tc>
        <w:tc>
          <w:tcPr/>
          <w:p>
            <w:pPr>
              <w:pStyle w:val="Compact"/>
              <w:jc w:val="left"/>
            </w:pPr>
            <w:r>
              <w:t xml:space="preserve">USD m</w:t>
            </w:r>
          </w:p>
        </w:tc>
        <w:tc>
          <w:tcPr/>
          <w:p>
            <w:pPr>
              <w:pStyle w:val="Compact"/>
              <w:jc w:val="left"/>
            </w:pPr>
            <w:r>
              <w:rPr>
                <w:rStyle w:val="VerbatimChar"/>
              </w:rPr>
              <w:t xml:space="preserve">rnet</w:t>
            </w:r>
            <w:r>
              <w:t xml:space="preserve">,</w:t>
            </w:r>
            <w:r>
              <w:t xml:space="preserve"> </w:t>
            </w:r>
            <w:r>
              <w:rPr>
                <w:rStyle w:val="VerbatimChar"/>
              </w:rPr>
              <w:t xml:space="preserve">rmf</w:t>
            </w:r>
            <w:r>
              <w:t xml:space="preserve">,</w:t>
            </w:r>
            <w:r>
              <w:t xml:space="preserve"> </w:t>
            </w:r>
            <w:r>
              <w:rPr>
                <w:rStyle w:val="VerbatimChar"/>
              </w:rPr>
              <w:t xml:space="preserve">rtot</w:t>
            </w:r>
          </w:p>
        </w:tc>
      </w:tr>
      <w:tr>
        <w:tc>
          <w:tcPr/>
          <w:p>
            <w:pPr>
              <w:pStyle w:val="Compact"/>
              <w:jc w:val="left"/>
            </w:pPr>
            <w:r>
              <w:t xml:space="preserve">CO2</w:t>
            </w:r>
          </w:p>
        </w:tc>
        <w:tc>
          <w:tcPr/>
          <w:p>
            <w:pPr>
              <w:pStyle w:val="Compact"/>
              <w:jc w:val="left"/>
            </w:pPr>
            <w:r>
              <w:t xml:space="preserve">CO2 from fuel combustion</w:t>
            </w:r>
          </w:p>
        </w:tc>
        <w:tc>
          <w:tcPr/>
          <w:p>
            <w:pPr>
              <w:pStyle w:val="Compact"/>
              <w:jc w:val="left"/>
            </w:pPr>
            <w:r>
              <w:t xml:space="preserve">MtCO2</w:t>
            </w:r>
          </w:p>
        </w:tc>
        <w:tc>
          <w:tcPr/>
          <w:p>
            <w:pPr>
              <w:pStyle w:val="Compact"/>
              <w:jc w:val="left"/>
            </w:pPr>
            <w:r>
              <w:rPr>
                <w:rStyle w:val="VerbatimChar"/>
              </w:rPr>
              <w:t xml:space="preserve">co2</w:t>
            </w:r>
            <w:r>
              <w:t xml:space="preserve">,</w:t>
            </w:r>
            <w:r>
              <w:t xml:space="preserve"> </w:t>
            </w:r>
            <w:r>
              <w:rPr>
                <w:rStyle w:val="VerbatimChar"/>
              </w:rPr>
              <w:t xml:space="preserve">co2.sec</w:t>
            </w:r>
            <w:r>
              <w:t xml:space="preserve">,</w:t>
            </w:r>
            <w:r>
              <w:t xml:space="preserve"> </w:t>
            </w:r>
            <w:r>
              <w:rPr>
                <w:rStyle w:val="VerbatimChar"/>
              </w:rPr>
              <w:t xml:space="preserve">co2.ets</w:t>
            </w:r>
          </w:p>
        </w:tc>
      </w:tr>
      <w:tr>
        <w:tc>
          <w:tcPr/>
          <w:p>
            <w:pPr>
              <w:pStyle w:val="Compact"/>
              <w:jc w:val="left"/>
            </w:pPr>
            <w:r>
              <w:t xml:space="preserve">gap, lr, p_next</w:t>
            </w:r>
          </w:p>
        </w:tc>
        <w:tc>
          <w:tcPr/>
          <w:p>
            <w:pPr>
              <w:pStyle w:val="Compact"/>
              <w:jc w:val="left"/>
            </w:pPr>
            <w:r>
              <w:t xml:space="preserve">ETS cap check, next price</w:t>
            </w:r>
          </w:p>
        </w:tc>
        <w:tc>
          <w:tcPr/>
          <w:p>
            <w:pPr>
              <w:pStyle w:val="Compact"/>
              <w:jc w:val="left"/>
            </w:pPr>
            <w:r>
              <w:t xml:space="preserve">%, $/tCO2</w:t>
            </w:r>
          </w:p>
        </w:tc>
        <w:tc>
          <w:tcPr/>
          <w:p>
            <w:pPr>
              <w:pStyle w:val="Compact"/>
              <w:jc w:val="left"/>
            </w:pPr>
            <w:r>
              <w:rPr>
                <w:rStyle w:val="VerbatimChar"/>
              </w:rPr>
              <w:t xml:space="preserve">co2.gap</w:t>
            </w:r>
            <w:r>
              <w:t xml:space="preserve">,</w:t>
            </w:r>
            <w:r>
              <w:t xml:space="preserve"> </w:t>
            </w:r>
            <w:r>
              <w:rPr>
                <w:rStyle w:val="VerbatimChar"/>
              </w:rPr>
              <w:t xml:space="preserve">ets.lr</w:t>
            </w:r>
            <w:r>
              <w:t xml:space="preserve">,</w:t>
            </w:r>
            <w:r>
              <w:t xml:space="preserve"> </w:t>
            </w:r>
            <w:r>
              <w:rPr>
                <w:rStyle w:val="VerbatimChar"/>
              </w:rPr>
              <w:t xml:space="preserve">ets.next</w:t>
            </w:r>
          </w:p>
        </w:tc>
      </w:tr>
      <w:tr>
        <w:tc>
          <w:tcPr/>
          <w:p>
            <w:pPr>
              <w:pStyle w:val="Compact"/>
              <w:jc w:val="left"/>
            </w:pPr>
            <w:r>
              <w:t xml:space="preserve">pop, pop.g, gpc</w:t>
            </w:r>
          </w:p>
        </w:tc>
        <w:tc>
          <w:tcPr/>
          <w:p>
            <w:pPr>
              <w:pStyle w:val="Compact"/>
              <w:jc w:val="left"/>
            </w:pPr>
            <w:r>
              <w:t xml:space="preserve">population, growth, GDP per capita growth</w:t>
            </w:r>
          </w:p>
        </w:tc>
        <w:tc>
          <w:tcPr/>
          <w:p>
            <w:pPr>
              <w:pStyle w:val="Compact"/>
              <w:jc w:val="left"/>
            </w:pPr>
            <w:r>
              <w:t xml:space="preserve">thousand, %</w:t>
            </w:r>
          </w:p>
        </w:tc>
        <w:tc>
          <w:tcPr/>
          <w:p>
            <w:pPr>
              <w:pStyle w:val="Compact"/>
              <w:jc w:val="left"/>
            </w:pPr>
            <w:r>
              <w:rPr>
                <w:rStyle w:val="VerbatimChar"/>
              </w:rPr>
              <w:t xml:space="preserve">pop</w:t>
            </w:r>
            <w:r>
              <w:t xml:space="preserve">,</w:t>
            </w:r>
            <w:r>
              <w:t xml:space="preserve"> </w:t>
            </w:r>
            <w:r>
              <w:rPr>
                <w:rStyle w:val="VerbatimChar"/>
              </w:rPr>
              <w:t xml:space="preserve">pop.g</w:t>
            </w:r>
            <w:r>
              <w:t xml:space="preserve">,</w:t>
            </w:r>
            <w:r>
              <w:t xml:space="preserve"> </w:t>
            </w:r>
            <w:r>
              <w:rPr>
                <w:rStyle w:val="VerbatimChar"/>
              </w:rPr>
              <w:t xml:space="preserve">gdppc.g</w:t>
            </w:r>
          </w:p>
        </w:tc>
      </w:tr>
      <w:tr>
        <w:tc>
          <w:tcPr/>
          <w:p>
            <w:pPr>
              <w:pStyle w:val="Compact"/>
              <w:jc w:val="left"/>
            </w:pPr>
            <w:r>
              <w:t xml:space="preserve">ψ, dr</w:t>
            </w:r>
          </w:p>
        </w:tc>
        <w:tc>
          <w:tcPr/>
          <w:p>
            <w:pPr>
              <w:pStyle w:val="Compact"/>
              <w:jc w:val="left"/>
            </w:pPr>
            <w:r>
              <w:t xml:space="preserve">non-energy effort, category growth factor</w:t>
            </w:r>
          </w:p>
        </w:tc>
        <w:tc>
          <w:tcPr/>
          <w:p>
            <w:pPr>
              <w:pStyle w:val="Compact"/>
              <w:jc w:val="left"/>
            </w:pPr>
            <w:r>
              <w:t xml:space="preserve">factor</w:t>
            </w:r>
          </w:p>
        </w:tc>
        <w:tc>
          <w:tcPr/>
          <w:p>
            <w:pPr>
              <w:pStyle w:val="Compact"/>
              <w:jc w:val="left"/>
            </w:pPr>
            <w:r>
              <w:rPr>
                <w:rStyle w:val="VerbatimChar"/>
              </w:rPr>
              <w:t xml:space="preserve">ghg.m</w:t>
            </w:r>
            <w:r>
              <w:t xml:space="preserve">,</w:t>
            </w:r>
            <w:r>
              <w:t xml:space="preserve"> </w:t>
            </w:r>
            <w:r>
              <w:rPr>
                <w:rStyle w:val="VerbatimChar"/>
              </w:rPr>
              <w:t xml:space="preserve">ghg.dr</w:t>
            </w:r>
          </w:p>
        </w:tc>
      </w:tr>
      <w:tr>
        <w:tc>
          <w:tcPr/>
          <w:p>
            <w:pPr>
              <w:pStyle w:val="Compact"/>
              <w:jc w:val="left"/>
            </w:pPr>
            <w:r>
              <w:t xml:space="preserve">CH4[f,s], Act_j, abt_j, CH4_j</w:t>
            </w:r>
          </w:p>
        </w:tc>
        <w:tc>
          <w:tcPr/>
          <w:p>
            <w:pPr>
              <w:pStyle w:val="Compact"/>
              <w:jc w:val="left"/>
            </w:pPr>
            <w:r>
              <w:t xml:space="preserve">combustion CH4, source activity, abatement, emissions</w:t>
            </w:r>
          </w:p>
        </w:tc>
        <w:tc>
          <w:tcPr/>
          <w:p>
            <w:pPr>
              <w:pStyle w:val="Compact"/>
              <w:jc w:val="left"/>
            </w:pPr>
            <w:r>
              <w:t xml:space="preserve">kt CH4</w:t>
            </w:r>
          </w:p>
        </w:tc>
        <w:tc>
          <w:tcPr/>
          <w:p>
            <w:pPr>
              <w:pStyle w:val="Compact"/>
              <w:jc w:val="left"/>
            </w:pPr>
            <w:r>
              <w:rPr>
                <w:rStyle w:val="VerbatimChar"/>
              </w:rPr>
              <w:t xml:space="preserve">ch4</w:t>
            </w:r>
            <w:r>
              <w:t xml:space="preserve">,</w:t>
            </w:r>
            <w:r>
              <w:t xml:space="preserve"> </w:t>
            </w:r>
            <w:r>
              <w:rPr>
                <w:rStyle w:val="VerbatimChar"/>
              </w:rPr>
              <w:t xml:space="preserve">ch4.act</w:t>
            </w:r>
            <w:r>
              <w:t xml:space="preserve">,</w:t>
            </w:r>
            <w:r>
              <w:t xml:space="preserve"> </w:t>
            </w:r>
            <w:r>
              <w:rPr>
                <w:rStyle w:val="VerbatimChar"/>
              </w:rPr>
              <w:t xml:space="preserve">ch4.abt</w:t>
            </w:r>
            <w:r>
              <w:t xml:space="preserve">,</w:t>
            </w:r>
            <w:r>
              <w:t xml:space="preserve"> </w:t>
            </w:r>
            <w:r>
              <w:rPr>
                <w:rStyle w:val="VerbatimChar"/>
              </w:rPr>
              <w:t xml:space="preserve">ch4.em</w:t>
            </w:r>
          </w:p>
        </w:tc>
      </w:tr>
      <w:tr>
        <w:tc>
          <w:tcPr/>
          <w:p>
            <w:pPr>
              <w:pStyle w:val="Compact"/>
              <w:jc w:val="left"/>
            </w:pPr>
            <w:r>
              <w:t xml:space="preserve">k_CH4, GHG</w:t>
            </w:r>
          </w:p>
        </w:tc>
        <w:tc>
          <w:tcPr/>
          <w:p>
            <w:pPr>
              <w:pStyle w:val="Compact"/>
              <w:jc w:val="left"/>
            </w:pPr>
            <w:r>
              <w:t xml:space="preserve">energy CH4 calibration, GHG emissions</w:t>
            </w:r>
          </w:p>
        </w:tc>
        <w:tc>
          <w:tcPr/>
          <w:p>
            <w:pPr>
              <w:pStyle w:val="Compact"/>
              <w:jc w:val="left"/>
            </w:pPr>
            <w:r>
              <w:t xml:space="preserve">factor, Mt CO2e</w:t>
            </w:r>
          </w:p>
        </w:tc>
        <w:tc>
          <w:tcPr/>
          <w:p>
            <w:pPr>
              <w:pStyle w:val="Compact"/>
              <w:jc w:val="left"/>
            </w:pPr>
            <w:r>
              <w:rPr>
                <w:rStyle w:val="VerbatimChar"/>
              </w:rPr>
              <w:t xml:space="preserve">ghg.k</w:t>
            </w:r>
            <w:r>
              <w:t xml:space="preserve">,</w:t>
            </w:r>
            <w:r>
              <w:t xml:space="preserve"> </w:t>
            </w:r>
            <w:r>
              <w:rPr>
                <w:rStyle w:val="VerbatimChar"/>
              </w:rPr>
              <w:t xml:space="preserve">ghg</w:t>
            </w:r>
            <w:r>
              <w:t xml:space="preserve">,</w:t>
            </w:r>
            <w:r>
              <w:t xml:space="preserve"> </w:t>
            </w:r>
            <w:r>
              <w:rPr>
                <w:rStyle w:val="VerbatimChar"/>
              </w:rPr>
              <w:t xml:space="preserve">ghg.flr</w:t>
            </w:r>
            <w:r>
              <w:t xml:space="preserve">,</w:t>
            </w:r>
            <w:r>
              <w:t xml:space="preserve"> </w:t>
            </w:r>
            <w:r>
              <w:rPr>
                <w:rStyle w:val="VerbatimChar"/>
              </w:rPr>
              <w:t xml:space="preserve">ghg.inc</w:t>
            </w:r>
          </w:p>
        </w:tc>
      </w:tr>
      <w:tr>
        <w:tc>
          <w:tcPr/>
          <w:p>
            <w:pPr>
              <w:pStyle w:val="Compact"/>
              <w:jc w:val="left"/>
            </w:pPr>
            <w:r>
              <w:t xml:space="preserve">w, AP, F_p</w:t>
            </w:r>
          </w:p>
        </w:tc>
        <w:tc>
          <w:tcPr/>
          <w:p>
            <w:pPr>
              <w:pStyle w:val="Compact"/>
              <w:jc w:val="left"/>
            </w:pPr>
            <w:r>
              <w:t xml:space="preserve">factor weight, pollutant emissions, forcing</w:t>
            </w:r>
          </w:p>
        </w:tc>
        <w:tc>
          <w:tcPr/>
          <w:p>
            <w:pPr>
              <w:pStyle w:val="Compact"/>
              <w:jc w:val="left"/>
            </w:pPr>
            <w:r>
              <w:t xml:space="preserve">kt, Mt CO2e</w:t>
            </w:r>
          </w:p>
        </w:tc>
        <w:tc>
          <w:tcPr/>
          <w:p>
            <w:pPr>
              <w:pStyle w:val="Compact"/>
              <w:jc w:val="left"/>
            </w:pPr>
            <w:r>
              <w:rPr>
                <w:rStyle w:val="VerbatimChar"/>
              </w:rPr>
              <w:t xml:space="preserve">ap.w</w:t>
            </w:r>
            <w:r>
              <w:t xml:space="preserve">,</w:t>
            </w:r>
            <w:r>
              <w:t xml:space="preserve"> </w:t>
            </w:r>
            <w:r>
              <w:rPr>
                <w:rStyle w:val="VerbatimChar"/>
              </w:rPr>
              <w:t xml:space="preserve">ap</w:t>
            </w:r>
            <w:r>
              <w:t xml:space="preserve">,</w:t>
            </w:r>
            <w:r>
              <w:t xml:space="preserve"> </w:t>
            </w:r>
            <w:r>
              <w:rPr>
                <w:rStyle w:val="VerbatimChar"/>
              </w:rPr>
              <w:t xml:space="preserve">aps</w:t>
            </w:r>
            <w:r>
              <w:t xml:space="preserve">,</w:t>
            </w:r>
            <w:r>
              <w:t xml:space="preserve"> </w:t>
            </w:r>
            <w:r>
              <w:rPr>
                <w:rStyle w:val="VerbatimChar"/>
              </w:rPr>
              <w:t xml:space="preserve">apf</w:t>
            </w:r>
          </w:p>
        </w:tc>
      </w:tr>
      <w:tr>
        <w:tc>
          <w:tcPr/>
          <w:p>
            <w:pPr>
              <w:pStyle w:val="Compact"/>
              <w:jc w:val="left"/>
            </w:pPr>
            <w:r>
              <w:t xml:space="preserve">fs, imp, eff_i, ε_GDP</w:t>
            </w:r>
          </w:p>
        </w:tc>
        <w:tc>
          <w:tcPr/>
          <w:p>
            <w:pPr>
              <w:pStyle w:val="Compact"/>
              <w:jc w:val="left"/>
            </w:pPr>
            <w:r>
              <w:t xml:space="preserve">fiscal space, impulse, GDP effects</w:t>
            </w:r>
          </w:p>
        </w:tc>
        <w:tc>
          <w:tcPr/>
          <w:p>
            <w:pPr>
              <w:pStyle w:val="Compact"/>
              <w:jc w:val="left"/>
            </w:pPr>
            <w:r>
              <w:t xml:space="preserve">share of GDP</w:t>
            </w:r>
          </w:p>
        </w:tc>
        <w:tc>
          <w:tcPr/>
          <w:p>
            <w:pPr>
              <w:pStyle w:val="Compact"/>
              <w:jc w:val="left"/>
            </w:pPr>
            <w:r>
              <w:rPr>
                <w:rStyle w:val="VerbatimChar"/>
              </w:rPr>
              <w:t xml:space="preserve">fis.sp</w:t>
            </w:r>
            <w:r>
              <w:t xml:space="preserve">,</w:t>
            </w:r>
            <w:r>
              <w:t xml:space="preserve"> </w:t>
            </w:r>
            <w:r>
              <w:rPr>
                <w:rStyle w:val="VerbatimChar"/>
              </w:rPr>
              <w:t xml:space="preserve">fis.imp</w:t>
            </w:r>
            <w:r>
              <w:t xml:space="preserve">,</w:t>
            </w:r>
            <w:r>
              <w:t xml:space="preserve"> </w:t>
            </w:r>
            <w:r>
              <w:rPr>
                <w:rStyle w:val="VerbatimChar"/>
              </w:rPr>
              <w:t xml:space="preserve">fis.eff</w:t>
            </w:r>
            <w:r>
              <w:t xml:space="preserve">,</w:t>
            </w:r>
            <w:r>
              <w:t xml:space="preserve"> </w:t>
            </w:r>
            <w:r>
              <w:rPr>
                <w:rStyle w:val="VerbatimChar"/>
              </w:rPr>
              <w:t xml:space="preserve">gdp.eff</w:t>
            </w:r>
          </w:p>
        </w:tc>
      </w:tr>
      <w:tr>
        <w:tc>
          <w:tcPr/>
          <w:p>
            <w:pPr>
              <w:pStyle w:val="Compact"/>
              <w:jc w:val="left"/>
            </w:pPr>
            <w:r>
              <w:t xml:space="preserve">lvl, g, Y</w:t>
            </w:r>
          </w:p>
        </w:tc>
        <w:tc>
          <w:tcPr/>
          <w:p>
            <w:pPr>
              <w:pStyle w:val="Compact"/>
              <w:jc w:val="left"/>
            </w:pPr>
            <w:r>
              <w:t xml:space="preserve">GDP level factor, growth, GDP after feedback</w:t>
            </w:r>
          </w:p>
        </w:tc>
        <w:tc>
          <w:tcPr/>
          <w:p>
            <w:pPr>
              <w:pStyle w:val="Compact"/>
              <w:jc w:val="left"/>
            </w:pPr>
            <w:r>
              <w:t xml:space="preserve">factor, %, USD bn</w:t>
            </w:r>
          </w:p>
        </w:tc>
        <w:tc>
          <w:tcPr/>
          <w:p>
            <w:pPr>
              <w:pStyle w:val="Compact"/>
              <w:jc w:val="left"/>
            </w:pPr>
            <w:r>
              <w:rPr>
                <w:rStyle w:val="VerbatimChar"/>
              </w:rPr>
              <w:t xml:space="preserve">gdp.lvl</w:t>
            </w:r>
            <w:r>
              <w:t xml:space="preserve">,</w:t>
            </w:r>
            <w:r>
              <w:t xml:space="preserve"> </w:t>
            </w:r>
            <w:r>
              <w:rPr>
                <w:rStyle w:val="VerbatimChar"/>
              </w:rPr>
              <w:t xml:space="preserve">gdp.pos.pct</w:t>
            </w:r>
            <w:r>
              <w:t xml:space="preserve">,</w:t>
            </w:r>
            <w:r>
              <w:t xml:space="preserve"> </w:t>
            </w:r>
            <w:r>
              <w:rPr>
                <w:rStyle w:val="VerbatimChar"/>
              </w:rPr>
              <w:t xml:space="preserve">gdp.pos.usd</w:t>
            </w:r>
          </w:p>
        </w:tc>
      </w:tr>
    </w:tbl>
    <w:bookmarkEnd w:id="39"/>
    <w:bookmarkStart w:id="40" w:name="X9271059c42f47575b1fb663e78b6ce2e160baf3"/>
    <w:p>
      <w:pPr>
        <w:pStyle w:val="Heading3"/>
      </w:pPr>
      <w:r>
        <w:t xml:space="preserve">Initially exempt residential demand (v5.6, LegacyDiff 67)</w:t>
      </w:r>
    </w:p>
    <w:p>
      <w:pPr>
        <w:pStyle w:val="FirstParagraph"/>
      </w:pPr>
      <w:r>
        <w:t xml:space="preserve">With ExemptMostCook = Yes, the share s of the most-used cooking fuel spent by the bottom ExemptCookDeciles deciles (Settings C83: HHSurvey budget share x consumption per capita x weight) is initially exempt: its fuel use F_x(t) = F_x(t-1) x [enel(t)/enel(t-1)] x [p(t)/p(t-1)]^(e_U x (phase - 1)), phase = MIN(MAX((t + 1 - YearPha)/ExemptPhaseoutPeriod, 0), 1) if ExemptPhaseout (legacy rows 5568-5570, rule of 2259-2265, L94; income factor as the row, L48). Fuel use adds F_x - s x enel through section 6b (rows lkx, lkxa, lkc).</w:t>
      </w:r>
    </w:p>
    <w:bookmarkEnd w:id="40"/>
    <w:bookmarkEnd w:id="41"/>
    <w:bookmarkStart w:id="55" w:name="X5b7d5bbdb6f345861e792b40b5af1bd95690a4e"/>
    <w:p>
      <w:pPr>
        <w:pStyle w:val="Heading1"/>
      </w:pPr>
      <w:r>
        <w:t xml:space="preserve">Method: domestic energy prices and existing carbon pricing</w:t>
      </w:r>
    </w:p>
    <w:p>
      <w:pPr>
        <w:pStyle w:val="FirstParagraph"/>
      </w:pPr>
      <w:r>
        <w:rPr>
          <w:iCs/>
          <w:i/>
        </w:rPr>
        <w:t xml:space="preserve">Source:</w:t>
      </w:r>
      <w:r>
        <w:rPr>
          <w:iCs/>
          <w:i/>
        </w:rPr>
        <w:t xml:space="preserve"> </w:t>
      </w:r>
      <w:r>
        <w:rPr>
          <w:rStyle w:val="VerbatimChar"/>
          <w:iCs/>
          <w:i/>
        </w:rPr>
        <w:t xml:space="preserve">PriceProjection_Method_v7_0.md</w:t>
      </w:r>
      <w:r>
        <w:rPr>
          <w:iCs/>
          <w:i/>
        </w:rPr>
        <w:t xml:space="preserve">.</w:t>
      </w:r>
    </w:p>
    <w:p>
      <w:pPr>
        <w:pStyle w:val="BodyText"/>
      </w:pPr>
      <w:r>
        <w:t xml:space="preserve">Equations:</w:t>
      </w:r>
      <w:r>
        <w:t xml:space="preserve"> </w:t>
      </w:r>
      <w:r>
        <w:rPr>
          <w:rStyle w:val="VerbatimChar"/>
        </w:rPr>
        <w:t xml:space="preserve">Equations_v7_0.md</w:t>
      </w:r>
      <w:r>
        <w:t xml:space="preserve">; workbook formulas:</w:t>
      </w:r>
      <w:r>
        <w:t xml:space="preserve"> </w:t>
      </w:r>
      <w:r>
        <w:rPr>
          <w:rStyle w:val="VerbatimChar"/>
        </w:rPr>
        <w:t xml:space="preserve">Formulas_v7_0.md</w:t>
      </w:r>
      <w:r>
        <w:t xml:space="preserve">.</w:t>
      </w:r>
    </w:p>
    <w:p>
      <w:pPr>
        <w:pStyle w:val="BodyText"/>
      </w:pPr>
      <w:r>
        <w:t xml:space="preserve">How the model projects fuel supply costs and retail prices, following legacy CPAT cut down to the basics, and the existing carbon pricing on top of them (section 5b). Subsidy phase-outs and price liberalisation are left out; electricity prices are in</w:t>
      </w:r>
      <w:r>
        <w:t xml:space="preserve"> </w:t>
      </w:r>
      <w:r>
        <w:rPr>
          <w:rStyle w:val="VerbatimChar"/>
        </w:rPr>
        <w:t xml:space="preserve">PowerPrices_Method_v7_0.md</w:t>
      </w:r>
      <w:r>
        <w:t xml:space="preserve">. The workbook sheet</w:t>
      </w:r>
      <w:r>
        <w:t xml:space="preserve"> </w:t>
      </w:r>
      <w:r>
        <w:rPr>
          <w:rStyle w:val="VerbatimChar"/>
        </w:rPr>
        <w:t xml:space="preserve">LegacyDiff</w:t>
      </w:r>
      <w:r>
        <w:t xml:space="preserve"> </w:t>
      </w:r>
      <w:r>
        <w:t xml:space="preserve">lists all differences with legacy. Two data rules differ from legacy by user decision (A10, A11); legacy bug L14 is fixed (A10).</w:t>
      </w:r>
    </w:p>
    <w:p>
      <w:pPr>
        <w:pStyle w:val="BodyText"/>
      </w:pPr>
      <w:r>
        <w:t xml:space="preserve">Sources: CPAT documentation, Mitigation chapter 3.2 (github.com/cpmodel/cpat_public); legacy workbook</w:t>
      </w:r>
      <w:r>
        <w:t xml:space="preserve"> </w:t>
      </w:r>
      <w:r>
        <w:rPr>
          <w:rStyle w:val="VerbatimChar"/>
        </w:rPr>
        <w:t xml:space="preserve">CPAT 1.0pre_456_NoPropData.xlsb</w:t>
      </w:r>
      <w:r>
        <w:t xml:space="preserve">, sheet</w:t>
      </w:r>
      <w:r>
        <w:t xml:space="preserve"> </w:t>
      </w:r>
      <w:r>
        <w:rPr>
          <w:rStyle w:val="VerbatimChar"/>
        </w:rPr>
        <w:t xml:space="preserve">Mitigation</w:t>
      </w:r>
      <w:r>
        <w:t xml:space="preserve"> </w:t>
      </w:r>
      <w:r>
        <w:t xml:space="preserve">(rows 452/455 US deflator and CPI, 456/467/725 inflation indices, 633-695 international prices by source) and sheet</w:t>
      </w:r>
      <w:r>
        <w:t xml:space="preserve"> </w:t>
      </w:r>
      <w:r>
        <w:rPr>
          <w:rStyle w:val="VerbatimChar"/>
        </w:rPr>
        <w:t xml:space="preserve">Prices_int</w:t>
      </w:r>
      <w:r>
        <w:t xml:space="preserve"> </w:t>
      </w:r>
      <w:r>
        <w:t xml:space="preserve">(regional assumptions);</w:t>
      </w:r>
      <w:r>
        <w:t xml:space="preserve"> </w:t>
      </w:r>
      <w:r>
        <w:rPr>
          <w:rStyle w:val="VerbatimChar"/>
        </w:rPr>
        <w:t xml:space="preserve">coded/cpat_model/mitigation/prices/</w:t>
      </w:r>
      <w:r>
        <w:t xml:space="preserve"> </w:t>
      </w:r>
      <w:r>
        <w:t xml:space="preserve">(</w:t>
      </w:r>
      <w:r>
        <w:rPr>
          <w:rStyle w:val="VerbatimChar"/>
        </w:rPr>
        <w:t xml:space="preserve">prices.py</w:t>
      </w:r>
      <w:r>
        <w:t xml:space="preserve">,</w:t>
      </w:r>
      <w:r>
        <w:t xml:space="preserve"> </w:t>
      </w:r>
      <w:r>
        <w:rPr>
          <w:rStyle w:val="VerbatimChar"/>
        </w:rPr>
        <w:t xml:space="preserve">domestic_prices.py</w:t>
      </w:r>
      <w:r>
        <w:t xml:space="preserve">,</w:t>
      </w:r>
      <w:r>
        <w:t xml:space="preserve"> </w:t>
      </w:r>
      <w:r>
        <w:rPr>
          <w:rStyle w:val="VerbatimChar"/>
        </w:rPr>
        <w:t xml:space="preserve">international_prices.py</w:t>
      </w:r>
      <w:r>
        <w:t xml:space="preserve">), which ports the legacy formulas line by line.</w:t>
      </w:r>
    </w:p>
    <w:bookmarkStart w:id="42" w:name="assumptions-what-the-numbers-mean"/>
    <w:p>
      <w:pPr>
        <w:pStyle w:val="Heading3"/>
      </w:pPr>
      <w:r>
        <w:t xml:space="preserve">0. Assumptions: what the numbers mean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Assumption</w:t>
            </w:r>
          </w:p>
        </w:tc>
      </w:tr>
      <w:tr>
        <w:tc>
          <w:tcPr/>
          <w:p>
            <w:pPr>
              <w:pStyle w:val="Compact"/>
              <w:jc w:val="left"/>
            </w:pPr>
            <w:r>
              <w:t xml:space="preserve">A1</w:t>
            </w:r>
          </w:p>
        </w:tc>
        <w:tc>
          <w:tcPr/>
          <w:p>
            <w:pPr>
              <w:pStyle w:val="Compact"/>
              <w:jc w:val="left"/>
            </w:pPr>
            <w:r>
              <w:rPr>
                <w:bCs/>
                <w:b/>
              </w:rPr>
              <w:t xml:space="preserve">Every price, tax and policy value is in real US dollars of the results year</w:t>
            </w:r>
            <w:r>
              <w:t xml:space="preserve"> </w:t>
            </w:r>
            <w:r>
              <w:t xml:space="preserve">(ScenarioDefinition</w:t>
            </w:r>
            <w:r>
              <w:t xml:space="preserve"> </w:t>
            </w:r>
            <w:r>
              <w:rPr>
                <w:rStyle w:val="VerbatimChar"/>
              </w:rPr>
              <w:t xml:space="preserve">ResultsYear</w:t>
            </w:r>
            <w:r>
              <w:t xml:space="preserve">, 2026, from scenario 1), per GJ. A constant real price is a constant number. There is no inflation after the conversion, and fuel use responds only to real price changes.</w:t>
            </w:r>
          </w:p>
        </w:tc>
      </w:tr>
      <w:tr>
        <w:tc>
          <w:tcPr/>
          <w:p>
            <w:pPr>
              <w:pStyle w:val="Compact"/>
              <w:jc w:val="left"/>
            </w:pPr>
            <w:r>
              <w:t xml:space="preserve">A2</w:t>
            </w:r>
          </w:p>
        </w:tc>
        <w:tc>
          <w:tcPr/>
          <w:p>
            <w:pPr>
              <w:pStyle w:val="Compact"/>
              <w:jc w:val="left"/>
            </w:pPr>
            <w:r>
              <w:rPr>
                <w:bCs/>
                <w:b/>
              </w:rPr>
              <w:t xml:space="preserve">Two indices, both 1 in the results year.</w:t>
            </w:r>
            <w:r>
              <w:t xml:space="preserve"> </w:t>
            </w:r>
            <w:r>
              <w:t xml:space="preserve">The CPI index (US CPI of the results year / of the year) converts nominal</w:t>
            </w:r>
            <w:r>
              <w:t xml:space="preserve"> </w:t>
            </w:r>
            <w:r>
              <w:rPr>
                <w:iCs/>
                <w:i/>
              </w:rPr>
              <w:t xml:space="preserve">domestic</w:t>
            </w:r>
            <w:r>
              <w:t xml:space="preserve"> </w:t>
            </w:r>
            <w:r>
              <w:t xml:space="preserve">values; the deflator index (US GDP deflator, same form) converts nominal</w:t>
            </w:r>
            <w:r>
              <w:t xml:space="preserve"> </w:t>
            </w:r>
            <w:r>
              <w:rPr>
                <w:iCs/>
                <w:i/>
              </w:rPr>
              <w:t xml:space="preserve">international</w:t>
            </w:r>
            <w:r>
              <w:t xml:space="preserve"> </w:t>
            </w:r>
            <w:r>
              <w:t xml:space="preserve">prices. This is the legacy split (CPI rows 456/725, deflator row 467; row 630 is its reciprocal). Up to 2030 they differ by up to 1.2% (2022: 1.137 vs 1.124; 2030: 0.918 vs 0.929), so one index would not reproduce legacy.</w:t>
            </w:r>
          </w:p>
        </w:tc>
      </w:tr>
      <w:tr>
        <w:tc>
          <w:tcPr/>
          <w:p>
            <w:pPr>
              <w:pStyle w:val="Compact"/>
              <w:jc w:val="left"/>
            </w:pPr>
            <w:r>
              <w:t xml:space="preserve">A3</w:t>
            </w:r>
          </w:p>
        </w:tc>
        <w:tc>
          <w:tcPr/>
          <w:p>
            <w:pPr>
              <w:pStyle w:val="Compact"/>
              <w:jc w:val="left"/>
            </w:pPr>
            <w:r>
              <w:rPr>
                <w:bCs/>
                <w:b/>
              </w:rPr>
              <w:t xml:space="preserve">Domestic price data are nominal USD of their own year</w:t>
            </w:r>
            <w:r>
              <w:t xml:space="preserve"> </w:t>
            </w:r>
            <w:r>
              <w:t xml:space="preserve">(IMF price dataset,</w:t>
            </w:r>
            <w:r>
              <w:t xml:space="preserve"> </w:t>
            </w:r>
            <w:r>
              <w:rPr>
                <w:rStyle w:val="VerbatimChar"/>
              </w:rPr>
              <w:t xml:space="preserve">Prices_dom</w:t>
            </w:r>
            <w:r>
              <w:t xml:space="preserve">: supply cost, excise and other taxes, retail price). Each is converted with that year’s CPI index and divided by GJ per price unit. Units: $/liter for gasoline, diesel, LPG and kerosene; $/bbl for other oil products; $/GJ for coal, gas and biomass.</w:t>
            </w:r>
          </w:p>
        </w:tc>
      </w:tr>
      <w:tr>
        <w:tc>
          <w:tcPr/>
          <w:p>
            <w:pPr>
              <w:pStyle w:val="Compact"/>
              <w:jc w:val="left"/>
            </w:pPr>
            <w:r>
              <w:t xml:space="preserve">A4</w:t>
            </w:r>
          </w:p>
        </w:tc>
        <w:tc>
          <w:tcPr/>
          <w:p>
            <w:pPr>
              <w:pStyle w:val="Compact"/>
              <w:jc w:val="left"/>
            </w:pPr>
            <w:r>
              <w:rPr>
                <w:bCs/>
                <w:b/>
              </w:rPr>
              <w:t xml:space="preserve">Forecasting coefficients are base-year (2022) nominal values</w:t>
            </w:r>
            <w:r>
              <w:t xml:space="preserve">: the margin over international prices and the domestic production cost. They are converted with the 2022 CPI index and held constant in real terms. (</w:t>
            </w:r>
            <w:r>
              <w:rPr>
                <w:rStyle w:val="VerbatimChar"/>
              </w:rPr>
              <w:t xml:space="preserve">coded</w:t>
            </w:r>
            <w:r>
              <w:t xml:space="preserve"> </w:t>
            </w:r>
            <w:r>
              <w:t xml:space="preserve">applies no conversion here; to check against legacy in bucket 5.)</w:t>
            </w:r>
          </w:p>
        </w:tc>
      </w:tr>
      <w:tr>
        <w:tc>
          <w:tcPr/>
          <w:p>
            <w:pPr>
              <w:pStyle w:val="Compact"/>
              <w:jc w:val="left"/>
            </w:pPr>
            <w:r>
              <w:t xml:space="preserve">A5</w:t>
            </w:r>
          </w:p>
        </w:tc>
        <w:tc>
          <w:tcPr/>
          <w:p>
            <w:pPr>
              <w:pStyle w:val="Compact"/>
              <w:jc w:val="left"/>
            </w:pPr>
            <w:r>
              <w:rPr>
                <w:bCs/>
                <w:b/>
              </w:rPr>
              <w:t xml:space="preserve">International prices are nominal by source</w:t>
            </w:r>
            <w:r>
              <w:t xml:space="preserve"> </w:t>
            </w:r>
            <w:r>
              <w:t xml:space="preserve">(IMF, WB, IEA, EIA, averages, Manual: IMF to 2025, then sheet</w:t>
            </w:r>
            <w:r>
              <w:t xml:space="preserve"> </w:t>
            </w:r>
            <w:r>
              <w:rPr>
                <w:rStyle w:val="VerbatimChar"/>
              </w:rPr>
              <w:t xml:space="preserve">Manual inputs</w:t>
            </w:r>
            <w:r>
              <w:t xml:space="preserve"> </w:t>
            </w:r>
            <w:r>
              <w:t xml:space="preserve">D221:AF225 at the legacy addresses, by label and year), converted with the deflator. Only their year-on-year ratio moves the supply cost, so their units and level drop out. Beyond a source’s horizon the data hold them constant in real terms.</w:t>
            </w:r>
          </w:p>
        </w:tc>
      </w:tr>
      <w:tr>
        <w:tc>
          <w:tcPr/>
          <w:p>
            <w:pPr>
              <w:pStyle w:val="Compact"/>
              <w:jc w:val="left"/>
            </w:pPr>
            <w:r>
              <w:t xml:space="preserve">A6</w:t>
            </w:r>
          </w:p>
        </w:tc>
        <w:tc>
          <w:tcPr/>
          <w:p>
            <w:pPr>
              <w:pStyle w:val="Compact"/>
              <w:jc w:val="left"/>
            </w:pPr>
            <w:r>
              <w:rPr>
                <w:bCs/>
                <w:b/>
              </w:rPr>
              <w:t xml:space="preserve">ScenarioDefinition policy inputs are real (results-year USD)</w:t>
            </w:r>
            <w:r>
              <w:t xml:space="preserve">: the carbon price, feebate rates and fuel price reform increases (in price units, e.g. $/liter real). Only the carbon price has a nominal option:</w:t>
            </w:r>
            <w:r>
              <w:t xml:space="preserve"> </w:t>
            </w:r>
            <w:r>
              <w:rPr>
                <w:rStyle w:val="VerbatimChar"/>
              </w:rPr>
              <w:t xml:space="preserve">NomorReal</w:t>
            </w:r>
            <w:r>
              <w:t xml:space="preserve"> </w:t>
            </w:r>
            <w:r>
              <w:t xml:space="preserve">= Nominal makes the path nominal, then multiplied by the CPI index (legacy row 2249).</w:t>
            </w:r>
          </w:p>
        </w:tc>
      </w:tr>
      <w:tr>
        <w:tc>
          <w:tcPr/>
          <w:p>
            <w:pPr>
              <w:pStyle w:val="Compact"/>
              <w:jc w:val="left"/>
            </w:pPr>
            <w:r>
              <w:t xml:space="preserve">A7</w:t>
            </w:r>
          </w:p>
        </w:tc>
        <w:tc>
          <w:tcPr/>
          <w:p>
            <w:pPr>
              <w:pStyle w:val="Compact"/>
              <w:jc w:val="left"/>
            </w:pPr>
            <w:r>
              <w:rPr>
                <w:bCs/>
                <w:b/>
              </w:rPr>
              <w:t xml:space="preserve">History vs projection.</w:t>
            </w:r>
            <w:r>
              <w:t xml:space="preserve"> </w:t>
            </w:r>
            <w:r>
              <w:t xml:space="preserve">Prices up to the last historical price year (Settings C10; default 2022, as legacy) come from data; later years are projected. Fuel use is data in the base year (2022) and modelled from 2023. The IMF dataset also holds 2023-2024; setting C10 to 2024 uses them (issue I4).</w:t>
            </w:r>
          </w:p>
        </w:tc>
      </w:tr>
      <w:tr>
        <w:tc>
          <w:tcPr/>
          <w:p>
            <w:pPr>
              <w:pStyle w:val="Compact"/>
              <w:jc w:val="left"/>
            </w:pPr>
            <w:r>
              <w:t xml:space="preserve">A8</w:t>
            </w:r>
          </w:p>
        </w:tc>
        <w:tc>
          <w:tcPr/>
          <w:p>
            <w:pPr>
              <w:pStyle w:val="Compact"/>
              <w:jc w:val="left"/>
            </w:pPr>
            <w:r>
              <w:rPr>
                <w:bCs/>
                <w:b/>
              </w:rPr>
              <w:t xml:space="preserve">Global vs per scenario.</w:t>
            </w:r>
            <w:r>
              <w:t xml:space="preserve"> </w:t>
            </w:r>
            <w:r>
              <w:t xml:space="preserve">Global (Settings, ScenarioDefinition scenario 1): results year, government price controls (pass-through), last historical year, the country’s gas market. Per scenario: international price source and High/Low adjustment, carbon price and its nominal/real switch, fuel price reform, feebates, coverage.</w:t>
            </w:r>
          </w:p>
        </w:tc>
      </w:tr>
      <w:tr>
        <w:tc>
          <w:tcPr/>
          <w:p>
            <w:pPr>
              <w:pStyle w:val="Compact"/>
              <w:jc w:val="left"/>
            </w:pPr>
            <w:r>
              <w:t xml:space="preserve">A9</w:t>
            </w:r>
          </w:p>
        </w:tc>
        <w:tc>
          <w:tcPr/>
          <w:p>
            <w:pPr>
              <w:pStyle w:val="Compact"/>
              <w:jc w:val="left"/>
            </w:pPr>
            <w:r>
              <w:rPr>
                <w:bCs/>
                <w:b/>
              </w:rPr>
              <w:t xml:space="preserve">Horizon.</w:t>
            </w:r>
            <w:r>
              <w:t xml:space="preserve"> </w:t>
            </w:r>
            <w:r>
              <w:t xml:space="preserve">Values after 2030 are not compared with legacy. The legacy CPI is held flat after 2031 (WEO horizon), the deflator is not, and some legacy rules (A10) misbehave over long horizons. The model computes to 2041 (the legacy horizon of the power block), but 2031-2041 are not a target.</w:t>
            </w:r>
          </w:p>
        </w:tc>
      </w:tr>
      <w:tr>
        <w:tc>
          <w:tcPr/>
          <w:p>
            <w:pPr>
              <w:pStyle w:val="Compact"/>
              <w:jc w:val="left"/>
            </w:pPr>
            <w:r>
              <w:t xml:space="preserve">A10</w:t>
            </w:r>
          </w:p>
        </w:tc>
        <w:tc>
          <w:tcPr/>
          <w:p>
            <w:pPr>
              <w:pStyle w:val="Compact"/>
              <w:jc w:val="left"/>
            </w:pPr>
            <w:r>
              <w:rPr>
                <w:bCs/>
                <w:b/>
              </w:rPr>
              <w:t xml:space="preserve">Legacy rules are copied as they are, except the bugs.</w:t>
            </w:r>
            <w:r>
              <w:t xml:space="preserve"> </w:t>
            </w:r>
            <w:r>
              <w:t xml:space="preserve">v4.10 (user rule: bugs are never replicated): legacy bug L14 is fixed: with pass-through 0.5 or 0.8, legacy’s other taxes jumped in the first projected year (the floating subsidy multiplied by (1 - pcc) a second time); the MVP applies (1 - pcc) once (no effect for Egypt, pass-through 0 or 1).</w:t>
            </w:r>
            <w:r>
              <w:t xml:space="preserve"> </w:t>
            </w:r>
            <w:r>
              <w:rPr>
                <w:bCs/>
                <w:b/>
              </w:rPr>
              <w:t xml:space="preserve">Changed (user decision): other oil products are treated like the other oil products</w:t>
            </w:r>
            <w:r>
              <w:t xml:space="preserve">, taking pass-through and margin from the dataset (Egypt: 0 and 7.95 $/bbl) instead of the legacy hardcodes 1 and 0. Under the legacy rule their retail price fell with the oil price to the 0.01 floor (3.79 $/GJ in 2024, 0.23 in 2030), and their fuel use rose 10x by 2030.</w:t>
            </w:r>
          </w:p>
        </w:tc>
      </w:tr>
      <w:tr>
        <w:tc>
          <w:tcPr/>
          <w:p>
            <w:pPr>
              <w:pStyle w:val="Compact"/>
              <w:jc w:val="left"/>
            </w:pPr>
            <w:r>
              <w:t xml:space="preserve">A11</w:t>
            </w:r>
          </w:p>
        </w:tc>
        <w:tc>
          <w:tcPr/>
          <w:p>
            <w:pPr>
              <w:pStyle w:val="Compact"/>
              <w:jc w:val="left"/>
            </w:pPr>
            <w:r>
              <w:rPr>
                <w:bCs/>
                <w:b/>
              </w:rPr>
              <w:t xml:space="preserve">VAT rate (user decision).</w:t>
            </w:r>
            <w:r>
              <w:t xml:space="preserve"> </w:t>
            </w:r>
            <w:r>
              <w:t xml:space="preserve">Use the dataset’s VAT rate where it is filled. Otherwise use the country’s general VAT rate (Egypt 14%) for residential coal and gas and the all-sector oil products (gasoline, diesel, LPG, kerosene, other oil products), and 0 for power, industry (VAT is credited to firms) and biomass (largely informal). For Egypt the dataset’s own retail prices imply exactly this: rp = (sp + txo) x 1.14 for residential gas and the oil products, and rp = sp + txo for power and industry. So historical oil-product retail prices equal the dataset’s (14% higher than without the rule), and new policies pay 14% VAT in those sectors.</w:t>
            </w:r>
          </w:p>
        </w:tc>
      </w:tr>
    </w:tbl>
    <w:bookmarkEnd w:id="42"/>
    <w:bookmarkStart w:id="43" w:name="dimensions-and-units"/>
    <w:p>
      <w:pPr>
        <w:pStyle w:val="Heading3"/>
      </w:pPr>
      <w:r>
        <w:t xml:space="preserve">1. Dimensions and units</w:t>
      </w:r>
    </w:p>
    <w:p>
      <w:pPr>
        <w:numPr>
          <w:ilvl w:val="0"/>
          <w:numId w:val="1015"/>
        </w:numPr>
        <w:pStyle w:val="Compact"/>
      </w:pPr>
      <w:r>
        <w:t xml:space="preserve">Prices are kept by</w:t>
      </w:r>
      <w:r>
        <w:t xml:space="preserve"> </w:t>
      </w:r>
      <w:r>
        <w:rPr>
          <w:bCs/>
          <w:b/>
        </w:rPr>
        <w:t xml:space="preserve">fuel x price sector</w:t>
      </w:r>
      <w:r>
        <w:t xml:space="preserve">, as in the IMF dataset: 12 price fuels, namely coal and natural gas for power, residential and industry; gasoline, diesel, LPG, kerosene, other oil products and biomass for all sectors. Electricity is left to the power module. Subsectors take the price of their price sector (road and residential use the residential coal and gas prices).</w:t>
      </w:r>
    </w:p>
    <w:p>
      <w:pPr>
        <w:numPr>
          <w:ilvl w:val="0"/>
          <w:numId w:val="1015"/>
        </w:numPr>
        <w:pStyle w:val="Compact"/>
      </w:pPr>
      <w:r>
        <w:t xml:space="preserve">All in real $/GJ of the results year (A1-A3).</w:t>
      </w:r>
    </w:p>
    <w:bookmarkEnd w:id="43"/>
    <w:bookmarkStart w:id="44" w:name="international-prices-gp"/>
    <w:p>
      <w:pPr>
        <w:pStyle w:val="Heading3"/>
      </w:pPr>
      <w:r>
        <w:t xml:space="preserve">2. International prices</w:t>
      </w:r>
      <w:r>
        <w:t xml:space="preserve"> </w:t>
      </w:r>
      <w:r>
        <w:rPr>
          <w:rStyle w:val="VerbatimChar"/>
        </w:rPr>
        <w:t xml:space="preserve">gp</w:t>
      </w:r>
    </w:p>
    <w:p>
      <w:pPr>
        <w:pStyle w:val="FirstParagraph"/>
      </w:pPr>
      <w:r>
        <w:rPr>
          <w:rStyle w:val="VerbatimChar"/>
        </w:rPr>
        <w:t xml:space="preserve">gp_t</w:t>
      </w:r>
      <w:r>
        <w:t xml:space="preserve"> </w:t>
      </w:r>
      <w:r>
        <w:t xml:space="preserve">= international price of the source and commodity x deflator x adjustment factor.</w:t>
      </w:r>
    </w:p>
    <w:p>
      <w:pPr>
        <w:numPr>
          <w:ilvl w:val="0"/>
          <w:numId w:val="1016"/>
        </w:numPr>
        <w:pStyle w:val="Compact"/>
      </w:pPr>
      <w:r>
        <w:t xml:space="preserve">Source: ScenarioDefinition</w:t>
      </w:r>
      <w:r>
        <w:t xml:space="preserve"> </w:t>
      </w:r>
      <w:r>
        <w:rPr>
          <w:rStyle w:val="VerbatimChar"/>
        </w:rPr>
        <w:t xml:space="preserve">IntEnerPricForeSource</w:t>
      </w:r>
      <w:r>
        <w:t xml:space="preserve">, asterisk dropped (</w:t>
      </w:r>
      <w:r>
        <w:rPr>
          <w:rStyle w:val="VerbatimChar"/>
        </w:rPr>
        <w:t xml:space="preserve">IMF-WB*</w:t>
      </w:r>
      <w:r>
        <w:t xml:space="preserve"> </w:t>
      </w:r>
      <w:r>
        <w:t xml:space="preserve">= average of IMF and WB).</w:t>
      </w:r>
    </w:p>
    <w:p>
      <w:pPr>
        <w:numPr>
          <w:ilvl w:val="0"/>
          <w:numId w:val="1016"/>
        </w:numPr>
        <w:pStyle w:val="Compact"/>
      </w:pPr>
      <w:r>
        <w:t xml:space="preserve">Commodity: crude oil (gasoline, diesel, LPG, kerosene, other oil products); coal; gas of the country’s market (Egypt</w:t>
      </w:r>
      <w:r>
        <w:t xml:space="preserve"> </w:t>
      </w:r>
      <w:r>
        <w:rPr>
          <w:iCs/>
          <w:i/>
        </w:rPr>
        <w:t xml:space="preserve">Global</w:t>
      </w:r>
      <w:r>
        <w:t xml:space="preserve"> </w:t>
      </w:r>
      <w:r>
        <w:t xml:space="preserve">= average of LNG, North America and Europe); a flat 1 (biomass).</w:t>
      </w:r>
    </w:p>
    <w:p>
      <w:pPr>
        <w:numPr>
          <w:ilvl w:val="0"/>
          <w:numId w:val="1016"/>
        </w:numPr>
        <w:pStyle w:val="Compact"/>
      </w:pPr>
      <w:r>
        <w:t xml:space="preserve">Factor (ScenarioDefinition</w:t>
      </w:r>
      <w:r>
        <w:t xml:space="preserve"> </w:t>
      </w:r>
      <w:r>
        <w:rPr>
          <w:rStyle w:val="VerbatimChar"/>
        </w:rPr>
        <w:t xml:space="preserve">IntEnerPricForecastAdjustment</w:t>
      </w:r>
      <w:r>
        <w:t xml:space="preserve">):</w:t>
      </w:r>
      <w:r>
        <w:t xml:space="preserve"> </w:t>
      </w:r>
      <w:r>
        <w:rPr>
          <w:iCs/>
          <w:i/>
        </w:rPr>
        <w:t xml:space="preserve">Base</w:t>
      </w:r>
      <w:r>
        <w:t xml:space="preserve"> </w:t>
      </w:r>
      <w:r>
        <w:t xml:space="preserve">= 1;</w:t>
      </w:r>
      <w:r>
        <w:t xml:space="preserve"> </w:t>
      </w:r>
      <w:r>
        <w:rPr>
          <w:iCs/>
          <w:i/>
        </w:rPr>
        <w:t xml:space="preserve">High</w:t>
      </w:r>
      <w:r>
        <w:t xml:space="preserve"> </w:t>
      </w:r>
      <w:r>
        <w:t xml:space="preserve">/</w:t>
      </w:r>
      <w:r>
        <w:t xml:space="preserve"> </w:t>
      </w:r>
      <w:r>
        <w:rPr>
          <w:iCs/>
          <w:i/>
        </w:rPr>
        <w:t xml:space="preserve">Low</w:t>
      </w:r>
      <w:r>
        <w:t xml:space="preserve"> </w:t>
      </w:r>
      <w:r>
        <w:t xml:space="preserve">= 1.5 / 0.5 for oil and 1.25 / 0.75 for gas and coal, after the last historical year.</w:t>
      </w:r>
    </w:p>
    <w:bookmarkEnd w:id="44"/>
    <w:bookmarkStart w:id="45" w:name="supply-cost-sp"/>
    <w:p>
      <w:pPr>
        <w:pStyle w:val="Heading3"/>
      </w:pPr>
      <w:r>
        <w:t xml:space="preserve">3. Supply cost</w:t>
      </w:r>
      <w:r>
        <w:t xml:space="preserve"> </w:t>
      </w:r>
      <w:r>
        <w:rPr>
          <w:rStyle w:val="VerbatimChar"/>
        </w:rPr>
        <w:t xml:space="preserve">sp</w:t>
      </w:r>
    </w:p>
    <w:p>
      <w:pPr>
        <w:pStyle w:val="FirstParagraph"/>
      </w:pPr>
      <w:r>
        <w:t xml:space="preserve">Data up to the last historical year L; then</w:t>
      </w:r>
      <w:r>
        <w:t xml:space="preserve"> </w:t>
      </w:r>
      <w:r>
        <w:rPr>
          <w:rStyle w:val="VerbatimChar"/>
        </w:rPr>
        <w:t xml:space="preserve">sp_t = fixsp + (sp_{t-1} - fixsp - ps_{t-1}) x gp_t / gp_{t-1} + ps_t</w:t>
      </w:r>
      <w:r>
        <w:t xml:space="preserve">: a fixed part, a part that floats with the international price, and the existing producer subsidy</w:t>
      </w:r>
      <w:r>
        <w:t xml:space="preserve"> </w:t>
      </w:r>
      <w:r>
        <w:rPr>
          <w:rStyle w:val="VerbatimChar"/>
        </w:rPr>
        <w:t xml:space="preserve">ps</w:t>
      </w:r>
      <w:r>
        <w:t xml:space="preserve"> </w:t>
      </w:r>
      <w:r>
        <w:t xml:space="preserve">(block row</w:t>
      </w:r>
      <w:r>
        <w:t xml:space="preserve"> </w:t>
      </w:r>
      <w:r>
        <w:rPr>
          <w:rStyle w:val="VerbatimChar"/>
        </w:rPr>
        <w:t xml:space="preserve">psp</w:t>
      </w:r>
      <w:r>
        <w:t xml:space="preserve">, $/GJ; legacy</w:t>
      </w:r>
      <w:r>
        <w:t xml:space="preserve"> </w:t>
      </w:r>
      <w:r>
        <w:rPr>
          <w:rStyle w:val="VerbatimChar"/>
        </w:rPr>
        <w:t xml:space="preserve">sp = fixsp + fltsp + ps</w:t>
      </w:r>
      <w:r>
        <w:t xml:space="preserve">, rows 2455-2708; v6.1, I49). The producer subsidy phase-out is not in</w:t>
      </w:r>
      <w:r>
        <w:t xml:space="preserve"> </w:t>
      </w:r>
      <w:r>
        <w:rPr>
          <w:rStyle w:val="VerbatimChar"/>
        </w:rPr>
        <w:t xml:space="preserve">sp</w:t>
      </w:r>
      <w:r>
        <w:t xml:space="preserve">: it is a separate new-policy wedge (section 6b; v6.2).</w:t>
      </w:r>
    </w:p>
    <w:p>
      <w:pPr>
        <w:pStyle w:val="BodyText"/>
      </w:pPr>
      <w:r>
        <w:rPr>
          <w:rStyle w:val="VerbatimChar"/>
        </w:rPr>
        <w:t xml:space="preserve">fixsp = (margin + bucketed pass-through x production cost [coal, gas]) x CPI index(2022) / GJ per unit</w:t>
      </w:r>
      <w:r>
        <w:t xml:space="preserve">. The margin of biomass is 0 (legacy hardcode; other oil products from data, A10). Producer subsidies enter through</w:t>
      </w:r>
      <w:r>
        <w:t xml:space="preserve"> </w:t>
      </w:r>
      <w:r>
        <w:rPr>
          <w:rStyle w:val="VerbatimChar"/>
        </w:rPr>
        <w:t xml:space="preserve">ps</w:t>
      </w:r>
      <w:r>
        <w:t xml:space="preserve"> </w:t>
      </w:r>
      <w:r>
        <w:t xml:space="preserve">(section 6b; 0 for Egypt).</w:t>
      </w:r>
    </w:p>
    <w:bookmarkEnd w:id="45"/>
    <w:bookmarkStart w:id="46" w:name="excise-and-other-taxes-txo-pass-through"/>
    <w:p>
      <w:pPr>
        <w:pStyle w:val="Heading3"/>
      </w:pPr>
      <w:r>
        <w:t xml:space="preserve">4. Excise and other taxes</w:t>
      </w:r>
      <w:r>
        <w:t xml:space="preserve"> </w:t>
      </w:r>
      <w:r>
        <w:rPr>
          <w:rStyle w:val="VerbatimChar"/>
        </w:rPr>
        <w:t xml:space="preserve">txo</w:t>
      </w:r>
      <w:r>
        <w:t xml:space="preserve"> </w:t>
      </w:r>
      <w:r>
        <w:t xml:space="preserve">(pass-through)</w:t>
      </w:r>
    </w:p>
    <w:p>
      <w:pPr>
        <w:numPr>
          <w:ilvl w:val="0"/>
          <w:numId w:val="1017"/>
        </w:numPr>
        <w:pStyle w:val="Compact"/>
      </w:pPr>
      <w:r>
        <w:t xml:space="preserve">Pass-through</w:t>
      </w:r>
      <w:r>
        <w:t xml:space="preserve"> </w:t>
      </w:r>
      <w:r>
        <w:rPr>
          <w:rStyle w:val="VerbatimChar"/>
        </w:rPr>
        <w:t xml:space="preserve">pcc</w:t>
      </w:r>
      <w:r>
        <w:t xml:space="preserve">: raw = the dataset’s base-year value (blank = 0; biomass = 1; other oil products from data, A10). Bucketed: &lt;= 0.25 -&gt; 0, &lt;= 0.5 -&gt; 0.5, else 1. Settings</w:t>
      </w:r>
      <w:r>
        <w:t xml:space="preserve"> </w:t>
      </w:r>
      <w:r>
        <w:rPr>
          <w:rStyle w:val="VerbatimChar"/>
        </w:rPr>
        <w:t xml:space="preserve">GovPriceControls</w:t>
      </w:r>
      <w:r>
        <w:t xml:space="preserve"> </w:t>
      </w:r>
      <w:r>
        <w:t xml:space="preserve">chooses</w:t>
      </w:r>
      <w:r>
        <w:t xml:space="preserve"> </w:t>
      </w:r>
      <w:r>
        <w:rPr>
          <w:iCs/>
          <w:i/>
        </w:rPr>
        <w:t xml:space="preserve">Bucketed</w:t>
      </w:r>
      <w:r>
        <w:t xml:space="preserve"> </w:t>
      </w:r>
      <w:r>
        <w:t xml:space="preserve">(default),</w:t>
      </w:r>
      <w:r>
        <w:t xml:space="preserve"> </w:t>
      </w:r>
      <w:r>
        <w:rPr>
          <w:iCs/>
          <w:i/>
        </w:rPr>
        <w:t xml:space="preserve">Manual</w:t>
      </w:r>
      <w:r>
        <w:t xml:space="preserve"> </w:t>
      </w:r>
      <w:r>
        <w:t xml:space="preserve">or</w:t>
      </w:r>
      <w:r>
        <w:t xml:space="preserve"> </w:t>
      </w:r>
      <w:r>
        <w:rPr>
          <w:iCs/>
          <w:i/>
        </w:rPr>
        <w:t xml:space="preserve">None</w:t>
      </w:r>
      <w:r>
        <w:t xml:space="preserve"> </w:t>
      </w:r>
      <w:r>
        <w:t xml:space="preserve">= 1.</w:t>
      </w:r>
      <w:r>
        <w:t xml:space="preserve"> </w:t>
      </w:r>
      <w:r>
        <w:rPr>
          <w:iCs/>
          <w:i/>
        </w:rPr>
        <w:t xml:space="preserve">Manual</w:t>
      </w:r>
      <w:r>
        <w:t xml:space="preserve"> </w:t>
      </w:r>
      <w:r>
        <w:t xml:space="preserve">takes the retail price control (pass-through) of the block from sheet</w:t>
      </w:r>
      <w:r>
        <w:t xml:space="preserve"> </w:t>
      </w:r>
      <w:r>
        <w:rPr>
          <w:rStyle w:val="VerbatimChar"/>
        </w:rPr>
        <w:t xml:space="preserve">Manual inputs</w:t>
      </w:r>
      <w:r>
        <w:t xml:space="preserve"> </w:t>
      </w:r>
      <w:r>
        <w:t xml:space="preserve">J167:J180, the legacy addresses, by the code in column G (</w:t>
      </w:r>
      <w:r>
        <w:rPr>
          <w:rStyle w:val="VerbatimChar"/>
        </w:rPr>
        <w:t xml:space="preserve">mit.rp.&lt;fuel&gt;.&lt;sector&gt;.ctrl</w:t>
      </w:r>
      <w:r>
        <w:t xml:space="preserve">; legacy default 0.8 for every block); a blank cell gives 1, as legacy rows 747-760. The electricity rows (J178:J179) are not read: electricity prices come from the power section. Egypt bucketed: coal 1, gas 0, oil products incl. other oil products 0, biomass 1.</w:t>
      </w:r>
    </w:p>
    <w:p>
      <w:pPr>
        <w:numPr>
          <w:ilvl w:val="0"/>
          <w:numId w:val="1017"/>
        </w:numPr>
        <w:pStyle w:val="Compact"/>
      </w:pPr>
      <w:r>
        <w:t xml:space="preserve">Historical</w:t>
      </w:r>
      <w:r>
        <w:t xml:space="preserve"> </w:t>
      </w:r>
      <w:r>
        <w:rPr>
          <w:rStyle w:val="VerbatimChar"/>
        </w:rPr>
        <w:t xml:space="preserve">txo</w:t>
      </w:r>
      <w:r>
        <w:t xml:space="preserve"> </w:t>
      </w:r>
      <w:r>
        <w:t xml:space="preserve">(as legacy): coal, gas and biomass</w:t>
      </w:r>
      <w:r>
        <w:t xml:space="preserve"> </w:t>
      </w:r>
      <w:r>
        <w:rPr>
          <w:rStyle w:val="VerbatimChar"/>
        </w:rPr>
        <w:t xml:space="preserve">rp / (1 + vr) - sp</w:t>
      </w:r>
      <w:r>
        <w:t xml:space="preserve">; oil products the dataset’s</w:t>
      </w:r>
      <w:r>
        <w:t xml:space="preserve"> </w:t>
      </w:r>
      <w:r>
        <w:rPr>
          <w:rStyle w:val="VerbatimChar"/>
        </w:rPr>
        <w:t xml:space="preserve">txo</w:t>
      </w:r>
      <w:r>
        <w:t xml:space="preserve"> </w:t>
      </w:r>
      <w:r>
        <w:t xml:space="preserve">(legacy builds their retail price as</w:t>
      </w:r>
      <w:r>
        <w:t xml:space="preserve"> </w:t>
      </w:r>
      <w:r>
        <w:rPr>
          <w:rStyle w:val="VerbatimChar"/>
        </w:rPr>
        <w:t xml:space="preserve">sp + txo</w:t>
      </w:r>
      <w:r>
        <w:t xml:space="preserve">, times</w:t>
      </w:r>
      <w:r>
        <w:t xml:space="preserve"> </w:t>
      </w:r>
      <w:r>
        <w:rPr>
          <w:rStyle w:val="VerbatimChar"/>
        </w:rPr>
        <w:t xml:space="preserve">(1 + vr)</w:t>
      </w:r>
      <w:r>
        <w:t xml:space="preserve">).</w:t>
      </w:r>
    </w:p>
    <w:p>
      <w:pPr>
        <w:numPr>
          <w:ilvl w:val="0"/>
          <w:numId w:val="1017"/>
        </w:numPr>
        <w:pStyle w:val="Compact"/>
      </w:pPr>
      <w:r>
        <w:t xml:space="preserve">Projected:</w:t>
      </w:r>
      <w:r>
        <w:t xml:space="preserve"> </w:t>
      </w:r>
      <w:r>
        <w:rPr>
          <w:rStyle w:val="VerbatimChar"/>
        </w:rPr>
        <w:t xml:space="preserve">txo_t = txo_L x pcc + cs_t</w:t>
      </w:r>
      <w:r>
        <w:t xml:space="preserve">, with the floating subsidy</w:t>
      </w:r>
      <w:r>
        <w:t xml:space="preserve"> </w:t>
      </w:r>
      <w:r>
        <w:rPr>
          <w:rStyle w:val="VerbatimChar"/>
        </w:rPr>
        <w:t xml:space="preserve">cs_t = (sp_L - sp_t + txo_L(1 - pcc)) x (1 - pcc)</w:t>
      </w:r>
      <w:r>
        <w:t xml:space="preserve">, and</w:t>
      </w:r>
      <w:r>
        <w:t xml:space="preserve"> </w:t>
      </w:r>
      <w:r>
        <w:rPr>
          <w:rStyle w:val="VerbatimChar"/>
        </w:rPr>
        <w:t xml:space="preserve">cs_t</w:t>
      </w:r>
      <w:r>
        <w:t xml:space="preserve"> </w:t>
      </w:r>
      <w:r>
        <w:t xml:space="preserve">not below</w:t>
      </w:r>
      <w:r>
        <w:t xml:space="preserve"> </w:t>
      </w:r>
      <w:r>
        <w:rPr>
          <w:rStyle w:val="VerbatimChar"/>
        </w:rPr>
        <w:t xml:space="preserve">txo_L(1 - pcc)</w:t>
      </w:r>
      <w:r>
        <w:t xml:space="preserve"> </w:t>
      </w:r>
      <w:r>
        <w:t xml:space="preserve">when that is &gt;= 0.</w:t>
      </w:r>
    </w:p>
    <w:p>
      <w:pPr>
        <w:numPr>
          <w:ilvl w:val="0"/>
          <w:numId w:val="1017"/>
        </w:numPr>
        <w:pStyle w:val="Compact"/>
      </w:pPr>
      <w:r>
        <w:t xml:space="preserve">pcc = 1: supply-cost changes are passed on in full. pcc = 0: the retail price before new policies stays at its value in L, and the floating subsidy absorbs the change.</w:t>
      </w:r>
    </w:p>
    <w:bookmarkEnd w:id="46"/>
    <w:bookmarkStart w:id="48" w:name="X22b6b083602209ec724a3af71c05f0bdac641ee"/>
    <w:p>
      <w:pPr>
        <w:pStyle w:val="Heading3"/>
      </w:pPr>
      <w:r>
        <w:t xml:space="preserve">5. Retail price before new policies</w:t>
      </w:r>
      <w:r>
        <w:t xml:space="preserve"> </w:t>
      </w:r>
      <w:r>
        <w:rPr>
          <w:rStyle w:val="VerbatimChar"/>
        </w:rPr>
        <w:t xml:space="preserve">rpb</w:t>
      </w:r>
      <w:r>
        <w:t xml:space="preserve"> </w:t>
      </w:r>
      <w:r>
        <w:t xml:space="preserve">and the after-tax price</w:t>
      </w:r>
      <w:r>
        <w:t xml:space="preserve"> </w:t>
      </w:r>
      <w:r>
        <w:rPr>
          <w:rStyle w:val="VerbatimChar"/>
        </w:rPr>
        <w:t xml:space="preserve">atp</w:t>
      </w:r>
    </w:p>
    <w:p>
      <w:pPr>
        <w:pStyle w:val="FirstParagraph"/>
      </w:pPr>
      <w:r>
        <w:rPr>
          <w:rStyle w:val="VerbatimChar"/>
        </w:rPr>
        <w:t xml:space="preserve">rpb = (sp + txo) x (1 + vr)</w:t>
      </w:r>
      <w:r>
        <w:t xml:space="preserve">, with</w:t>
      </w:r>
      <w:r>
        <w:t xml:space="preserve"> </w:t>
      </w:r>
      <w:r>
        <w:rPr>
          <w:rStyle w:val="VerbatimChar"/>
        </w:rPr>
        <w:t xml:space="preserve">vr</w:t>
      </w:r>
      <w:r>
        <w:t xml:space="preserve"> </w:t>
      </w:r>
      <w:r>
        <w:t xml:space="preserve">the VAT rate of L (A11). For gasoline, diesel, LPG and kerosene</w:t>
      </w:r>
      <w:r>
        <w:t xml:space="preserve"> </w:t>
      </w:r>
      <w:r>
        <w:rPr>
          <w:rStyle w:val="VerbatimChar"/>
        </w:rPr>
        <w:t xml:space="preserve">vr</w:t>
      </w:r>
      <w:r>
        <w:t xml:space="preserve"> </w:t>
      </w:r>
      <w:r>
        <w:t xml:space="preserve">is the VAT rate x the household share of the product (sheet</w:t>
      </w:r>
      <w:r>
        <w:t xml:space="preserve"> </w:t>
      </w:r>
      <w:r>
        <w:rPr>
          <w:rStyle w:val="VerbatimChar"/>
        </w:rPr>
        <w:t xml:space="preserve">OilProductShares</w:t>
      </w:r>
      <w:r>
        <w:t xml:space="preserve">; Egypt: gasoline 1, diesel 0.03, LPG 0.99, kerosene 0.39), as legacy rows 797-816: VAT is charged on the household part only, firms reclaim it (v4.12, LD5; issue I39). Other oil products and the other fuels take the full rate, as legacy.</w:t>
      </w:r>
    </w:p>
    <w:p>
      <w:pPr>
        <w:pStyle w:val="BodyText"/>
      </w:pPr>
      <w:r>
        <w:t xml:space="preserve">By subsector:</w:t>
      </w:r>
      <w:r>
        <w:t xml:space="preserve"> </w:t>
      </w:r>
      <w:r>
        <w:rPr>
          <w:rStyle w:val="VerbatimChar"/>
        </w:rPr>
        <w:t xml:space="preserve">atp = max(rpb + (nce + xcpd) x (1 + vr), 0.01)</w:t>
      </w:r>
      <w:r>
        <w:t xml:space="preserve">. New policies (</w:t>
      </w:r>
      <w:r>
        <w:rPr>
          <w:rStyle w:val="VerbatimChar"/>
        </w:rPr>
        <w:t xml:space="preserve">nce</w:t>
      </w:r>
      <w:r>
        <w:t xml:space="preserve"> </w:t>
      </w:r>
      <w:r>
        <w:t xml:space="preserve">= new carbon tax + new ETS cost + new excise) are passed through in full and pay VAT (legacy</w:t>
      </w:r>
      <w:r>
        <w:t xml:space="preserve"> </w:t>
      </w:r>
      <w:r>
        <w:rPr>
          <w:rStyle w:val="VerbatimChar"/>
        </w:rPr>
        <w:t xml:space="preserve">vat = (sp + txo) x vr</w:t>
      </w:r>
      <w:r>
        <w:t xml:space="preserve"> </w:t>
      </w:r>
      <w:r>
        <w:t xml:space="preserve">with</w:t>
      </w:r>
      <w:r>
        <w:t xml:space="preserve"> </w:t>
      </w:r>
      <w:r>
        <w:rPr>
          <w:rStyle w:val="VerbatimChar"/>
        </w:rPr>
        <w:t xml:space="preserve">nce</w:t>
      </w:r>
      <w:r>
        <w:t xml:space="preserve"> </w:t>
      </w:r>
      <w:r>
        <w:t xml:space="preserve">inside</w:t>
      </w:r>
      <w:r>
        <w:t xml:space="preserve"> </w:t>
      </w:r>
      <w:r>
        <w:rPr>
          <w:rStyle w:val="VerbatimChar"/>
        </w:rPr>
        <w:t xml:space="preserve">txo</w:t>
      </w:r>
      <w:r>
        <w:t xml:space="preserve">);</w:t>
      </w:r>
      <w:r>
        <w:t xml:space="preserve"> </w:t>
      </w:r>
      <w:r>
        <w:rPr>
          <w:rStyle w:val="VerbatimChar"/>
        </w:rPr>
        <w:t xml:space="preserve">xcpd</w:t>
      </w:r>
      <w:r>
        <w:t xml:space="preserve"> </w:t>
      </w:r>
      <w:r>
        <w:t xml:space="preserve">is the change in existing carbon pricing (section 5b). The 0.01 floor is legacy’s.</w:t>
      </w:r>
    </w:p>
    <w:p>
      <w:pPr>
        <w:pStyle w:val="BodyText"/>
      </w:pPr>
      <w:r>
        <w:rPr>
          <w:bCs/>
          <w:b/>
        </w:rPr>
        <w:t xml:space="preserve">Residential LPG and kerosene always exempted</w:t>
      </w:r>
      <w:r>
        <w:t xml:space="preserve"> </w:t>
      </w:r>
      <w:r>
        <w:t xml:space="preserve">(ScenarioDefinition</w:t>
      </w:r>
      <w:r>
        <w:t xml:space="preserve"> </w:t>
      </w:r>
      <w:r>
        <w:rPr>
          <w:rStyle w:val="VerbatimChar"/>
        </w:rPr>
        <w:t xml:space="preserve">AlwaysExemptResLPGKer</w:t>
      </w:r>
      <w:r>
        <w:t xml:space="preserve">, row 268, by scenario; default No</w:t>
      </w:r>
      <w:r>
        <w:rPr>
          <w:iCs/>
          <w:i/>
        </w:rPr>
        <w:t xml:space="preserve">; legacy rows 5546-5547). If the switch starts with</w:t>
      </w:r>
      <w:r>
        <w:rPr>
          <w:iCs/>
          <w:i/>
        </w:rPr>
        <w:t xml:space="preserve"> </w:t>
      </w:r>
      <w:r>
        <w:rPr>
          <w:iCs/>
          <w:i/>
        </w:rPr>
        <w:t xml:space="preserve">“</w:t>
      </w:r>
      <w:r>
        <w:rPr>
          <w:iCs/>
          <w:i/>
        </w:rPr>
        <w:t xml:space="preserve">Yes</w:t>
      </w:r>
      <w:r>
        <w:rPr>
          <w:iCs/>
          <w:i/>
        </w:rPr>
        <w:t xml:space="preserve">”</w:t>
      </w:r>
      <w:r>
        <w:rPr>
          <w:iCs/>
          <w:i/>
        </w:rPr>
        <w:t xml:space="preserve"> </w:t>
      </w:r>
      <w:r>
        <w:rPr>
          <w:iCs/>
          <w:i/>
        </w:rPr>
        <w:t xml:space="preserve">(Yes or Yes</w:t>
      </w:r>
      <w:r>
        <w:t xml:space="preserve">), the new carbon tax, the new ETS cost and the new excise of the residential LPG and kerosene rows are 0: each is multiplied by the exemption factor of Section-1 rows</w:t>
      </w:r>
      <w:r>
        <w:t xml:space="preserve"> </w:t>
      </w:r>
      <w:r>
        <w:rPr>
          <w:rStyle w:val="VerbatimChar"/>
        </w:rPr>
        <w:t xml:space="preserve">exf</w:t>
      </w:r>
      <w:r>
        <w:t xml:space="preserve"> </w:t>
      </w:r>
      <w:r>
        <w:t xml:space="preserve">(</w:t>
      </w:r>
      <w:r>
        <w:rPr>
          <w:rStyle w:val="VerbatimChar"/>
        </w:rPr>
        <w:t xml:space="preserve">exf.all</w:t>
      </w:r>
      <w:r>
        <w:t xml:space="preserve"> </w:t>
      </w:r>
      <w:r>
        <w:t xml:space="preserve">= 1,</w:t>
      </w:r>
      <w:r>
        <w:t xml:space="preserve"> </w:t>
      </w:r>
      <w:r>
        <w:rPr>
          <w:rStyle w:val="VerbatimChar"/>
        </w:rPr>
        <w:t xml:space="preserve">exf.res</w:t>
      </w:r>
      <w:r>
        <w:t xml:space="preserve"> </w:t>
      </w:r>
      <w:r>
        <w:t xml:space="preserve">= 0 if Yes), at the row’s position in Inputs column</w:t>
      </w:r>
      <w:r>
        <w:t xml:space="preserve"> </w:t>
      </w:r>
      <w:r>
        <w:rPr>
          <w:rStyle w:val="VerbatimChar"/>
        </w:rPr>
        <w:t xml:space="preserve">exg</w:t>
      </w:r>
      <w:r>
        <w:t xml:space="preserve"> </w:t>
      </w:r>
      <w:r>
        <w:t xml:space="preserve">(2 for residential LPG and kerosene, 1 elsewhere). Their</w:t>
      </w:r>
      <w:r>
        <w:t xml:space="preserve"> </w:t>
      </w:r>
      <w:r>
        <w:rPr>
          <w:rStyle w:val="VerbatimChar"/>
        </w:rPr>
        <w:t xml:space="preserve">nce</w:t>
      </w:r>
      <w:r>
        <w:t xml:space="preserve"> </w:t>
      </w:r>
      <w:r>
        <w:t xml:space="preserve">is then 0, so</w:t>
      </w:r>
      <w:r>
        <w:t xml:space="preserve"> </w:t>
      </w:r>
      <w:r>
        <w:rPr>
          <w:rStyle w:val="VerbatimChar"/>
        </w:rPr>
        <w:t xml:space="preserve">atp = max(rpb + (xcpd + csw + pcw) x (1 + vr), 0.01)</w:t>
      </w:r>
      <w:r>
        <w:t xml:space="preserve">: no new policy and no VAT on it, while existing taxes, the change in existing carbon pricing and the subsidy phase-outs stay, as legacy (row 2651, the price before new policies). The shadow price</w:t>
      </w:r>
      <w:r>
        <w:t xml:space="preserve"> </w:t>
      </w:r>
      <w:r>
        <w:rPr>
          <w:rStyle w:val="VerbatimChar"/>
        </w:rPr>
        <w:t xml:space="preserve">shp</w:t>
      </w:r>
      <w:r>
        <w:t xml:space="preserve"> </w:t>
      </w:r>
      <w:r>
        <w:t xml:space="preserve">is not exempted, as legacy. The new-policy revenue of these rows (</w:t>
      </w:r>
      <w:r>
        <w:rPr>
          <w:rStyle w:val="VerbatimChar"/>
        </w:rPr>
        <w:t xml:space="preserve">rnew</w:t>
      </w:r>
      <w:r>
        <w:t xml:space="preserve">, the excise revenue</w:t>
      </w:r>
      <w:r>
        <w:t xml:space="preserve"> </w:t>
      </w:r>
      <w:r>
        <w:rPr>
          <w:rStyle w:val="VerbatimChar"/>
        </w:rPr>
        <w:t xml:space="preserve">rex</w:t>
      </w:r>
      <w:r>
        <w:t xml:space="preserve"> </w:t>
      </w:r>
      <w:r>
        <w:t xml:space="preserve">and the VAT on the new policies in</w:t>
      </w:r>
      <w:r>
        <w:t xml:space="preserve"> </w:t>
      </w:r>
      <w:r>
        <w:rPr>
          <w:rStyle w:val="VerbatimChar"/>
        </w:rPr>
        <w:t xml:space="preserve">rvt</w:t>
      </w:r>
      <w:r>
        <w:t xml:space="preserve">) is 0 with the price. ETS-covered emissions still count them where the residential sector is in an ETS. The residential leakage to biomass reads the row’s own</w:t>
      </w:r>
      <w:r>
        <w:t xml:space="preserve"> </w:t>
      </w:r>
      <w:r>
        <w:rPr>
          <w:rStyle w:val="VerbatimChar"/>
        </w:rPr>
        <w:t xml:space="preserve">nce</w:t>
      </w:r>
      <w:r>
        <w:t xml:space="preserve">, so an exempt fuel does not leak (</w:t>
      </w:r>
      <w:r>
        <w:rPr>
          <w:rStyle w:val="VerbatimChar"/>
        </w:rPr>
        <w:t xml:space="preserve">Equations_v7_0.md</w:t>
      </w:r>
      <w:r>
        <w:t xml:space="preserve"> </w:t>
      </w:r>
      <w:r>
        <w:t xml:space="preserve">4a).</w:t>
      </w:r>
    </w:p>
    <w:bookmarkStart w:id="47" w:name="X7e8299a3961d2896c8f7b1c87de09833b672779"/>
    <w:p>
      <w:pPr>
        <w:pStyle w:val="Heading4"/>
      </w:pPr>
      <w:r>
        <w:t xml:space="preserve">Layout of a price block and the price incl. new policies by block</w:t>
      </w:r>
    </w:p>
    <w:p>
      <w:pPr>
        <w:pStyle w:val="FirstParagraph"/>
      </w:pPr>
      <w:r>
        <w:t xml:space="preserve">Each fuel | sector block of section 2 reads: settings (italic: parameter row, international reference price</w:t>
      </w:r>
      <w:r>
        <w:t xml:space="preserve"> </w:t>
      </w:r>
      <w:r>
        <w:rPr>
          <w:rStyle w:val="VerbatimChar"/>
        </w:rPr>
        <w:t xml:space="preserve">gpi</w:t>
      </w:r>
      <w:r>
        <w:t xml:space="preserve">, fixed supply cost</w:t>
      </w:r>
      <w:r>
        <w:t xml:space="preserve"> </w:t>
      </w:r>
      <w:r>
        <w:rPr>
          <w:rStyle w:val="VerbatimChar"/>
        </w:rPr>
        <w:t xml:space="preserve">spf</w:t>
      </w:r>
      <w:r>
        <w:t xml:space="preserve">, existing subsidy per price unit</w:t>
      </w:r>
      <w:r>
        <w:t xml:space="preserve"> </w:t>
      </w:r>
      <w:r>
        <w:rPr>
          <w:rStyle w:val="VerbatimChar"/>
        </w:rPr>
        <w:t xml:space="preserve">esubpu</w:t>
      </w:r>
      <w:r>
        <w:t xml:space="preserve">); the</w:t>
      </w:r>
      <w:r>
        <w:t xml:space="preserve"> </w:t>
      </w:r>
      <w:r>
        <w:rPr>
          <w:bCs/>
          <w:b/>
        </w:rPr>
        <w:t xml:space="preserve">full retail price</w:t>
      </w:r>
      <w:r>
        <w:rPr>
          <w:bCs/>
          <w:b/>
        </w:rPr>
        <w:t xml:space="preserve"> </w:t>
      </w:r>
      <w:r>
        <w:rPr>
          <w:rStyle w:val="VerbatimChar"/>
          <w:bCs/>
          <w:b/>
        </w:rPr>
        <w:t xml:space="preserve">rpn</w:t>
      </w:r>
      <w:r>
        <w:t xml:space="preserve"> </w:t>
      </w:r>
      <w:r>
        <w:t xml:space="preserve">(bold); the build-up</w:t>
      </w:r>
      <w:r>
        <w:t xml:space="preserve"> </w:t>
      </w:r>
      <w:r>
        <w:rPr>
          <w:rStyle w:val="VerbatimChar"/>
        </w:rPr>
        <w:t xml:space="preserve">sp</w:t>
      </w:r>
      <w:r>
        <w:t xml:space="preserve">,</w:t>
      </w:r>
      <w:r>
        <w:t xml:space="preserve"> </w:t>
      </w:r>
      <w:r>
        <w:rPr>
          <w:rStyle w:val="VerbatimChar"/>
        </w:rPr>
        <w:t xml:space="preserve">txf</w:t>
      </w:r>
      <w:r>
        <w:t xml:space="preserve">,</w:t>
      </w:r>
      <w:r>
        <w:t xml:space="preserve"> </w:t>
      </w:r>
      <w:r>
        <w:rPr>
          <w:rStyle w:val="VerbatimChar"/>
        </w:rPr>
        <w:t xml:space="preserve">txo</w:t>
      </w:r>
      <w:r>
        <w:t xml:space="preserve">,</w:t>
      </w:r>
      <w:r>
        <w:t xml:space="preserve"> </w:t>
      </w:r>
      <w:r>
        <w:rPr>
          <w:rStyle w:val="VerbatimChar"/>
        </w:rPr>
        <w:t xml:space="preserve">etx</w:t>
      </w:r>
      <w:r>
        <w:t xml:space="preserve">,</w:t>
      </w:r>
      <w:r>
        <w:t xml:space="preserve"> </w:t>
      </w:r>
      <w:r>
        <w:rPr>
          <w:rStyle w:val="VerbatimChar"/>
        </w:rPr>
        <w:t xml:space="preserve">esub</w:t>
      </w:r>
      <w:r>
        <w:t xml:space="preserve">,</w:t>
      </w:r>
      <w:r>
        <w:t xml:space="preserve"> </w:t>
      </w:r>
      <w:r>
        <w:rPr>
          <w:rStyle w:val="VerbatimChar"/>
        </w:rPr>
        <w:t xml:space="preserve">vat</w:t>
      </w:r>
      <w:r>
        <w:t xml:space="preserve"> </w:t>
      </w:r>
      <w:r>
        <w:t xml:space="preserve">ending with</w:t>
      </w:r>
      <w:r>
        <w:t xml:space="preserve"> </w:t>
      </w:r>
      <w:r>
        <w:rPr>
          <w:rStyle w:val="VerbatimChar"/>
        </w:rPr>
        <w:t xml:space="preserve">rpb</w:t>
      </w:r>
      <w:r>
        <w:t xml:space="preserve">; then the new taxes and subsidies.</w:t>
      </w:r>
    </w:p>
    <w:p>
      <w:pPr>
        <w:pStyle w:val="BodyText"/>
      </w:pPr>
      <w:r>
        <w:t xml:space="preserve">New policies act by subsector (sections 5-8). The block shows them as averages over the subsectors priced by the block (the</w:t>
      </w:r>
      <w:r>
        <w:t xml:space="preserve"> </w:t>
      </w:r>
      <w:r>
        <w:rPr>
          <w:rStyle w:val="VerbatimChar"/>
        </w:rPr>
        <w:t xml:space="preserve">atp</w:t>
      </w:r>
      <w:r>
        <w:t xml:space="preserve"> </w:t>
      </w:r>
      <w:r>
        <w:t xml:space="preserve">rows whose D is the block position), weighted by their fuel use</w:t>
      </w:r>
      <w:r>
        <w:t xml:space="preserve"> </w:t>
      </w:r>
      <w:r>
        <w:rPr>
          <w:rStyle w:val="VerbatimChar"/>
        </w:rPr>
        <w:t xml:space="preserve">ener</w:t>
      </w:r>
      <w:r>
        <w:t xml:space="preserve">:</w:t>
      </w:r>
    </w:p>
    <w:p>
      <w:pPr>
        <w:numPr>
          <w:ilvl w:val="0"/>
          <w:numId w:val="1018"/>
        </w:numPr>
        <w:pStyle w:val="Compact"/>
      </w:pPr>
      <w:r>
        <w:rPr>
          <w:rStyle w:val="VerbatimChar"/>
        </w:rPr>
        <w:t xml:space="preserve">pnq = sum of ener</w:t>
      </w:r>
      <w:r>
        <w:t xml:space="preserve"> </w:t>
      </w:r>
      <w:r>
        <w:t xml:space="preserve">over those subsectors (ktoe);</w:t>
      </w:r>
    </w:p>
    <w:p>
      <w:pPr>
        <w:numPr>
          <w:ilvl w:val="0"/>
          <w:numId w:val="1018"/>
        </w:numPr>
        <w:pStyle w:val="Compact"/>
      </w:pPr>
      <w:r>
        <w:rPr>
          <w:rStyle w:val="VerbatimChar"/>
        </w:rPr>
        <w:t xml:space="preserve">pctx</w:t>
      </w:r>
      <w:r>
        <w:t xml:space="preserve">,</w:t>
      </w:r>
      <w:r>
        <w:t xml:space="preserve"> </w:t>
      </w:r>
      <w:r>
        <w:rPr>
          <w:rStyle w:val="VerbatimChar"/>
        </w:rPr>
        <w:t xml:space="preserve">pets</w:t>
      </w:r>
      <w:r>
        <w:t xml:space="preserve">,</w:t>
      </w:r>
      <w:r>
        <w:t xml:space="preserve"> </w:t>
      </w:r>
      <w:r>
        <w:rPr>
          <w:rStyle w:val="VerbatimChar"/>
        </w:rPr>
        <w:t xml:space="preserve">pntx</w:t>
      </w:r>
      <w:r>
        <w:t xml:space="preserve">,</w:t>
      </w:r>
      <w:r>
        <w:t xml:space="preserve"> </w:t>
      </w:r>
      <w:r>
        <w:rPr>
          <w:rStyle w:val="VerbatimChar"/>
        </w:rPr>
        <w:t xml:space="preserve">pxcd</w:t>
      </w:r>
      <w:r>
        <w:t xml:space="preserve"> </w:t>
      </w:r>
      <w:r>
        <w:t xml:space="preserve">= fuel-use weighted averages of</w:t>
      </w:r>
      <w:r>
        <w:t xml:space="preserve"> </w:t>
      </w:r>
      <w:r>
        <w:rPr>
          <w:rStyle w:val="VerbatimChar"/>
        </w:rPr>
        <w:t xml:space="preserve">ctxnew</w:t>
      </w:r>
      <w:r>
        <w:t xml:space="preserve">,</w:t>
      </w:r>
      <w:r>
        <w:t xml:space="preserve"> </w:t>
      </w:r>
      <w:r>
        <w:rPr>
          <w:rStyle w:val="VerbatimChar"/>
        </w:rPr>
        <w:t xml:space="preserve">ets</w:t>
      </w:r>
      <w:r>
        <w:t xml:space="preserve">,</w:t>
      </w:r>
      <w:r>
        <w:t xml:space="preserve"> </w:t>
      </w:r>
      <w:r>
        <w:rPr>
          <w:rStyle w:val="VerbatimChar"/>
        </w:rPr>
        <w:t xml:space="preserve">ntx</w:t>
      </w:r>
      <w:r>
        <w:t xml:space="preserve">,</w:t>
      </w:r>
      <w:r>
        <w:t xml:space="preserve"> </w:t>
      </w:r>
      <w:r>
        <w:rPr>
          <w:rStyle w:val="VerbatimChar"/>
        </w:rPr>
        <w:t xml:space="preserve">xcpd</w:t>
      </w:r>
      <w:r>
        <w:t xml:space="preserve">;</w:t>
      </w:r>
    </w:p>
    <w:p>
      <w:pPr>
        <w:numPr>
          <w:ilvl w:val="0"/>
          <w:numId w:val="1018"/>
        </w:numPr>
        <w:pStyle w:val="Compact"/>
      </w:pPr>
      <w:r>
        <w:rPr>
          <w:rStyle w:val="VerbatimChar"/>
        </w:rPr>
        <w:t xml:space="preserve">rpn = sum(atp x ener) / pnq</w:t>
      </w:r>
      <w:r>
        <w:t xml:space="preserve"> </w:t>
      </w:r>
      <w:r>
        <w:t xml:space="preserve">(</w:t>
      </w:r>
      <w:r>
        <w:rPr>
          <w:rStyle w:val="VerbatimChar"/>
        </w:rPr>
        <w:t xml:space="preserve">rpb</w:t>
      </w:r>
      <w:r>
        <w:t xml:space="preserve"> </w:t>
      </w:r>
      <w:r>
        <w:t xml:space="preserve">where</w:t>
      </w:r>
      <w:r>
        <w:t xml:space="preserve"> </w:t>
      </w:r>
      <w:r>
        <w:rPr>
          <w:rStyle w:val="VerbatimChar"/>
        </w:rPr>
        <w:t xml:space="preserve">pnq = 0</w:t>
      </w:r>
      <w:r>
        <w:t xml:space="preserve">);</w:t>
      </w:r>
    </w:p>
    <w:p>
      <w:pPr>
        <w:numPr>
          <w:ilvl w:val="0"/>
          <w:numId w:val="1018"/>
        </w:numPr>
        <w:pStyle w:val="Compact"/>
      </w:pPr>
      <w:r>
        <w:rPr>
          <w:rStyle w:val="VerbatimChar"/>
        </w:rPr>
        <w:t xml:space="preserve">pnce = rpn - rpb</w:t>
      </w:r>
      <w:r>
        <w:t xml:space="preserve">, the total new policy;</w:t>
      </w:r>
      <w:r>
        <w:t xml:space="preserve"> </w:t>
      </w:r>
      <w:r>
        <w:rPr>
          <w:rStyle w:val="VerbatimChar"/>
        </w:rPr>
        <w:t xml:space="preserve">pvatn = pnce - (pctx + pets + pntx + pxcd)</w:t>
      </w:r>
      <w:r>
        <w:t xml:space="preserve">, the VAT on the new policies (and the 0.01 floor).</w:t>
      </w:r>
    </w:p>
    <w:p>
      <w:pPr>
        <w:pStyle w:val="FirstParagraph"/>
      </w:pPr>
      <w:r>
        <w:t xml:space="preserve">These are weighted averages with each scenario’s own quantities, not price indices; price changes between scenarios are the indices of section 7.</w:t>
      </w:r>
    </w:p>
    <w:bookmarkEnd w:id="47"/>
    <w:bookmarkEnd w:id="48"/>
    <w:bookmarkStart w:id="49" w:name="b.-existing-carbon-pricing"/>
    <w:p>
      <w:pPr>
        <w:pStyle w:val="Heading3"/>
      </w:pPr>
      <w:r>
        <w:t xml:space="preserve">5b. Existing carbon pricing</w:t>
      </w:r>
    </w:p>
    <w:p>
      <w:pPr>
        <w:pStyle w:val="FirstParagraph"/>
      </w:pPr>
      <w:r>
        <w:t xml:space="preserve">Legacy CPAT adds existing carbon taxes and ETS from its sheet</w:t>
      </w:r>
      <w:r>
        <w:t xml:space="preserve"> </w:t>
      </w:r>
      <w:r>
        <w:rPr>
          <w:rStyle w:val="VerbatimChar"/>
        </w:rPr>
        <w:t xml:space="preserve">ECP</w:t>
      </w:r>
      <w:r>
        <w:t xml:space="preserve"> </w:t>
      </w:r>
      <w:r>
        <w:t xml:space="preserve">(WB Carbon Pricing Dashboard, ICAP; as of 1 April 2025) as parts of</w:t>
      </w:r>
      <w:r>
        <w:t xml:space="preserve"> </w:t>
      </w:r>
      <w:r>
        <w:rPr>
          <w:rStyle w:val="VerbatimChar"/>
        </w:rPr>
        <w:t xml:space="preserve">txo</w:t>
      </w:r>
      <w:r>
        <w:t xml:space="preserve"> </w:t>
      </w:r>
      <w:r>
        <w:t xml:space="preserve">(Mitigation rows 1675-1764). Since v4.12 the MVP follows legacy with several schemes (user decision 2026-10-18; was issue I7), with legacy bugs L61-L65 fixed. It differs in how the level enters: the IMF retail prices already contain whatever existing carbon pricing a country had, so only the change against that level enters (below); legacy subtracts the same level from the fixed part of</w:t>
      </w:r>
      <w:r>
        <w:t xml:space="preserve"> </w:t>
      </w:r>
      <w:r>
        <w:rPr>
          <w:rStyle w:val="VerbatimChar"/>
        </w:rPr>
        <w:t xml:space="preserve">txo</w:t>
      </w:r>
      <w:r>
        <w:t xml:space="preserve">, which gives the same numbers.</w:t>
      </w:r>
    </w:p>
    <w:p>
      <w:pPr>
        <w:numPr>
          <w:ilvl w:val="0"/>
          <w:numId w:val="1019"/>
        </w:numPr>
        <w:pStyle w:val="Compact"/>
      </w:pPr>
      <w:r>
        <w:rPr>
          <w:bCs/>
          <w:b/>
        </w:rPr>
        <w:t xml:space="preserve">Data</w:t>
      </w:r>
      <w:r>
        <w:t xml:space="preserve"> </w:t>
      </w:r>
      <w:r>
        <w:t xml:space="preserve">(sheet</w:t>
      </w:r>
      <w:r>
        <w:t xml:space="preserve"> </w:t>
      </w:r>
      <w:r>
        <w:rPr>
          <w:rStyle w:val="VerbatimChar"/>
        </w:rPr>
        <w:t xml:space="preserve">ECP</w:t>
      </w:r>
      <w:r>
        <w:t xml:space="preserve"> </w:t>
      </w:r>
      <w:r>
        <w:t xml:space="preserve">at its legacy addresses, 52 countries; Egypt has none). Each code is looked up in its own legacy block (sheet</w:t>
      </w:r>
      <w:r>
        <w:t xml:space="preserve"> </w:t>
      </w:r>
      <w:r>
        <w:rPr>
          <w:rStyle w:val="VerbatimChar"/>
        </w:rPr>
        <w:t xml:space="preserve">Inputs_ecp</w:t>
      </w:r>
      <w:r>
        <w:t xml:space="preserve">, columns K:L give the block’s first and last row):</w:t>
      </w:r>
    </w:p>
    <w:p>
      <w:pPr>
        <w:numPr>
          <w:ilvl w:val="1"/>
          <w:numId w:val="1020"/>
        </w:numPr>
        <w:pStyle w:val="Compact"/>
      </w:pPr>
      <w:r>
        <w:t xml:space="preserve">carbon tax: single rate</w:t>
      </w:r>
      <w:r>
        <w:t xml:space="preserve"> </w:t>
      </w:r>
      <w:r>
        <w:rPr>
          <w:rStyle w:val="VerbatimChar"/>
        </w:rPr>
        <w:t xml:space="preserve">ecr.all</w:t>
      </w:r>
      <w:r>
        <w:t xml:space="preserve">, fuel rates</w:t>
      </w:r>
      <w:r>
        <w:t xml:space="preserve"> </w:t>
      </w:r>
      <w:r>
        <w:rPr>
          <w:rStyle w:val="VerbatimChar"/>
        </w:rPr>
        <w:t xml:space="preserve">ecr.&lt;fuel&gt;</w:t>
      </w:r>
      <w:r>
        <w:t xml:space="preserve">, sector coverage</w:t>
      </w:r>
      <w:r>
        <w:t xml:space="preserve"> </w:t>
      </w:r>
      <w:r>
        <w:rPr>
          <w:rStyle w:val="VerbatimChar"/>
        </w:rPr>
        <w:t xml:space="preserve">ecs.&lt;sector&gt;</w:t>
      </w:r>
      <w:r>
        <w:t xml:space="preserve">, fuel coverage</w:t>
      </w:r>
      <w:r>
        <w:t xml:space="preserve"> </w:t>
      </w:r>
      <w:r>
        <w:rPr>
          <w:rStyle w:val="VerbatimChar"/>
        </w:rPr>
        <w:t xml:space="preserve">ecf.&lt;fuel&gt;</w:t>
      </w:r>
      <w:r>
        <w:t xml:space="preserve"> </w:t>
      </w:r>
      <w:r>
        <w:t xml:space="preserve">(rows 69-559);</w:t>
      </w:r>
    </w:p>
    <w:p>
      <w:pPr>
        <w:numPr>
          <w:ilvl w:val="1"/>
          <w:numId w:val="1020"/>
        </w:numPr>
        <w:pStyle w:val="Compact"/>
      </w:pPr>
      <w:r>
        <w:t xml:space="preserve">national ETS: price</w:t>
      </w:r>
      <w:r>
        <w:t xml:space="preserve"> </w:t>
      </w:r>
      <w:r>
        <w:rPr>
          <w:rStyle w:val="VerbatimChar"/>
        </w:rPr>
        <w:t xml:space="preserve">eer.all</w:t>
      </w:r>
      <w:r>
        <w:t xml:space="preserve">, coverage</w:t>
      </w:r>
      <w:r>
        <w:t xml:space="preserve"> </w:t>
      </w:r>
      <w:r>
        <w:rPr>
          <w:rStyle w:val="VerbatimChar"/>
        </w:rPr>
        <w:t xml:space="preserve">ees</w:t>
      </w:r>
      <w:r>
        <w:t xml:space="preserve">,</w:t>
      </w:r>
      <w:r>
        <w:t xml:space="preserve"> </w:t>
      </w:r>
      <w:r>
        <w:rPr>
          <w:rStyle w:val="VerbatimChar"/>
        </w:rPr>
        <w:t xml:space="preserve">eef</w:t>
      </w:r>
      <w:r>
        <w:t xml:space="preserve"> </w:t>
      </w:r>
      <w:r>
        <w:t xml:space="preserve">(rows 600-615, 619-737, 1040-1093);</w:t>
      </w:r>
    </w:p>
    <w:p>
      <w:pPr>
        <w:numPr>
          <w:ilvl w:val="1"/>
          <w:numId w:val="1020"/>
        </w:numPr>
        <w:pStyle w:val="Compact"/>
      </w:pPr>
      <w:r>
        <w:t xml:space="preserve">regional EU ETS: the EU price (row 616) and the country’s regional coverage (rows 738-1036, 1094-1223), where the country’s</w:t>
      </w:r>
      <w:r>
        <w:t xml:space="preserve"> </w:t>
      </w:r>
      <w:r>
        <w:t xml:space="preserve">“</w:t>
      </w:r>
      <w:r>
        <w:t xml:space="preserve">EU ETS?</w:t>
      </w:r>
      <w:r>
        <w:t xml:space="preserve">”</w:t>
      </w:r>
      <w:r>
        <w:t xml:space="preserve"> </w:t>
      </w:r>
      <w:r>
        <w:t xml:space="preserve">flag (general information, column K) is Yes or Both (legacy row 1695).</w:t>
      </w:r>
    </w:p>
    <w:p>
      <w:pPr>
        <w:numPr>
          <w:ilvl w:val="0"/>
          <w:numId w:val="1019"/>
        </w:numPr>
        <w:pStyle w:val="Compact"/>
      </w:pPr>
      <w:r>
        <w:rPr>
          <w:bCs/>
          <w:b/>
        </w:rPr>
        <w:t xml:space="preserve">Prices</w:t>
      </w:r>
      <w:r>
        <w:t xml:space="preserve"> </w:t>
      </w:r>
      <w:r>
        <w:t xml:space="preserve">in real USD of ResultsYear (nominal x CPI index).</w:t>
      </w:r>
      <w:r>
        <w:t xml:space="preserve"> </w:t>
      </w:r>
      <w:r>
        <w:rPr>
          <w:bCs/>
          <w:b/>
        </w:rPr>
        <w:t xml:space="preserve">Coverage</w:t>
      </w:r>
      <w:r>
        <w:t xml:space="preserve"> </w:t>
      </w:r>
      <w:r>
        <w:t xml:space="preserve">of each data year (2021-2025; blank = 0, as legacy), the last data year after.</w:t>
      </w:r>
    </w:p>
    <w:p>
      <w:pPr>
        <w:numPr>
          <w:ilvl w:val="0"/>
          <w:numId w:val="1019"/>
        </w:numPr>
        <w:pStyle w:val="Compact"/>
      </w:pPr>
      <w:r>
        <w:rPr>
          <w:bCs/>
          <w:b/>
        </w:rPr>
        <w:t xml:space="preserve">Carbon tax rate by fuel</w:t>
      </w:r>
      <w:r>
        <w:t xml:space="preserve"> </w:t>
      </w:r>
      <w:r>
        <w:t xml:space="preserve">(legacy rows 1752-1764): the fuel rate where the country has one and no</w:t>
      </w:r>
      <w:r>
        <w:t xml:space="preserve"> </w:t>
      </w:r>
      <w:r>
        <w:t xml:space="preserve">“</w:t>
      </w:r>
      <w:r>
        <w:t xml:space="preserve">single price</w:t>
      </w:r>
      <w:r>
        <w:t xml:space="preserve">”</w:t>
      </w:r>
      <w:r>
        <w:t xml:space="preserve"> </w:t>
      </w:r>
      <w:r>
        <w:t xml:space="preserve">flag (general information, column E), else the single rate.</w:t>
      </w:r>
    </w:p>
    <w:p>
      <w:pPr>
        <w:numPr>
          <w:ilvl w:val="0"/>
          <w:numId w:val="1019"/>
        </w:numPr>
        <w:pStyle w:val="Compact"/>
      </w:pPr>
      <w:r>
        <w:rPr>
          <w:bCs/>
          <w:b/>
        </w:rPr>
        <w:t xml:space="preserve">Sector of a price</w:t>
      </w:r>
      <w:r>
        <w:t xml:space="preserve">: the ECP sector of the price fuel, as legacy: coal and gas by their price sector (power, residential, industry); oil products, biomass and jet fuel transport; other oil products industry (power: power).</w:t>
      </w:r>
    </w:p>
    <w:p>
      <w:pPr>
        <w:numPr>
          <w:ilvl w:val="0"/>
          <w:numId w:val="1019"/>
        </w:numPr>
        <w:pStyle w:val="Compact"/>
      </w:pPr>
      <w:r>
        <w:rPr>
          <w:bCs/>
          <w:b/>
        </w:rPr>
        <w:t xml:space="preserve">Tables</w:t>
      </w:r>
      <w:r>
        <w:t xml:space="preserve"> </w:t>
      </w:r>
      <w:r>
        <w:t xml:space="preserve">(sheet</w:t>
      </w:r>
      <w:r>
        <w:t xml:space="preserve"> </w:t>
      </w:r>
      <w:r>
        <w:rPr>
          <w:rStyle w:val="VerbatimChar"/>
        </w:rPr>
        <w:t xml:space="preserve">Inputs_ecp</w:t>
      </w:r>
      <w:r>
        <w:t xml:space="preserve">), by ECP sector | fuel and data year, $/tCO2: carbon tax = rate x sector coverage x fuel coverage; ETS = national price x its coverage + EU price x the regional coverage (the two schemes add up, as legacy).</w:t>
      </w:r>
    </w:p>
    <w:p>
      <w:pPr>
        <w:numPr>
          <w:ilvl w:val="0"/>
          <w:numId w:val="1019"/>
        </w:numPr>
        <w:pStyle w:val="Compact"/>
      </w:pPr>
      <w:r>
        <w:rPr>
          <w:bCs/>
          <w:b/>
        </w:rPr>
        <w:t xml:space="preserve">Scenario factors</w:t>
      </w:r>
      <w:r>
        <w:t xml:space="preserve"> </w:t>
      </w:r>
      <w:r>
        <w:t xml:space="preserve">(section 1, ScenarioDefinition):</w:t>
      </w:r>
      <w:r>
        <w:t xml:space="preserve"> </w:t>
      </w:r>
      <w:r>
        <w:rPr>
          <w:rStyle w:val="VerbatimChar"/>
        </w:rPr>
        <w:t xml:space="preserve">xct.p</w:t>
      </w:r>
      <w:r>
        <w:t xml:space="preserve"> </w:t>
      </w:r>
      <w:r>
        <w:t xml:space="preserve">= 1 if</w:t>
      </w:r>
      <w:r>
        <w:t xml:space="preserve"> </w:t>
      </w:r>
      <w:r>
        <w:rPr>
          <w:rStyle w:val="VerbatimChar"/>
        </w:rPr>
        <w:t xml:space="preserve">ExistingCTApply</w:t>
      </w:r>
      <w:r>
        <w:t xml:space="preserve"> </w:t>
      </w:r>
      <w:r>
        <w:t xml:space="preserve">= Yes, x (1 +</w:t>
      </w:r>
      <w:r>
        <w:t xml:space="preserve"> </w:t>
      </w:r>
      <w:r>
        <w:rPr>
          <w:rStyle w:val="VerbatimChar"/>
        </w:rPr>
        <w:t xml:space="preserve">ExistingCTGrowth</w:t>
      </w:r>
      <w:r>
        <w:t xml:space="preserve">)^(years after the last data year), else 0;</w:t>
      </w:r>
      <w:r>
        <w:t xml:space="preserve"> </w:t>
      </w:r>
      <w:r>
        <w:rPr>
          <w:rStyle w:val="VerbatimChar"/>
        </w:rPr>
        <w:t xml:space="preserve">xets.p</w:t>
      </w:r>
      <w:r>
        <w:t xml:space="preserve"> </w:t>
      </w:r>
      <w:r>
        <w:t xml:space="preserve">the same with</w:t>
      </w:r>
      <w:r>
        <w:t xml:space="preserve"> </w:t>
      </w:r>
      <w:r>
        <w:rPr>
          <w:rStyle w:val="VerbatimChar"/>
        </w:rPr>
        <w:t xml:space="preserve">ExistingETSApply</w:t>
      </w:r>
      <w:r>
        <w:t xml:space="preserve">,</w:t>
      </w:r>
      <w:r>
        <w:t xml:space="preserve"> </w:t>
      </w:r>
      <w:r>
        <w:rPr>
          <w:rStyle w:val="VerbatimChar"/>
        </w:rPr>
        <w:t xml:space="preserve">ExistingETSGrowth</w:t>
      </w:r>
      <w:r>
        <w:t xml:space="preserve"> </w:t>
      </w:r>
      <w:r>
        <w:t xml:space="preserve">(legacy grows the EU ETS with the carbon-tax growth: bug L61).</w:t>
      </w:r>
      <w:r>
        <w:t xml:space="preserve"> </w:t>
      </w:r>
      <w:r>
        <w:rPr>
          <w:rStyle w:val="VerbatimChar"/>
        </w:rPr>
        <w:t xml:space="preserve">xct.c</w:t>
      </w:r>
      <w:r>
        <w:t xml:space="preserve"> </w:t>
      </w:r>
      <w:r>
        <w:t xml:space="preserve">is the data column of the year.</w:t>
      </w:r>
    </w:p>
    <w:p>
      <w:pPr>
        <w:numPr>
          <w:ilvl w:val="0"/>
          <w:numId w:val="1019"/>
        </w:numPr>
        <w:pStyle w:val="Compact"/>
      </w:pPr>
      <w:r>
        <w:rPr>
          <w:bCs/>
          <w:b/>
        </w:rPr>
        <w:t xml:space="preserve">Per subsector and fuel</w:t>
      </w:r>
      <w:r>
        <w:t xml:space="preserve">: level</w:t>
      </w:r>
      <w:r>
        <w:t xml:space="preserve"> </w:t>
      </w:r>
      <w:r>
        <w:rPr>
          <w:rStyle w:val="VerbatimChar"/>
        </w:rPr>
        <w:t xml:space="preserve">xcp</w:t>
      </w:r>
      <w:r>
        <w:t xml:space="preserve"> </w:t>
      </w:r>
      <w:r>
        <w:t xml:space="preserve">= EF x (carbon tax x</w:t>
      </w:r>
      <w:r>
        <w:t xml:space="preserve"> </w:t>
      </w:r>
      <w:r>
        <w:rPr>
          <w:rStyle w:val="VerbatimChar"/>
        </w:rPr>
        <w:t xml:space="preserve">xct.p</w:t>
      </w:r>
      <w:r>
        <w:t xml:space="preserve"> </w:t>
      </w:r>
      <w:r>
        <w:t xml:space="preserve">+ ETS x</w:t>
      </w:r>
      <w:r>
        <w:t xml:space="preserve"> </w:t>
      </w:r>
      <w:r>
        <w:rPr>
          <w:rStyle w:val="VerbatimChar"/>
        </w:rPr>
        <w:t xml:space="preserve">xets.p</w:t>
      </w:r>
      <w:r>
        <w:t xml:space="preserve">) ($/GJ); change</w:t>
      </w:r>
      <w:r>
        <w:t xml:space="preserve"> </w:t>
      </w:r>
      <w:r>
        <w:rPr>
          <w:rStyle w:val="VerbatimChar"/>
        </w:rPr>
        <w:t xml:space="preserve">xcpd</w:t>
      </w:r>
      <w:r>
        <w:t xml:space="preserve"> </w:t>
      </w:r>
      <w:r>
        <w:t xml:space="preserve">= the level minus the level embedded in the price data (</w:t>
      </w:r>
      <w:r>
        <w:rPr>
          <w:rStyle w:val="VerbatimChar"/>
        </w:rPr>
        <w:t xml:space="preserve">xcp0</w:t>
      </w:r>
      <w:r>
        <w:t xml:space="preserve">, Inputs: the tables in the last historical price year L). Only the change enters the after-tax price, so a country’s history is not counted twice: switching a scheme off lowers the price by its embedded level; growth or new data raise it.</w:t>
      </w:r>
    </w:p>
    <w:p>
      <w:pPr>
        <w:numPr>
          <w:ilvl w:val="0"/>
          <w:numId w:val="1019"/>
        </w:numPr>
        <w:pStyle w:val="Compact"/>
      </w:pPr>
      <w:r>
        <w:rPr>
          <w:bCs/>
          <w:b/>
        </w:rPr>
        <w:t xml:space="preserve">Power</w:t>
      </w:r>
      <w:r>
        <w:t xml:space="preserve">: the same change per kWh (row pow | fuel of the tables) is part of the variable cost before new policies, so dispatch, investment and electricity prices respond.</w:t>
      </w:r>
    </w:p>
    <w:p>
      <w:pPr>
        <w:numPr>
          <w:ilvl w:val="0"/>
          <w:numId w:val="1019"/>
        </w:numPr>
        <w:pStyle w:val="Compact"/>
      </w:pPr>
      <w:r>
        <w:rPr>
          <w:bCs/>
          <w:b/>
        </w:rPr>
        <w:t xml:space="preserve">New carbon tax</w:t>
      </w:r>
      <w:r>
        <w:t xml:space="preserve">: if</w:t>
      </w:r>
      <w:r>
        <w:t xml:space="preserve"> </w:t>
      </w:r>
      <w:r>
        <w:rPr>
          <w:rStyle w:val="VerbatimChar"/>
        </w:rPr>
        <w:t xml:space="preserve">CTaxComplimentaryToETS</w:t>
      </w:r>
      <w:r>
        <w:t xml:space="preserve"> </w:t>
      </w:r>
      <w:r>
        <w:t xml:space="preserve">= Yes (legacy rows 2270-2288), it covers 1 - the national ETS sector coverage of the year (legacy: of the previous year, bug L65). Otherwise new instruments add to existing ones.</w:t>
      </w:r>
    </w:p>
    <w:p>
      <w:pPr>
        <w:numPr>
          <w:ilvl w:val="0"/>
          <w:numId w:val="1019"/>
        </w:numPr>
        <w:pStyle w:val="Compact"/>
      </w:pPr>
      <w:r>
        <w:rPr>
          <w:bCs/>
          <w:b/>
        </w:rPr>
        <w:t xml:space="preserve">Revenue</w:t>
      </w:r>
      <w:r>
        <w:t xml:space="preserve">: existing-tax revenue includes</w:t>
      </w:r>
      <w:r>
        <w:t xml:space="preserve"> </w:t>
      </w:r>
      <w:r>
        <w:rPr>
          <w:rStyle w:val="VerbatimChar"/>
        </w:rPr>
        <w:t xml:space="preserve">xcpd x (1 + vr)</w:t>
      </w:r>
      <w:r>
        <w:t xml:space="preserve">; a memo shows the level, fuel use x</w:t>
      </w:r>
      <w:r>
        <w:t xml:space="preserve"> </w:t>
      </w:r>
      <w:r>
        <w:rPr>
          <w:rStyle w:val="VerbatimChar"/>
        </w:rPr>
        <w:t xml:space="preserve">xcp</w:t>
      </w:r>
      <w:r>
        <w:t xml:space="preserve">. Existing ETS revenue is valued at the full permit price, as legacy; legacy’s free-allocation and revenue data (ECP rows 560-597, 1225-1322) are not used in legacy’s model either.</w:t>
      </w:r>
    </w:p>
    <w:p>
      <w:pPr>
        <w:numPr>
          <w:ilvl w:val="0"/>
          <w:numId w:val="1019"/>
        </w:numPr>
        <w:pStyle w:val="Compact"/>
      </w:pPr>
      <w:r>
        <w:rPr>
          <w:bCs/>
          <w:b/>
        </w:rPr>
        <w:t xml:space="preserve">Legacy bugs fixed</w:t>
      </w:r>
      <w:r>
        <w:t xml:space="preserve"> </w:t>
      </w:r>
      <w:r>
        <w:t xml:space="preserve">(register): L61 (EU ETS growth), L62 (transport diesel, LPG and kerosene take the rate row as coverage), L63 (fuel coverage lookup stops at row 403 of a block that ends at 425), L64 (no ETS on other oil products outside power), L65 (complementary tax with last year’s coverage).</w:t>
      </w:r>
    </w:p>
    <w:bookmarkEnd w:id="49"/>
    <w:bookmarkStart w:id="50" w:name="existing-taxes-and-subsidies"/>
    <w:p>
      <w:pPr>
        <w:pStyle w:val="Heading3"/>
      </w:pPr>
      <w:r>
        <w:t xml:space="preserve">6. Existing taxes and subsidies</w:t>
      </w:r>
    </w:p>
    <w:p>
      <w:pPr>
        <w:pStyle w:val="FirstParagraph"/>
      </w:pPr>
      <w:r>
        <w:t xml:space="preserve">Per price fuel and year, real $/GJ:</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Formula</w:t>
            </w:r>
          </w:p>
        </w:tc>
        <w:tc>
          <w:tcPr/>
          <w:p>
            <w:pPr>
              <w:pStyle w:val="Compact"/>
              <w:jc w:val="left"/>
            </w:pPr>
            <w:r>
              <w:t xml:space="preserve">Use</w:t>
            </w:r>
          </w:p>
        </w:tc>
      </w:tr>
      <w:tr>
        <w:tc>
          <w:tcPr/>
          <w:p>
            <w:pPr>
              <w:pStyle w:val="Compact"/>
              <w:jc w:val="left"/>
            </w:pPr>
            <w:r>
              <w:t xml:space="preserve">VAT</w:t>
            </w:r>
          </w:p>
        </w:tc>
        <w:tc>
          <w:tcPr/>
          <w:p>
            <w:pPr>
              <w:pStyle w:val="Compact"/>
              <w:jc w:val="left"/>
            </w:pPr>
            <w:r>
              <w:t xml:space="preserve">(sp + txo) x vr</w:t>
            </w:r>
          </w:p>
        </w:tc>
        <w:tc>
          <w:tcPr/>
          <w:p>
            <w:pPr>
              <w:pStyle w:val="Compact"/>
              <w:jc w:val="left"/>
            </w:pPr>
            <w:r>
              <w:t xml:space="preserve">VAT before new policies (revenue)</w:t>
            </w:r>
          </w:p>
        </w:tc>
      </w:tr>
      <w:tr>
        <w:tc>
          <w:tcPr/>
          <w:p>
            <w:pPr>
              <w:pStyle w:val="Compact"/>
              <w:jc w:val="left"/>
            </w:pPr>
            <w:r>
              <w:t xml:space="preserve">Existing excise and other taxes</w:t>
            </w:r>
          </w:p>
        </w:tc>
        <w:tc>
          <w:tcPr/>
          <w:p>
            <w:pPr>
              <w:pStyle w:val="Compact"/>
              <w:jc w:val="left"/>
            </w:pPr>
            <w:r>
              <w:t xml:space="preserve">max(txo, 0)</w:t>
            </w:r>
          </w:p>
        </w:tc>
        <w:tc>
          <w:tcPr/>
          <w:p>
            <w:pPr>
              <w:pStyle w:val="Compact"/>
              <w:jc w:val="left"/>
            </w:pPr>
            <w:r>
              <w:t xml:space="preserve">revenue</w:t>
            </w:r>
          </w:p>
        </w:tc>
      </w:tr>
      <w:tr>
        <w:tc>
          <w:tcPr/>
          <w:p>
            <w:pPr>
              <w:pStyle w:val="Compact"/>
              <w:jc w:val="left"/>
            </w:pPr>
            <w:r>
              <w:t xml:space="preserve">Existing consumer subsidy</w:t>
            </w:r>
          </w:p>
        </w:tc>
        <w:tc>
          <w:tcPr/>
          <w:p>
            <w:pPr>
              <w:pStyle w:val="Compact"/>
              <w:jc w:val="left"/>
            </w:pPr>
            <w:r>
              <w:t xml:space="preserve">min(txo, 0)</w:t>
            </w:r>
          </w:p>
        </w:tc>
        <w:tc>
          <w:tcPr/>
          <w:p>
            <w:pPr>
              <w:pStyle w:val="Compact"/>
              <w:jc w:val="left"/>
            </w:pPr>
            <w:r>
              <w:t xml:space="preserve">negative (subsidies are negative)</w:t>
            </w:r>
          </w:p>
        </w:tc>
      </w:tr>
      <w:tr>
        <w:tc>
          <w:tcPr/>
          <w:p>
            <w:pPr>
              <w:pStyle w:val="Compact"/>
              <w:jc w:val="left"/>
            </w:pPr>
            <w:r>
              <w:t xml:space="preserve">Subsidy per price unit</w:t>
            </w:r>
          </w:p>
        </w:tc>
        <w:tc>
          <w:tcPr/>
          <w:p>
            <w:pPr>
              <w:pStyle w:val="Compact"/>
              <w:jc w:val="left"/>
            </w:pPr>
            <w:r>
              <w:t xml:space="preserve">subsidy x GJ per price unit</w:t>
            </w:r>
          </w:p>
        </w:tc>
        <w:tc>
          <w:tcPr/>
          <w:p>
            <w:pPr>
              <w:pStyle w:val="Compact"/>
              <w:jc w:val="left"/>
            </w:pPr>
            <w:r>
              <w:t xml:space="preserve">in ScenarioDefinition price units ($/liter, $/bbl, $/GJ), for a later per-fuel subsidy reform through the fuel price reform inputs, which use the same units</w:t>
            </w:r>
          </w:p>
        </w:tc>
      </w:tr>
    </w:tbl>
    <w:p>
      <w:pPr>
        <w:pStyle w:val="BodyText"/>
      </w:pPr>
      <w:r>
        <w:t xml:space="preserve">Legacy splits</w:t>
      </w:r>
      <w:r>
        <w:t xml:space="preserve"> </w:t>
      </w:r>
      <w:r>
        <w:rPr>
          <w:rStyle w:val="VerbatimChar"/>
        </w:rPr>
        <w:t xml:space="preserve">txo</w:t>
      </w:r>
      <w:r>
        <w:t xml:space="preserve"> </w:t>
      </w:r>
      <w:r>
        <w:t xml:space="preserve">into a fixed tax, a fixed subsidy and a floating part; the sign split gives the same totals. VAT on oil products is (sp + txo) x rate x household share; legacy divides the retail price by 1 + the full rate (bug L60). Revenue, as fuel use (PJ) x the rate: existing taxes = excise + VAT +</w:t>
      </w:r>
      <w:r>
        <w:t xml:space="preserve"> </w:t>
      </w:r>
      <w:r>
        <w:rPr>
          <w:rStyle w:val="VerbatimChar"/>
        </w:rPr>
        <w:t xml:space="preserve">xcpd x (1 + vr)</w:t>
      </w:r>
      <w:r>
        <w:t xml:space="preserve">; existing subsidies = the subsidy (negative); net existing = taxes + subsidies; new = new carbon tax + new excise + ETS x revenue factor + VAT on new policies. Power adds its rows (</w:t>
      </w:r>
      <w:r>
        <w:rPr>
          <w:rStyle w:val="VerbatimChar"/>
        </w:rPr>
        <w:t xml:space="preserve">PowerPrices_Method_v7_0.md</w:t>
      </w:r>
      <w:r>
        <w:t xml:space="preserve">).</w:t>
      </w:r>
    </w:p>
    <w:bookmarkEnd w:id="50"/>
    <w:bookmarkStart w:id="51" w:name="X953680b0ca692b5107991fdb156386072d3046e"/>
    <w:p>
      <w:pPr>
        <w:pStyle w:val="Heading3"/>
      </w:pPr>
      <w:r>
        <w:t xml:space="preserve">6b. Subsidy and price-control phase-outs, producer subsidies (v4.16; LD18, LD19)</w:t>
      </w:r>
    </w:p>
    <w:p>
      <w:pPr>
        <w:pStyle w:val="FirstParagraph"/>
      </w:pPr>
      <w:r>
        <w:t xml:space="preserve">User decision 2026-10-18: separate policy lines by sector and fuel, not meshed with the pre-policy price build-up.</w:t>
      </w:r>
      <w:r>
        <w:t xml:space="preserve"> </w:t>
      </w:r>
      <w:r>
        <w:rPr>
          <w:rStyle w:val="VerbatimChar"/>
        </w:rPr>
        <w:t xml:space="preserve">sp</w:t>
      </w:r>
      <w:r>
        <w:t xml:space="preserve">,</w:t>
      </w:r>
      <w:r>
        <w:t xml:space="preserve"> </w:t>
      </w:r>
      <w:r>
        <w:rPr>
          <w:rStyle w:val="VerbatimChar"/>
        </w:rPr>
        <w:t xml:space="preserve">txo</w:t>
      </w:r>
      <w:r>
        <w:t xml:space="preserve"> </w:t>
      </w:r>
      <w:r>
        <w:t xml:space="preserve">and</w:t>
      </w:r>
      <w:r>
        <w:t xml:space="preserve"> </w:t>
      </w:r>
      <w:r>
        <w:rPr>
          <w:rStyle w:val="VerbatimChar"/>
        </w:rPr>
        <w:t xml:space="preserve">rpb</w:t>
      </w:r>
      <w:r>
        <w:t xml:space="preserve"> </w:t>
      </w:r>
      <w:r>
        <w:t xml:space="preserve">are unchanged; the reforms are wedges added to the after-tax price, like the new policies.</w:t>
      </w:r>
    </w:p>
    <w:p>
      <w:pPr>
        <w:numPr>
          <w:ilvl w:val="0"/>
          <w:numId w:val="1021"/>
        </w:numPr>
        <w:pStyle w:val="Compact"/>
      </w:pPr>
      <w:r>
        <w:rPr>
          <w:bCs/>
          <w:b/>
        </w:rPr>
        <w:t xml:space="preserve">Factors (section 1, legacy rows 2211-2218).</w:t>
      </w:r>
      <w:r>
        <w:t xml:space="preserve"> </w:t>
      </w:r>
      <w:r>
        <w:t xml:space="preserve">One per phase-out: producer subsidies (ScenarioDefinition 123-129), consumer subsidies (131-137) and price controls (191-195). Scenario 1 reads the baseline switch, period and share; other scenarios the policy switch and period, with share = MAX(baseline, policy) (legacy rows 264-274). The price-control phase-out applies if its switch is on and the scenario is a policy scenario or its baseline switch is on, and it takes the consumer share (as legacy: issue I48). Factor</w:t>
      </w:r>
      <w:r>
        <w:t xml:space="preserve"> </w:t>
      </w:r>
      <w:r>
        <w:rPr>
          <w:rStyle w:val="VerbatimChar"/>
        </w:rPr>
        <w:t xml:space="preserve">pof</w:t>
      </w:r>
      <w:r>
        <w:t xml:space="preserve"> </w:t>
      </w:r>
      <w:r>
        <w:t xml:space="preserve">= MAX(1 - share, 1 - share x (year - start) / period after the start year): the share of the original kept, the same year for every line (legacy lags the fixed subsidy a year: bug L81).</w:t>
      </w:r>
    </w:p>
    <w:p>
      <w:pPr>
        <w:numPr>
          <w:ilvl w:val="0"/>
          <w:numId w:val="1021"/>
        </w:numPr>
        <w:pStyle w:val="Compact"/>
      </w:pPr>
      <w:r>
        <w:rPr>
          <w:bCs/>
          <w:b/>
        </w:rPr>
        <w:t xml:space="preserve">Lines by price fuel | sector.</w:t>
      </w:r>
      <w:r>
        <w:t xml:space="preserve"> </w:t>
      </w:r>
      <w:r>
        <w:rPr>
          <w:rStyle w:val="VerbatimChar"/>
        </w:rPr>
        <w:t xml:space="preserve">csf.&lt;block&gt;</w:t>
      </w:r>
      <w:r>
        <w:t xml:space="preserve"> </w:t>
      </w:r>
      <w:r>
        <w:t xml:space="preserve">= 1 -</w:t>
      </w:r>
      <w:r>
        <w:t xml:space="preserve"> </w:t>
      </w:r>
      <w:r>
        <w:rPr>
          <w:rStyle w:val="VerbatimChar"/>
        </w:rPr>
        <w:t xml:space="preserve">csi</w:t>
      </w:r>
      <w:r>
        <w:t xml:space="preserve"> </w:t>
      </w:r>
      <w:r>
        <w:t xml:space="preserve">x (1 - factor),</w:t>
      </w:r>
      <w:r>
        <w:t xml:space="preserve"> </w:t>
      </w:r>
      <w:r>
        <w:rPr>
          <w:rStyle w:val="VerbatimChar"/>
        </w:rPr>
        <w:t xml:space="preserve">pcf.&lt;block&gt;</w:t>
      </w:r>
      <w:r>
        <w:t xml:space="preserve"> </w:t>
      </w:r>
      <w:r>
        <w:t xml:space="preserve">likewise with</w:t>
      </w:r>
      <w:r>
        <w:t xml:space="preserve"> </w:t>
      </w:r>
      <w:r>
        <w:rPr>
          <w:rStyle w:val="VerbatimChar"/>
        </w:rPr>
        <w:t xml:space="preserve">pci</w:t>
      </w:r>
      <w:r>
        <w:t xml:space="preserve">; the inclusion switches</w:t>
      </w:r>
      <w:r>
        <w:t xml:space="preserve"> </w:t>
      </w:r>
      <w:r>
        <w:rPr>
          <w:rStyle w:val="VerbatimChar"/>
        </w:rPr>
        <w:t xml:space="preserve">csi</w:t>
      </w:r>
      <w:r>
        <w:t xml:space="preserve">,</w:t>
      </w:r>
      <w:r>
        <w:t xml:space="preserve"> </w:t>
      </w:r>
      <w:r>
        <w:rPr>
          <w:rStyle w:val="VerbatimChar"/>
        </w:rPr>
        <w:t xml:space="preserve">pci</w:t>
      </w:r>
      <w:r>
        <w:t xml:space="preserve"> </w:t>
      </w:r>
      <w:r>
        <w:t xml:space="preserve">(sheet Constants, default 1 for every block, as legacy) let a reform cover some fuels and sectors only. Producer subsidies by fuel (coal, gas, oil, biomass, electricity):</w:t>
      </w:r>
      <w:r>
        <w:t xml:space="preserve"> </w:t>
      </w:r>
      <w:r>
        <w:rPr>
          <w:rStyle w:val="VerbatimChar"/>
        </w:rPr>
        <w:t xml:space="preserve">psi</w:t>
      </w:r>
      <w:r>
        <w:t xml:space="preserve">,</w:t>
      </w:r>
      <w:r>
        <w:t xml:space="preserve"> </w:t>
      </w:r>
      <w:r>
        <w:rPr>
          <w:rStyle w:val="VerbatimChar"/>
        </w:rPr>
        <w:t xml:space="preserve">psf</w:t>
      </w:r>
      <w:r>
        <w:t xml:space="preserve">.</w:t>
      </w:r>
    </w:p>
    <w:p>
      <w:pPr>
        <w:numPr>
          <w:ilvl w:val="0"/>
          <w:numId w:val="1021"/>
        </w:numPr>
        <w:pStyle w:val="Compact"/>
      </w:pPr>
      <w:r>
        <w:rPr>
          <w:bCs/>
          <w:b/>
        </w:rPr>
        <w:t xml:space="preserve">Split of</w:t>
      </w:r>
      <w:r>
        <w:rPr>
          <w:bCs/>
          <w:b/>
        </w:rPr>
        <w:t xml:space="preserve"> </w:t>
      </w:r>
      <w:r>
        <w:rPr>
          <w:rStyle w:val="VerbatimChar"/>
          <w:bCs/>
          <w:b/>
        </w:rPr>
        <w:t xml:space="preserve">txo</w:t>
      </w:r>
      <w:r>
        <w:rPr>
          <w:bCs/>
          <w:b/>
        </w:rPr>
        <w:t xml:space="preserve"> </w:t>
      </w:r>
      <w:r>
        <w:rPr>
          <w:bCs/>
          <w:b/>
        </w:rPr>
        <w:t xml:space="preserve">(each price block).</w:t>
      </w:r>
      <w:r>
        <w:t xml:space="preserve"> </w:t>
      </w:r>
      <w:r>
        <w:t xml:space="preserve">Fixed part</w:t>
      </w:r>
      <w:r>
        <w:t xml:space="preserve"> </w:t>
      </w:r>
      <w:r>
        <w:rPr>
          <w:rStyle w:val="VerbatimChar"/>
        </w:rPr>
        <w:t xml:space="preserve">txfx</w:t>
      </w:r>
      <w:r>
        <w:t xml:space="preserve"> </w:t>
      </w:r>
      <w:r>
        <w:t xml:space="preserve">= pass-through x</w:t>
      </w:r>
      <w:r>
        <w:t xml:space="preserve"> </w:t>
      </w:r>
      <w:r>
        <w:rPr>
          <w:rStyle w:val="VerbatimChar"/>
        </w:rPr>
        <w:t xml:space="preserve">txo</w:t>
      </w:r>
      <w:r>
        <w:t xml:space="preserve"> </w:t>
      </w:r>
      <w:r>
        <w:t xml:space="preserve">(history: of the year; projection: of the last historical year); floating part</w:t>
      </w:r>
      <w:r>
        <w:t xml:space="preserve"> </w:t>
      </w:r>
      <w:r>
        <w:rPr>
          <w:rStyle w:val="VerbatimChar"/>
        </w:rPr>
        <w:t xml:space="preserve">txfl</w:t>
      </w:r>
      <w:r>
        <w:t xml:space="preserve"> </w:t>
      </w:r>
      <w:r>
        <w:t xml:space="preserve">=</w:t>
      </w:r>
      <w:r>
        <w:t xml:space="preserve"> </w:t>
      </w:r>
      <w:r>
        <w:rPr>
          <w:rStyle w:val="VerbatimChar"/>
        </w:rPr>
        <w:t xml:space="preserve">txo</w:t>
      </w:r>
      <w:r>
        <w:t xml:space="preserve"> </w:t>
      </w:r>
      <w:r>
        <w:t xml:space="preserve">-</w:t>
      </w:r>
      <w:r>
        <w:t xml:space="preserve"> </w:t>
      </w:r>
      <w:r>
        <w:rPr>
          <w:rStyle w:val="VerbatimChar"/>
        </w:rPr>
        <w:t xml:space="preserve">txfx</w:t>
      </w:r>
      <w:r>
        <w:t xml:space="preserve"> </w:t>
      </w:r>
      <w:r>
        <w:t xml:space="preserve">(it absorbs the supply-cost changes not passed through). As legacy rows 2597-2599.</w:t>
      </w:r>
    </w:p>
    <w:p>
      <w:pPr>
        <w:numPr>
          <w:ilvl w:val="0"/>
          <w:numId w:val="1021"/>
        </w:numPr>
        <w:pStyle w:val="Compact"/>
      </w:pPr>
      <w:r>
        <w:rPr>
          <w:bCs/>
          <w:b/>
        </w:rPr>
        <w:t xml:space="preserve">Wedges (each block, $/GJ before VAT).</w:t>
      </w:r>
      <w:r>
        <w:t xml:space="preserve"> </w:t>
      </w:r>
      <w:r>
        <w:t xml:space="preserve">Consumer subsidy reform</w:t>
      </w:r>
      <w:r>
        <w:t xml:space="preserve"> </w:t>
      </w:r>
      <w:r>
        <w:rPr>
          <w:rStyle w:val="VerbatimChar"/>
        </w:rPr>
        <w:t xml:space="preserve">pcsw</w:t>
      </w:r>
      <w:r>
        <w:t xml:space="preserve"> </w:t>
      </w:r>
      <w:r>
        <w:t xml:space="preserve">= -(1 -</w:t>
      </w:r>
      <w:r>
        <w:t xml:space="preserve"> </w:t>
      </w:r>
      <w:r>
        <w:rPr>
          <w:rStyle w:val="VerbatimChar"/>
        </w:rPr>
        <w:t xml:space="preserve">csf</w:t>
      </w:r>
      <w:r>
        <w:t xml:space="preserve">) x MIN(</w:t>
      </w:r>
      <w:r>
        <w:rPr>
          <w:rStyle w:val="VerbatimChar"/>
        </w:rPr>
        <w:t xml:space="preserve">txfx</w:t>
      </w:r>
      <w:r>
        <w:t xml:space="preserve">, 0): only a fixed subsidy goes (legacy: the fixed subsidy x factor). Price-control phase-out</w:t>
      </w:r>
      <w:r>
        <w:t xml:space="preserve"> </w:t>
      </w:r>
      <w:r>
        <w:rPr>
          <w:rStyle w:val="VerbatimChar"/>
        </w:rPr>
        <w:t xml:space="preserve">ppcw</w:t>
      </w:r>
      <w:r>
        <w:t xml:space="preserve"> </w:t>
      </w:r>
      <w:r>
        <w:t xml:space="preserve">= -(1 -</w:t>
      </w:r>
      <w:r>
        <w:t xml:space="preserve"> </w:t>
      </w:r>
      <w:r>
        <w:rPr>
          <w:rStyle w:val="VerbatimChar"/>
        </w:rPr>
        <w:t xml:space="preserve">pcf</w:t>
      </w:r>
      <w:r>
        <w:t xml:space="preserve">) x</w:t>
      </w:r>
      <w:r>
        <w:t xml:space="preserve"> </w:t>
      </w:r>
      <w:r>
        <w:rPr>
          <w:rStyle w:val="VerbatimChar"/>
        </w:rPr>
        <w:t xml:space="preserve">txfl</w:t>
      </w:r>
      <w:r>
        <w:t xml:space="preserve">: the floating part goes, subsidy or tax (legacy row 2599). For Egypt every subsidised fuel has pass-through 0, so only the price-control phase-out removes subsidies, as in legacy.</w:t>
      </w:r>
    </w:p>
    <w:p>
      <w:pPr>
        <w:numPr>
          <w:ilvl w:val="0"/>
          <w:numId w:val="1021"/>
        </w:numPr>
        <w:pStyle w:val="Compact"/>
      </w:pPr>
      <w:r>
        <w:rPr>
          <w:bCs/>
          <w:b/>
        </w:rPr>
        <w:t xml:space="preserve">Subsectors.</w:t>
      </w:r>
      <w:r>
        <w:t xml:space="preserve"> </w:t>
      </w:r>
      <w:r>
        <w:rPr>
          <w:rStyle w:val="VerbatimChar"/>
        </w:rPr>
        <w:t xml:space="preserve">csw</w:t>
      </w:r>
      <w:r>
        <w:t xml:space="preserve">,</w:t>
      </w:r>
      <w:r>
        <w:t xml:space="preserve"> </w:t>
      </w:r>
      <w:r>
        <w:rPr>
          <w:rStyle w:val="VerbatimChar"/>
        </w:rPr>
        <w:t xml:space="preserve">pcw</w:t>
      </w:r>
      <w:r>
        <w:t xml:space="preserve"> </w:t>
      </w:r>
      <w:r>
        <w:t xml:space="preserve">= the wedges of the subsector’s block;</w:t>
      </w:r>
      <w:r>
        <w:t xml:space="preserve"> </w:t>
      </w:r>
      <w:r>
        <w:rPr>
          <w:rStyle w:val="VerbatimChar"/>
        </w:rPr>
        <w:t xml:space="preserve">atp</w:t>
      </w:r>
      <w:r>
        <w:t xml:space="preserve"> </w:t>
      </w:r>
      <w:r>
        <w:t xml:space="preserve">= MAX(</w:t>
      </w:r>
      <w:r>
        <w:rPr>
          <w:rStyle w:val="VerbatimChar"/>
        </w:rPr>
        <w:t xml:space="preserve">rpb</w:t>
      </w:r>
      <w:r>
        <w:t xml:space="preserve"> </w:t>
      </w:r>
      <w:r>
        <w:t xml:space="preserve">+ (</w:t>
      </w:r>
      <w:r>
        <w:rPr>
          <w:rStyle w:val="VerbatimChar"/>
        </w:rPr>
        <w:t xml:space="preserve">nce</w:t>
      </w:r>
      <w:r>
        <w:t xml:space="preserve"> </w:t>
      </w:r>
      <w:r>
        <w:t xml:space="preserve">+</w:t>
      </w:r>
      <w:r>
        <w:t xml:space="preserve"> </w:t>
      </w:r>
      <w:r>
        <w:rPr>
          <w:rStyle w:val="VerbatimChar"/>
        </w:rPr>
        <w:t xml:space="preserve">xcpd</w:t>
      </w:r>
      <w:r>
        <w:t xml:space="preserve"> </w:t>
      </w:r>
      <w:r>
        <w:t xml:space="preserve">+</w:t>
      </w:r>
      <w:r>
        <w:t xml:space="preserve"> </w:t>
      </w:r>
      <w:r>
        <w:rPr>
          <w:rStyle w:val="VerbatimChar"/>
        </w:rPr>
        <w:t xml:space="preserve">csw</w:t>
      </w:r>
      <w:r>
        <w:t xml:space="preserve"> </w:t>
      </w:r>
      <w:r>
        <w:t xml:space="preserve">+</w:t>
      </w:r>
      <w:r>
        <w:t xml:space="preserve"> </w:t>
      </w:r>
      <w:r>
        <w:rPr>
          <w:rStyle w:val="VerbatimChar"/>
        </w:rPr>
        <w:t xml:space="preserve">pcw</w:t>
      </w:r>
      <w:r>
        <w:t xml:space="preserve">) x (1 + vr), floor). Revenue</w:t>
      </w:r>
      <w:r>
        <w:t xml:space="preserve"> </w:t>
      </w:r>
      <w:r>
        <w:rPr>
          <w:rStyle w:val="VerbatimChar"/>
        </w:rPr>
        <w:t xml:space="preserve">rsr</w:t>
      </w:r>
      <w:r>
        <w:t xml:space="preserve"> </w:t>
      </w:r>
      <w:r>
        <w:t xml:space="preserve">= fuel use x PJ/ktoe x (</w:t>
      </w:r>
      <w:r>
        <w:rPr>
          <w:rStyle w:val="VerbatimChar"/>
        </w:rPr>
        <w:t xml:space="preserve">csw</w:t>
      </w:r>
      <w:r>
        <w:t xml:space="preserve"> </w:t>
      </w:r>
      <w:r>
        <w:t xml:space="preserve">+</w:t>
      </w:r>
      <w:r>
        <w:t xml:space="preserve"> </w:t>
      </w:r>
      <w:r>
        <w:rPr>
          <w:rStyle w:val="VerbatimChar"/>
        </w:rPr>
        <w:t xml:space="preserve">pcw</w:t>
      </w:r>
      <w:r>
        <w:t xml:space="preserve">) x (1 + vr): the subsidy saved plus VAT on it (section 12; 12e books it under existing taxes and subsidies, its VAT under VAT).</w:t>
      </w:r>
      <w:r>
        <w:t xml:space="preserve"> </w:t>
      </w:r>
      <w:r>
        <w:rPr>
          <w:rStyle w:val="VerbatimChar"/>
        </w:rPr>
        <w:t xml:space="preserve">rnet</w:t>
      </w:r>
      <w:r>
        <w:t xml:space="preserve"> </w:t>
      </w:r>
      <w:r>
        <w:t xml:space="preserve">stays the pre-reform existing revenue.</w:t>
      </w:r>
    </w:p>
    <w:p>
      <w:pPr>
        <w:numPr>
          <w:ilvl w:val="0"/>
          <w:numId w:val="1021"/>
        </w:numPr>
        <w:pStyle w:val="Compact"/>
      </w:pPr>
      <w:r>
        <w:rPr>
          <w:bCs/>
          <w:b/>
        </w:rPr>
        <w:t xml:space="preserve">Producer subsidies (fiscal line).</w:t>
      </w:r>
      <w:r>
        <w:t xml:space="preserve"> </w:t>
      </w:r>
      <w:r>
        <w:rPr>
          <w:rStyle w:val="VerbatimChar"/>
        </w:rPr>
        <w:t xml:space="preserve">pros.&lt;fuel&gt;</w:t>
      </w:r>
      <w:r>
        <w:t xml:space="preserve"> </w:t>
      </w:r>
      <w:r>
        <w:t xml:space="preserve">= Prices_dom</w:t>
      </w:r>
      <w:r>
        <w:t xml:space="preserve"> </w:t>
      </w:r>
      <w:r>
        <w:rPr>
          <w:rStyle w:val="VerbatimChar"/>
        </w:rPr>
        <w:t xml:space="preserve">mit.pros.&lt;fuel&gt;.all</w:t>
      </w:r>
      <w:r>
        <w:t xml:space="preserve"> </w:t>
      </w:r>
      <w:r>
        <w:t xml:space="preserve">(USD bn nominal) x CPI factor, held after the last price year;</w:t>
      </w:r>
      <w:r>
        <w:t xml:space="preserve"> </w:t>
      </w:r>
      <w:r>
        <w:rPr>
          <w:rStyle w:val="VerbatimChar"/>
        </w:rPr>
        <w:t xml:space="preserve">rpsu.all</w:t>
      </w:r>
      <w:r>
        <w:t xml:space="preserve"> </w:t>
      </w:r>
      <w:r>
        <w:t xml:space="preserve">= -SUMPRODUCT(</w:t>
      </w:r>
      <w:r>
        <w:rPr>
          <w:rStyle w:val="VerbatimChar"/>
        </w:rPr>
        <w:t xml:space="preserve">pros</w:t>
      </w:r>
      <w:r>
        <w:t xml:space="preserve">,</w:t>
      </w:r>
      <w:r>
        <w:t xml:space="preserve"> </w:t>
      </w:r>
      <w:r>
        <w:rPr>
          <w:rStyle w:val="VerbatimChar"/>
        </w:rPr>
        <w:t xml:space="preserve">psf</w:t>
      </w:r>
      <w:r>
        <w:t xml:space="preserve">) in section 12 (negative = cost), in the total revenue and the fiscal space; 12e producer subsidies = the electricity subsidy gap +</w:t>
      </w:r>
      <w:r>
        <w:t xml:space="preserve"> </w:t>
      </w:r>
      <w:r>
        <w:rPr>
          <w:rStyle w:val="VerbatimChar"/>
        </w:rPr>
        <w:t xml:space="preserve">rpsu</w:t>
      </w:r>
      <w:r>
        <w:t xml:space="preserve">.</w:t>
      </w:r>
      <w:r>
        <w:t xml:space="preserve"> </w:t>
      </w:r>
      <w:r>
        <w:rPr>
          <w:bCs/>
          <w:b/>
        </w:rPr>
        <w:t xml:space="preserve">Price effect (v6.1, I49, as legacy rows 825-829):</w:t>
      </w:r>
      <w:r>
        <w:t xml:space="preserve"> </w:t>
      </w:r>
      <w:r>
        <w:t xml:space="preserve">section-1 rows</w:t>
      </w:r>
      <w:r>
        <w:t xml:space="preserve"> </w:t>
      </w:r>
      <w:r>
        <w:rPr>
          <w:rStyle w:val="VerbatimChar"/>
        </w:rPr>
        <w:t xml:space="preserve">psd.&lt;fuel&gt;</w:t>
      </w:r>
      <w:r>
        <w:t xml:space="preserve"> </w:t>
      </w:r>
      <w:r>
        <w:t xml:space="preserve">hold the demand that carries the subsidy: oil, world demand x liters per ktoe (legacy</w:t>
      </w:r>
      <w:r>
        <w:t xml:space="preserve"> </w:t>
      </w:r>
      <w:r>
        <w:rPr>
          <w:rStyle w:val="VerbatimChar"/>
        </w:rPr>
        <w:t xml:space="preserve">_conv_ktoe_liter_oil</w:t>
      </w:r>
      <w:r>
        <w:t xml:space="preserve"> </w:t>
      </w:r>
      <w:r>
        <w:t xml:space="preserve">= 1,108,792); coal and gas, the average of world demand and domestic consumption (EnergyCons, excluding electricity and heat) x GJ per ktoe; biomass, domestic consumption x GJ per ktoe.</w:t>
      </w:r>
      <w:r>
        <w:t xml:space="preserve"> </w:t>
      </w:r>
      <w:r>
        <w:rPr>
          <w:rStyle w:val="VerbatimChar"/>
        </w:rPr>
        <w:t xml:space="preserve">psu.&lt;fuel&gt;</w:t>
      </w:r>
      <w:r>
        <w:t xml:space="preserve"> </w:t>
      </w:r>
      <w:r>
        <w:t xml:space="preserve">= -</w:t>
      </w:r>
      <w:r>
        <w:rPr>
          <w:rStyle w:val="VerbatimChar"/>
        </w:rPr>
        <w:t xml:space="preserve">pros</w:t>
      </w:r>
      <w:r>
        <w:t xml:space="preserve"> </w:t>
      </w:r>
      <w:r>
        <w:t xml:space="preserve">x USDperM /</w:t>
      </w:r>
      <w:r>
        <w:t xml:space="preserve"> </w:t>
      </w:r>
      <w:r>
        <w:rPr>
          <w:rStyle w:val="VerbatimChar"/>
        </w:rPr>
        <w:t xml:space="preserve">psd</w:t>
      </w:r>
      <w:r>
        <w:t xml:space="preserve"> </w:t>
      </w:r>
      <w:r>
        <w:t xml:space="preserve">up to the last price year, then held: the existing subsidy. Each price block reads the</w:t>
      </w:r>
      <w:r>
        <w:t xml:space="preserve"> </w:t>
      </w:r>
      <w:r>
        <w:rPr>
          <w:rStyle w:val="VerbatimChar"/>
        </w:rPr>
        <w:t xml:space="preserve">psu</w:t>
      </w:r>
      <w:r>
        <w:t xml:space="preserve"> </w:t>
      </w:r>
      <w:r>
        <w:t xml:space="preserve">of its fuel by its international price position (G) into</w:t>
      </w:r>
      <w:r>
        <w:t xml:space="preserve"> </w:t>
      </w:r>
      <w:r>
        <w:rPr>
          <w:rStyle w:val="VerbatimChar"/>
        </w:rPr>
        <w:t xml:space="preserve">psp</w:t>
      </w:r>
      <w:r>
        <w:t xml:space="preserve"> </w:t>
      </w:r>
      <w:r>
        <w:t xml:space="preserve">($/GJ: x liters per barrel for other oil products, / GJ per price unit), which stays in the supply cost and so in the price before new policies</w:t>
      </w:r>
      <w:r>
        <w:t xml:space="preserve"> </w:t>
      </w:r>
      <w:r>
        <w:rPr>
          <w:rStyle w:val="VerbatimChar"/>
        </w:rPr>
        <w:t xml:space="preserve">rpb</w:t>
      </w:r>
      <w:r>
        <w:t xml:space="preserve">.</w:t>
      </w:r>
    </w:p>
    <w:p>
      <w:pPr>
        <w:pStyle w:val="FirstParagraph"/>
      </w:pPr>
      <w:r>
        <w:rPr>
          <w:bCs/>
          <w:b/>
        </w:rPr>
        <w:t xml:space="preserve">Producer subsidy reform (v6.2, user rule 2026-10-20: subsidy reforms are always separate from the before-tax build-up).</w:t>
      </w:r>
      <w:r>
        <w:t xml:space="preserve"> </w:t>
      </w:r>
      <w:r>
        <w:rPr>
          <w:rStyle w:val="VerbatimChar"/>
        </w:rPr>
        <w:t xml:space="preserve">psr.&lt;fuel&gt;</w:t>
      </w:r>
      <w:r>
        <w:t xml:space="preserve"> </w:t>
      </w:r>
      <w:r>
        <w:t xml:space="preserve">= -</w:t>
      </w:r>
      <w:r>
        <w:rPr>
          <w:rStyle w:val="VerbatimChar"/>
        </w:rPr>
        <w:t xml:space="preserve">psu</w:t>
      </w:r>
      <w:r>
        <w:t xml:space="preserve"> </w:t>
      </w:r>
      <w:r>
        <w:t xml:space="preserve">x (1 -</w:t>
      </w:r>
      <w:r>
        <w:t xml:space="preserve"> </w:t>
      </w:r>
      <w:r>
        <w:rPr>
          <w:rStyle w:val="VerbatimChar"/>
        </w:rPr>
        <w:t xml:space="preserve">psf</w:t>
      </w:r>
      <w:r>
        <w:t xml:space="preserve">) (legacy: the base value x the phase-out factor, row 2213). The block wedge</w:t>
      </w:r>
      <w:r>
        <w:t xml:space="preserve"> </w:t>
      </w:r>
      <w:r>
        <w:rPr>
          <w:rStyle w:val="VerbatimChar"/>
        </w:rPr>
        <w:t xml:space="preserve">ppsw</w:t>
      </w:r>
      <w:r>
        <w:t xml:space="preserve"> </w:t>
      </w:r>
      <w:r>
        <w:t xml:space="preserve">=</w:t>
      </w:r>
      <w:r>
        <w:t xml:space="preserve"> </w:t>
      </w:r>
      <w:r>
        <w:rPr>
          <w:rStyle w:val="VerbatimChar"/>
        </w:rPr>
        <w:t xml:space="preserve">psr</w:t>
      </w:r>
      <w:r>
        <w:t xml:space="preserve"> </w:t>
      </w:r>
      <w:r>
        <w:t xml:space="preserve">of its fuel ($/GJ as</w:t>
      </w:r>
      <w:r>
        <w:t xml:space="preserve"> </w:t>
      </w:r>
      <w:r>
        <w:rPr>
          <w:rStyle w:val="VerbatimChar"/>
        </w:rPr>
        <w:t xml:space="preserve">psp</w:t>
      </w:r>
      <w:r>
        <w:t xml:space="preserve">) x the block’s pass-through</w:t>
      </w:r>
      <w:r>
        <w:t xml:space="preserve"> </w:t>
      </w:r>
      <w:r>
        <w:rPr>
          <w:rStyle w:val="VerbatimChar"/>
        </w:rPr>
        <w:t xml:space="preserve">pcc</w:t>
      </w:r>
      <w:r>
        <w:t xml:space="preserve">, beside the consumer subsidy and price-control wedges</w:t>
      </w:r>
      <w:r>
        <w:t xml:space="preserve"> </w:t>
      </w:r>
      <w:r>
        <w:rPr>
          <w:rStyle w:val="VerbatimChar"/>
        </w:rPr>
        <w:t xml:space="preserve">pcsw</w:t>
      </w:r>
      <w:r>
        <w:t xml:space="preserve"> </w:t>
      </w:r>
      <w:r>
        <w:t xml:space="preserve">and</w:t>
      </w:r>
      <w:r>
        <w:t xml:space="preserve"> </w:t>
      </w:r>
      <w:r>
        <w:rPr>
          <w:rStyle w:val="VerbatimChar"/>
        </w:rPr>
        <w:t xml:space="preserve">ppcw</w:t>
      </w:r>
      <w:r>
        <w:t xml:space="preserve">; the subsectors read it as</w:t>
      </w:r>
      <w:r>
        <w:t xml:space="preserve"> </w:t>
      </w:r>
      <w:r>
        <w:rPr>
          <w:rStyle w:val="VerbatimChar"/>
        </w:rPr>
        <w:t xml:space="preserve">psw</w:t>
      </w:r>
      <w:r>
        <w:t xml:space="preserve"> </w:t>
      </w:r>
      <w:r>
        <w:t xml:space="preserve">into the after-tax price (</w:t>
      </w:r>
      <w:r>
        <w:rPr>
          <w:rStyle w:val="VerbatimChar"/>
        </w:rPr>
        <w:t xml:space="preserve">atp</w:t>
      </w:r>
      <w:r>
        <w:t xml:space="preserve"> </w:t>
      </w:r>
      <w:r>
        <w:t xml:space="preserve">=</w:t>
      </w:r>
      <w:r>
        <w:t xml:space="preserve"> </w:t>
      </w:r>
      <w:r>
        <w:rPr>
          <w:rStyle w:val="VerbatimChar"/>
        </w:rPr>
        <w:t xml:space="preserve">rpb</w:t>
      </w:r>
      <w:r>
        <w:t xml:space="preserve"> </w:t>
      </w:r>
      <w:r>
        <w:t xml:space="preserve">+ (new taxes +</w:t>
      </w:r>
      <w:r>
        <w:t xml:space="preserve"> </w:t>
      </w:r>
      <w:r>
        <w:rPr>
          <w:rStyle w:val="VerbatimChar"/>
        </w:rPr>
        <w:t xml:space="preserve">xcpd</w:t>
      </w:r>
      <w:r>
        <w:t xml:space="preserve"> </w:t>
      </w:r>
      <w:r>
        <w:t xml:space="preserve">+</w:t>
      </w:r>
      <w:r>
        <w:t xml:space="preserve"> </w:t>
      </w:r>
      <w:r>
        <w:rPr>
          <w:rStyle w:val="VerbatimChar"/>
        </w:rPr>
        <w:t xml:space="preserve">csw</w:t>
      </w:r>
      <w:r>
        <w:t xml:space="preserve"> </w:t>
      </w:r>
      <w:r>
        <w:t xml:space="preserve">+</w:t>
      </w:r>
      <w:r>
        <w:t xml:space="preserve"> </w:t>
      </w:r>
      <w:r>
        <w:rPr>
          <w:rStyle w:val="VerbatimChar"/>
        </w:rPr>
        <w:t xml:space="preserve">pcw</w:t>
      </w:r>
      <w:r>
        <w:t xml:space="preserve"> </w:t>
      </w:r>
      <w:r>
        <w:t xml:space="preserve">+</w:t>
      </w:r>
      <w:r>
        <w:t xml:space="preserve"> </w:t>
      </w:r>
      <w:r>
        <w:rPr>
          <w:rStyle w:val="VerbatimChar"/>
        </w:rPr>
        <w:t xml:space="preserve">psw</w:t>
      </w:r>
      <w:r>
        <w:t xml:space="preserve">) x (1 + VAT)), and the VAT on it is in the subsidy-reform revenue</w:t>
      </w:r>
      <w:r>
        <w:t xml:space="preserve"> </w:t>
      </w:r>
      <w:r>
        <w:rPr>
          <w:rStyle w:val="VerbatimChar"/>
        </w:rPr>
        <w:t xml:space="preserve">rsr</w:t>
      </w:r>
      <w:r>
        <w:t xml:space="preserve">. Legacy puts the phase-out into the supply cost, where the price controls absorb (1 -</w:t>
      </w:r>
      <w:r>
        <w:t xml:space="preserve"> </w:t>
      </w:r>
      <w:r>
        <w:rPr>
          <w:rStyle w:val="VerbatimChar"/>
        </w:rPr>
        <w:t xml:space="preserve">pcc</w:t>
      </w:r>
      <w:r>
        <w:t xml:space="preserve">) of it; the wedge x</w:t>
      </w:r>
      <w:r>
        <w:t xml:space="preserve"> </w:t>
      </w:r>
      <w:r>
        <w:rPr>
          <w:rStyle w:val="VerbatimChar"/>
        </w:rPr>
        <w:t xml:space="preserve">pcc</w:t>
      </w:r>
      <w:r>
        <w:t xml:space="preserve"> </w:t>
      </w:r>
      <w:r>
        <w:t xml:space="preserve">gives the same price except where the excise floor binds. Legacy bugs fixed: L124 (residential gas read the oil value) and L125 (other oil products added a per-liter value to a per-barrel price). Egypt: no producer subsidy data (0).</w:t>
      </w:r>
      <w:r>
        <w:t xml:space="preserve"> </w:t>
      </w:r>
      <w:r>
        <w:t xml:space="preserve">-</w:t>
      </w:r>
      <w:r>
        <w:t xml:space="preserve"> </w:t>
      </w:r>
      <w:r>
        <w:rPr>
          <w:bCs/>
          <w:b/>
        </w:rPr>
        <w:t xml:space="preserve">Not yet:</w:t>
      </w:r>
      <w:r>
        <w:t xml:space="preserve"> </w:t>
      </w:r>
      <w:r>
        <w:t xml:space="preserve">electricity consumer subsidy phase-out (PowerSubsidyExemptInclude, default DoNotPhaseOut) and the electricity producer subsidy in the power price: with the power features (legacy bugs L83, L84 to fix then).</w:t>
      </w:r>
    </w:p>
    <w:bookmarkEnd w:id="51"/>
    <w:bookmarkStart w:id="52" w:name="Xa3bd2eec67d2c66bebf3556a057ca03ad0e6fcd"/>
    <w:p>
      <w:pPr>
        <w:pStyle w:val="Heading3"/>
      </w:pPr>
      <w:r>
        <w:t xml:space="preserve">7. Average prices and price indices (memo at the end of section 2)</w:t>
      </w:r>
    </w:p>
    <w:p>
      <w:pPr>
        <w:pStyle w:val="FirstParagraph"/>
      </w:pPr>
      <w:r>
        <w:t xml:space="preserve">The memo summarises the after-tax prices including new policies (</w:t>
      </w:r>
      <w:r>
        <w:rPr>
          <w:rStyle w:val="VerbatimChar"/>
        </w:rPr>
        <w:t xml:space="preserve">atp</w:t>
      </w:r>
      <w:r>
        <w:t xml:space="preserve">, sections 5-8; electricity</w:t>
      </w:r>
      <w:r>
        <w:t xml:space="preserve"> </w:t>
      </w:r>
      <w:r>
        <w:rPr>
          <w:rStyle w:val="VerbatimChar"/>
        </w:rPr>
        <w:t xml:space="preserve">rp</w:t>
      </w:r>
      <w:r>
        <w:t xml:space="preserve">, section 3). There is one block per fuel, one for electricity and one for all energy. Sums run over the 16 subsectors; electricity runs over the residential and industry price groups.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w:t>
            </w:r>
          </w:p>
        </w:tc>
        <w:tc>
          <w:tcPr/>
          <w:p>
            <w:pPr>
              <w:pStyle w:val="Compact"/>
              <w:jc w:val="left"/>
            </w:pPr>
            <w:r>
              <w:t xml:space="preserve">Formula</w:t>
            </w:r>
          </w:p>
        </w:tc>
        <w:tc>
          <w:tcPr/>
          <w:p>
            <w:pPr>
              <w:pStyle w:val="Compact"/>
              <w:jc w:val="left"/>
            </w:pPr>
            <w:r>
              <w:t xml:space="preserve">Meaning</w:t>
            </w:r>
          </w:p>
        </w:tc>
      </w:tr>
      <w:tr>
        <w:tc>
          <w:tcPr/>
          <w:p>
            <w:pPr>
              <w:pStyle w:val="Compact"/>
              <w:jc w:val="left"/>
            </w:pPr>
            <w:r>
              <w:rPr>
                <w:rStyle w:val="VerbatimChar"/>
              </w:rPr>
              <w:t xml:space="preserve">pav.sp</w:t>
            </w:r>
          </w:p>
        </w:tc>
        <w:tc>
          <w:tcPr/>
          <w:p>
            <w:pPr>
              <w:pStyle w:val="Compact"/>
              <w:jc w:val="left"/>
            </w:pPr>
            <w:r>
              <w:t xml:space="preserve">Σ p·q</w:t>
            </w:r>
          </w:p>
        </w:tc>
        <w:tc>
          <w:tcPr/>
          <w:p>
            <w:pPr>
              <w:pStyle w:val="Compact"/>
              <w:jc w:val="left"/>
            </w:pPr>
            <w:r>
              <w:t xml:space="preserve">Spending, own quantities</w:t>
            </w:r>
          </w:p>
        </w:tc>
      </w:tr>
      <w:tr>
        <w:tc>
          <w:tcPr/>
          <w:p>
            <w:pPr>
              <w:pStyle w:val="Compact"/>
              <w:jc w:val="left"/>
            </w:pPr>
            <w:r>
              <w:rPr>
                <w:rStyle w:val="VerbatimChar"/>
              </w:rPr>
              <w:t xml:space="preserve">pav.q</w:t>
            </w:r>
          </w:p>
        </w:tc>
        <w:tc>
          <w:tcPr/>
          <w:p>
            <w:pPr>
              <w:pStyle w:val="Compact"/>
              <w:jc w:val="left"/>
            </w:pPr>
            <w:r>
              <w:t xml:space="preserve">Σ q</w:t>
            </w:r>
          </w:p>
        </w:tc>
        <w:tc>
          <w:tcPr/>
          <w:p>
            <w:pPr>
              <w:pStyle w:val="Compact"/>
              <w:jc w:val="left"/>
            </w:pPr>
            <w:r>
              <w:t xml:space="preserve">Fuel use</w:t>
            </w:r>
          </w:p>
        </w:tc>
      </w:tr>
      <w:tr>
        <w:tc>
          <w:tcPr/>
          <w:p>
            <w:pPr>
              <w:pStyle w:val="Compact"/>
              <w:jc w:val="left"/>
            </w:pPr>
            <w:r>
              <w:rPr>
                <w:rStyle w:val="VerbatimChar"/>
              </w:rPr>
              <w:t xml:space="preserve">pav.uv</w:t>
            </w:r>
          </w:p>
        </w:tc>
        <w:tc>
          <w:tcPr/>
          <w:p>
            <w:pPr>
              <w:pStyle w:val="Compact"/>
              <w:jc w:val="left"/>
            </w:pPr>
            <w:r>
              <w:t xml:space="preserve">Σ p·q / Σ q</w:t>
            </w:r>
          </w:p>
        </w:tc>
        <w:tc>
          <w:tcPr/>
          <w:p>
            <w:pPr>
              <w:pStyle w:val="Compact"/>
              <w:jc w:val="left"/>
            </w:pPr>
            <w:r>
              <w:t xml:space="preserve">Average price (unit value); legacy F5b</w:t>
            </w:r>
          </w:p>
        </w:tc>
      </w:tr>
      <w:tr>
        <w:tc>
          <w:tcPr/>
          <w:p>
            <w:pPr>
              <w:pStyle w:val="Compact"/>
              <w:jc w:val="left"/>
            </w:pPr>
            <w:r>
              <w:rPr>
                <w:rStyle w:val="VerbatimChar"/>
              </w:rPr>
              <w:t xml:space="preserve">pav.spr</w:t>
            </w:r>
          </w:p>
        </w:tc>
        <w:tc>
          <w:tcPr/>
          <w:p>
            <w:pPr>
              <w:pStyle w:val="Compact"/>
              <w:jc w:val="left"/>
            </w:pPr>
            <w:r>
              <w:t xml:space="preserve">Σ p·q₁</w:t>
            </w:r>
          </w:p>
        </w:tc>
        <w:tc>
          <w:tcPr/>
          <w:p>
            <w:pPr>
              <w:pStyle w:val="Compact"/>
              <w:jc w:val="left"/>
            </w:pPr>
            <w:r>
              <w:t xml:space="preserve">Spending at scenario 1 quantities of the same year</w:t>
            </w:r>
          </w:p>
        </w:tc>
      </w:tr>
      <w:tr>
        <w:tc>
          <w:tcPr/>
          <w:p>
            <w:pPr>
              <w:pStyle w:val="Compact"/>
              <w:jc w:val="left"/>
            </w:pPr>
            <w:r>
              <w:rPr>
                <w:rStyle w:val="VerbatimChar"/>
              </w:rPr>
              <w:t xml:space="preserve">pav.las</w:t>
            </w:r>
          </w:p>
        </w:tc>
        <w:tc>
          <w:tcPr/>
          <w:p>
            <w:pPr>
              <w:pStyle w:val="Compact"/>
              <w:jc w:val="left"/>
            </w:pPr>
            <w:r>
              <w:t xml:space="preserve">Σ p·q₁ / Σ p₁·q₁</w:t>
            </w:r>
          </w:p>
        </w:tc>
        <w:tc>
          <w:tcPr/>
          <w:p>
            <w:pPr>
              <w:pStyle w:val="Compact"/>
              <w:jc w:val="left"/>
            </w:pPr>
            <w:r>
              <w:rPr>
                <w:bCs/>
                <w:b/>
              </w:rPr>
              <w:t xml:space="preserve">Price index against scenario 1</w:t>
            </w:r>
            <w:r>
              <w:t xml:space="preserve"> </w:t>
            </w:r>
            <w:r>
              <w:t xml:space="preserve">(Laspeyres; scenario 1 = 1)</w:t>
            </w:r>
          </w:p>
        </w:tc>
      </w:tr>
      <w:tr>
        <w:tc>
          <w:tcPr/>
          <w:p>
            <w:pPr>
              <w:pStyle w:val="Compact"/>
              <w:jc w:val="left"/>
            </w:pPr>
            <w:r>
              <w:rPr>
                <w:rStyle w:val="VerbatimChar"/>
              </w:rPr>
              <w:t xml:space="preserve">pav.sp0</w:t>
            </w:r>
          </w:p>
        </w:tc>
        <w:tc>
          <w:tcPr/>
          <w:p>
            <w:pPr>
              <w:pStyle w:val="Compact"/>
              <w:jc w:val="left"/>
            </w:pPr>
            <w:r>
              <w:t xml:space="preserve">Σ p·q₀</w:t>
            </w:r>
          </w:p>
        </w:tc>
        <w:tc>
          <w:tcPr/>
          <w:p>
            <w:pPr>
              <w:pStyle w:val="Compact"/>
              <w:jc w:val="left"/>
            </w:pPr>
            <w:r>
              <w:t xml:space="preserve">Spending at base-year quantities</w:t>
            </w:r>
          </w:p>
        </w:tc>
      </w:tr>
      <w:tr>
        <w:tc>
          <w:tcPr/>
          <w:p>
            <w:pPr>
              <w:pStyle w:val="Compact"/>
              <w:jc w:val="left"/>
            </w:pPr>
            <w:r>
              <w:rPr>
                <w:rStyle w:val="VerbatimChar"/>
              </w:rPr>
              <w:t xml:space="preserve">pav.time</w:t>
            </w:r>
          </w:p>
        </w:tc>
        <w:tc>
          <w:tcPr/>
          <w:p>
            <w:pPr>
              <w:pStyle w:val="Compact"/>
              <w:jc w:val="left"/>
            </w:pPr>
            <w:r>
              <w:t xml:space="preserve">Σ p·q₀ / Σ p₀·q₀</w:t>
            </w:r>
          </w:p>
        </w:tc>
        <w:tc>
          <w:tcPr/>
          <w:p>
            <w:pPr>
              <w:pStyle w:val="Compact"/>
              <w:jc w:val="left"/>
            </w:pPr>
            <w:r>
              <w:rPr>
                <w:bCs/>
                <w:b/>
              </w:rPr>
              <w:t xml:space="preserve">Price index over time</w:t>
            </w:r>
            <w:r>
              <w:t xml:space="preserve"> </w:t>
            </w:r>
            <w:r>
              <w:t xml:space="preserve">(base year = 1)</w:t>
            </w:r>
          </w:p>
        </w:tc>
      </w:tr>
      <w:tr>
        <w:tc>
          <w:tcPr/>
          <w:p>
            <w:pPr>
              <w:pStyle w:val="Compact"/>
              <w:jc w:val="left"/>
            </w:pPr>
            <w:r>
              <w:rPr>
                <w:rStyle w:val="VerbatimChar"/>
              </w:rPr>
              <w:t xml:space="preserve">pav.mix</w:t>
            </w:r>
          </w:p>
        </w:tc>
        <w:tc>
          <w:tcPr/>
          <w:p>
            <w:pPr>
              <w:pStyle w:val="Compact"/>
              <w:jc w:val="left"/>
            </w:pPr>
            <w:r>
              <w:t xml:space="preserve">(uv / uv₁) / las</w:t>
            </w:r>
          </w:p>
        </w:tc>
        <w:tc>
          <w:tcPr/>
          <w:p>
            <w:pPr>
              <w:pStyle w:val="Compact"/>
              <w:jc w:val="left"/>
            </w:pPr>
            <w:r>
              <w:t xml:space="preserve">Mix effect: what the unit-value ratio adds to the price index</w:t>
            </w:r>
          </w:p>
        </w:tc>
      </w:tr>
      <w:tr>
        <w:tc>
          <w:tcPr/>
          <w:p>
            <w:pPr>
              <w:pStyle w:val="Compact"/>
              <w:jc w:val="left"/>
            </w:pPr>
            <w:r>
              <w:rPr>
                <w:rStyle w:val="VerbatimChar"/>
              </w:rPr>
              <w:t xml:space="preserve">pav.leg</w:t>
            </w:r>
          </w:p>
        </w:tc>
        <w:tc>
          <w:tcPr/>
          <w:p>
            <w:pPr>
              <w:pStyle w:val="Compact"/>
              <w:jc w:val="left"/>
            </w:pPr>
            <w:r>
              <w:t xml:space="preserve">see below</w:t>
            </w:r>
          </w:p>
        </w:tc>
        <w:tc>
          <w:tcPr/>
          <w:p>
            <w:pPr>
              <w:pStyle w:val="Compact"/>
              <w:jc w:val="left"/>
            </w:pPr>
            <w:r>
              <w:rPr>
                <w:bCs/>
                <w:b/>
              </w:rPr>
              <w:t xml:space="preserve">Average price as legacy F5b</w:t>
            </w:r>
            <w:r>
              <w:t xml:space="preserve"> </w:t>
            </w:r>
            <w:r>
              <w:t xml:space="preserve">(v4.15, I31)</w:t>
            </w:r>
          </w:p>
        </w:tc>
      </w:tr>
      <w:tr>
        <w:tc>
          <w:tcPr/>
          <w:p>
            <w:pPr>
              <w:pStyle w:val="Compact"/>
              <w:jc w:val="left"/>
            </w:pPr>
            <w:r>
              <w:rPr>
                <w:rStyle w:val="VerbatimChar"/>
              </w:rPr>
              <w:t xml:space="preserve">pav.lidx</w:t>
            </w:r>
          </w:p>
        </w:tc>
        <w:tc>
          <w:tcPr/>
          <w:p>
            <w:pPr>
              <w:pStyle w:val="Compact"/>
              <w:jc w:val="left"/>
            </w:pPr>
            <w:r>
              <w:t xml:space="preserve">leg / leg₁</w:t>
            </w:r>
          </w:p>
        </w:tc>
        <w:tc>
          <w:tcPr/>
          <w:p>
            <w:pPr>
              <w:pStyle w:val="Compact"/>
              <w:jc w:val="left"/>
            </w:pPr>
            <w:r>
              <w:t xml:space="preserve">Legacy average price against scenario 1 (fuels without a legacy average:</w:t>
            </w:r>
            <w:r>
              <w:t xml:space="preserve"> </w:t>
            </w:r>
            <w:r>
              <w:rPr>
                <w:rStyle w:val="VerbatimChar"/>
              </w:rPr>
              <w:t xml:space="preserve">pav.las</w:t>
            </w:r>
            <w:r>
              <w:t xml:space="preserve">)</w:t>
            </w:r>
          </w:p>
        </w:tc>
      </w:tr>
      <w:tr>
        <w:tc>
          <w:tcPr/>
          <w:p>
            <w:pPr>
              <w:pStyle w:val="Compact"/>
              <w:jc w:val="left"/>
            </w:pPr>
            <w:r>
              <w:rPr>
                <w:rStyle w:val="VerbatimChar"/>
              </w:rPr>
              <w:t xml:space="preserve">pav.idx</w:t>
            </w:r>
          </w:p>
        </w:tc>
        <w:tc>
          <w:tcPr/>
          <w:p>
            <w:pPr>
              <w:pStyle w:val="Compact"/>
              <w:jc w:val="left"/>
            </w:pPr>
            <w:r>
              <w:t xml:space="preserve">Settings C54</w:t>
            </w:r>
          </w:p>
        </w:tc>
        <w:tc>
          <w:tcPr/>
          <w:p>
            <w:pPr>
              <w:pStyle w:val="Compact"/>
              <w:jc w:val="left"/>
            </w:pPr>
            <w:r>
              <w:rPr>
                <w:bCs/>
                <w:b/>
              </w:rPr>
              <w:t xml:space="preserve">Price index reported</w:t>
            </w:r>
            <w:r>
              <w:t xml:space="preserve"> </w:t>
            </w:r>
            <w:r>
              <w:t xml:space="preserve">(LiveOutputs</w:t>
            </w:r>
            <w:r>
              <w:t xml:space="preserve"> </w:t>
            </w:r>
            <w:r>
              <w:rPr>
                <w:rStyle w:val="VerbatimChar"/>
              </w:rPr>
              <w:t xml:space="preserve">mit.pav.idx</w:t>
            </w:r>
            <w:r>
              <w:t xml:space="preserve">): Legacy* =</w:t>
            </w:r>
            <w:r>
              <w:t xml:space="preserve"> </w:t>
            </w:r>
            <w:r>
              <w:rPr>
                <w:rStyle w:val="VerbatimChar"/>
              </w:rPr>
              <w:t xml:space="preserve">pav.lidx</w:t>
            </w:r>
            <w:r>
              <w:t xml:space="preserve"> </w:t>
            </w:r>
            <w:r>
              <w:t xml:space="preserve">(default), Laspeyres =</w:t>
            </w:r>
            <w:r>
              <w:t xml:space="preserve"> </w:t>
            </w:r>
            <w:r>
              <w:rPr>
                <w:rStyle w:val="VerbatimChar"/>
              </w:rPr>
              <w:t xml:space="preserve">pav.las</w:t>
            </w:r>
          </w:p>
        </w:tc>
      </w:tr>
    </w:tbl>
    <w:p>
      <w:pPr>
        <w:pStyle w:val="BodyText"/>
      </w:pPr>
      <w:r>
        <w:t xml:space="preserve">Legacy averages (v4.15, issue I31, user 2026-10-18: legacy as the default; legacy rows 16293-16405): coal and gas average the prices of power generation, residential and industry (section 2 blocks</w:t>
      </w:r>
      <w:r>
        <w:t xml:space="preserve"> </w:t>
      </w:r>
      <w:r>
        <w:rPr>
          <w:rStyle w:val="VerbatimChar"/>
        </w:rPr>
        <w:t xml:space="preserve">.res</w:t>
      </w:r>
      <w:r>
        <w:t xml:space="preserve">,</w:t>
      </w:r>
      <w:r>
        <w:t xml:space="preserve"> </w:t>
      </w:r>
      <w:r>
        <w:rPr>
          <w:rStyle w:val="VerbatimChar"/>
        </w:rPr>
        <w:t xml:space="preserve">.ind</w:t>
      </w:r>
      <w:r>
        <w:t xml:space="preserve">:</w:t>
      </w:r>
      <w:r>
        <w:t xml:space="preserve"> </w:t>
      </w:r>
      <w:r>
        <w:rPr>
          <w:rStyle w:val="VerbatimChar"/>
        </w:rPr>
        <w:t xml:space="preserve">rpn</w:t>
      </w:r>
      <w:r>
        <w:t xml:space="preserve">; power: the pre-policy price</w:t>
      </w:r>
      <w:r>
        <w:t xml:space="preserve"> </w:t>
      </w:r>
      <w:r>
        <w:rPr>
          <w:rStyle w:val="VerbatimChar"/>
        </w:rPr>
        <w:t xml:space="preserve">rpb</w:t>
      </w:r>
      <w:r>
        <w:t xml:space="preserve"> </w:t>
      </w:r>
      <w:r>
        <w:t xml:space="preserve">of</w:t>
      </w:r>
      <w:r>
        <w:t xml:space="preserve"> </w:t>
      </w:r>
      <w:r>
        <w:rPr>
          <w:rStyle w:val="VerbatimChar"/>
        </w:rPr>
        <w:t xml:space="preserve">.pow</w:t>
      </w:r>
      <w:r>
        <w:t xml:space="preserve"> </w:t>
      </w:r>
      <w:r>
        <w:t xml:space="preserve">plus the policy cost per GJ of the power type,</w:t>
      </w:r>
      <w:r>
        <w:t xml:space="preserve"> </w:t>
      </w:r>
      <w:r>
        <w:rPr>
          <w:rStyle w:val="VerbatimChar"/>
        </w:rPr>
        <w:t xml:space="preserve">pavl.pp</w:t>
      </w:r>
      <w:r>
        <w:t xml:space="preserve">) with the scenario-1 quantities of the same year (residential subsector</w:t>
      </w:r>
      <w:r>
        <w:t xml:space="preserve"> </w:t>
      </w:r>
      <w:r>
        <w:rPr>
          <w:rStyle w:val="VerbatimChar"/>
        </w:rPr>
        <w:t xml:space="preserve">pavl.qr</w:t>
      </w:r>
      <w:r>
        <w:t xml:space="preserve">, the 8 industry subsectors</w:t>
      </w:r>
      <w:r>
        <w:t xml:space="preserve"> </w:t>
      </w:r>
      <w:r>
        <w:rPr>
          <w:rStyle w:val="VerbatimChar"/>
        </w:rPr>
        <w:t xml:space="preserve">pavl.qi</w:t>
      </w:r>
      <w:r>
        <w:t xml:space="preserve">, power generation</w:t>
      </w:r>
      <w:r>
        <w:t xml:space="preserve"> </w:t>
      </w:r>
      <w:r>
        <w:rPr>
          <w:rStyle w:val="VerbatimChar"/>
        </w:rPr>
        <w:t xml:space="preserve">pavl.qp</w:t>
      </w:r>
      <w:r>
        <w:t xml:space="preserve">): a Laspeyres index on three sectors. Electricity averages residential and industry with each scenario’s own consumption (=</w:t>
      </w:r>
      <w:r>
        <w:t xml:space="preserve"> </w:t>
      </w:r>
      <w:r>
        <w:rPr>
          <w:rStyle w:val="VerbatimChar"/>
        </w:rPr>
        <w:t xml:space="preserve">pav.uv</w:t>
      </w:r>
      <w:r>
        <w:t xml:space="preserve">). Oil products take the single price of their</w:t>
      </w:r>
      <w:r>
        <w:t xml:space="preserve"> </w:t>
      </w:r>
      <w:r>
        <w:rPr>
          <w:rStyle w:val="VerbatimChar"/>
        </w:rPr>
        <w:t xml:space="preserve">.all</w:t>
      </w:r>
      <w:r>
        <w:t xml:space="preserve"> </w:t>
      </w:r>
      <w:r>
        <w:t xml:space="preserve">block. Biomass, jet fuel and all energy have no legacy average: their reported index is the Laspeyres one. Legacy bug L77 fixed (its index rows read the wrong fuels).</w:t>
      </w:r>
    </w:p>
    <w:p>
      <w:pPr>
        <w:pStyle w:val="BodyText"/>
      </w:pPr>
      <w:r>
        <w:t xml:space="preserve">Notes on the rows:</w:t>
      </w:r>
      <w:r>
        <w:t xml:space="preserve"> </w:t>
      </w:r>
      <w:r>
        <w:t xml:space="preserve">-</w:t>
      </w:r>
      <w:r>
        <w:t xml:space="preserve"> </w:t>
      </w:r>
      <w:r>
        <w:rPr>
          <w:bCs/>
          <w:b/>
        </w:rPr>
        <w:t xml:space="preserve">Subscripts.</w:t>
      </w:r>
      <w:r>
        <w:t xml:space="preserve"> </w:t>
      </w:r>
      <w:r>
        <w:t xml:space="preserve">₁ is scenario 1 in the same year; ₀ is the base year. Base-year quantities and prices are data, so they are equal in every scenario.</w:t>
      </w:r>
      <w:r>
        <w:t xml:space="preserve"> </w:t>
      </w:r>
      <w:r>
        <w:t xml:space="preserve">-</w:t>
      </w:r>
      <w:r>
        <w:t xml:space="preserve"> </w:t>
      </w:r>
      <w:r>
        <w:rPr>
          <w:bCs/>
          <w:b/>
        </w:rPr>
        <w:t xml:space="preserve">Unit-value ratio = price index × mix effect.</w:t>
      </w:r>
      <w:r>
        <w:t xml:space="preserve"> </w:t>
      </w:r>
      <w:r>
        <w:t xml:space="preserve">Legacy reports the unit-value ratio as the price change (issue I31); here the two parts are separate.</w:t>
      </w:r>
      <w:r>
        <w:t xml:space="preserve"> </w:t>
      </w:r>
      <w:r>
        <w:t xml:space="preserve">-</w:t>
      </w:r>
      <w:r>
        <w:t xml:space="preserve"> </w:t>
      </w:r>
      <w:r>
        <w:rPr>
          <w:bCs/>
          <w:b/>
        </w:rPr>
        <w:t xml:space="preserve">All energy.</w:t>
      </w:r>
      <w:r>
        <w:t xml:space="preserve"> </w:t>
      </w:r>
      <w:r>
        <w:t xml:space="preserve">Spending is in USD million: fuel spending × PJ per ktoe, plus electricity spending (USD/kWh × GWh). Fuel use is in ktoe, with electricity converted (GWh × GJ per kWh / PJ per ktoe).</w:t>
      </w:r>
      <w:r>
        <w:t xml:space="preserve"> </w:t>
      </w:r>
      <w:r>
        <w:t xml:space="preserve">-</w:t>
      </w:r>
      <w:r>
        <w:t xml:space="preserve"> </w:t>
      </w:r>
      <w:r>
        <w:rPr>
          <w:bCs/>
          <w:b/>
        </w:rPr>
        <w:t xml:space="preserve">Electricity.</w:t>
      </w:r>
      <w:r>
        <w:t xml:space="preserve"> </w:t>
      </w:r>
      <w:r>
        <w:t xml:space="preserve">Units are USD/kWh and GWh.</w:t>
      </w:r>
      <w:r>
        <w:t xml:space="preserve"> </w:t>
      </w:r>
      <w:r>
        <w:t xml:space="preserve">-</w:t>
      </w:r>
      <w:r>
        <w:t xml:space="preserve"> </w:t>
      </w:r>
      <w:r>
        <w:rPr>
          <w:bCs/>
          <w:b/>
        </w:rPr>
        <w:t xml:space="preserve">Lookups.</w:t>
      </w:r>
      <w:r>
        <w:t xml:space="preserve"> </w:t>
      </w:r>
      <w:r>
        <w:t xml:space="preserve">Header row 10 gives the position of scenario 1’s column for each year, so the scenario-1 quantities are a lookup (</w:t>
      </w:r>
      <w:r>
        <w:rPr>
          <w:rStyle w:val="VerbatimChar"/>
        </w:rPr>
        <w:t xml:space="preserve">INDEX(...,0,row 10)</w:t>
      </w:r>
      <w:r>
        <w:t xml:space="preserve">).</w:t>
      </w:r>
    </w:p>
    <w:bookmarkEnd w:id="52"/>
    <w:bookmarkStart w:id="53" w:name="left-out-later-steps"/>
    <w:p>
      <w:pPr>
        <w:pStyle w:val="Heading3"/>
      </w:pPr>
      <w:r>
        <w:t xml:space="preserve">8. Left out (later steps)</w:t>
      </w:r>
    </w:p>
    <w:p>
      <w:pPr>
        <w:numPr>
          <w:ilvl w:val="0"/>
          <w:numId w:val="1022"/>
        </w:numPr>
        <w:pStyle w:val="Compact"/>
      </w:pPr>
      <w:r>
        <w:t xml:space="preserve">Electricity subsidy phase-outs (power features).</w:t>
      </w:r>
    </w:p>
    <w:p>
      <w:pPr>
        <w:numPr>
          <w:ilvl w:val="0"/>
          <w:numId w:val="1022"/>
        </w:numPr>
        <w:pStyle w:val="Compact"/>
      </w:pPr>
      <w:r>
        <w:t xml:space="preserve">The Europe shift to LNG.</w:t>
      </w:r>
    </w:p>
    <w:p>
      <w:pPr>
        <w:numPr>
          <w:ilvl w:val="0"/>
          <w:numId w:val="1022"/>
        </w:numPr>
        <w:pStyle w:val="Compact"/>
      </w:pPr>
      <w:r>
        <w:t xml:space="preserve">Ad-valorem baseline taxes (Egypt: Fixed).</w:t>
      </w:r>
    </w:p>
    <w:bookmarkEnd w:id="53"/>
    <w:bookmarkStart w:id="54" w:name="europe-gas-market-shift-to-lng-v5.6-ld20"/>
    <w:p>
      <w:pPr>
        <w:pStyle w:val="Heading3"/>
      </w:pPr>
      <w:r>
        <w:t xml:space="preserve">Europe gas market: shift to LNG (v5.6, LD20)</w:t>
      </w:r>
    </w:p>
    <w:p>
      <w:pPr>
        <w:pStyle w:val="FirstParagraph"/>
      </w:pPr>
      <w:r>
        <w:t xml:space="preserve">For countries in the European gas market, the international gas price is Europe x (1 - s) + LNG x s, with s the share of gas from outside Russia (Inputs_pint row 3: 0.58 in 2022, 0.603 in 2023, 0.734 in 2024, 0.834 from 2025; legacy rows 699, 706), series nga.eus by source. Legacy reads a per-country ad-valorem flag for baseline taxes (Prices_int H, Mitigation F77) but no formula uses it: taxes are fixed in both.</w:t>
      </w:r>
    </w:p>
    <w:bookmarkEnd w:id="54"/>
    <w:bookmarkEnd w:id="55"/>
    <w:bookmarkStart w:id="72" w:name="X818fcee522659a234f29ed51f8f9111b290576d"/>
    <w:p>
      <w:pPr>
        <w:pStyle w:val="Heading1"/>
      </w:pPr>
      <w:r>
        <w:t xml:space="preserve">Method: power generation costs and electricity prices</w:t>
      </w:r>
    </w:p>
    <w:p>
      <w:pPr>
        <w:pStyle w:val="FirstParagraph"/>
      </w:pPr>
      <w:r>
        <w:rPr>
          <w:iCs/>
          <w:i/>
        </w:rPr>
        <w:t xml:space="preserve">Source:</w:t>
      </w:r>
      <w:r>
        <w:rPr>
          <w:iCs/>
          <w:i/>
        </w:rPr>
        <w:t xml:space="preserve"> </w:t>
      </w:r>
      <w:r>
        <w:rPr>
          <w:rStyle w:val="VerbatimChar"/>
          <w:iCs/>
          <w:i/>
        </w:rPr>
        <w:t xml:space="preserve">PowerPrices_Method_v7_0.md</w:t>
      </w:r>
      <w:r>
        <w:rPr>
          <w:iCs/>
          <w:i/>
        </w:rPr>
        <w:t xml:space="preserve">.</w:t>
      </w:r>
    </w:p>
    <w:p>
      <w:pPr>
        <w:pStyle w:val="BodyText"/>
      </w:pPr>
      <w:r>
        <w:t xml:space="preserve">Equations:</w:t>
      </w:r>
      <w:r>
        <w:t xml:space="preserve"> </w:t>
      </w:r>
      <w:r>
        <w:rPr>
          <w:rStyle w:val="VerbatimChar"/>
        </w:rPr>
        <w:t xml:space="preserve">Equations_v7_0.md</w:t>
      </w:r>
      <w:r>
        <w:t xml:space="preserve">; workbook formulas:</w:t>
      </w:r>
      <w:r>
        <w:t xml:space="preserve"> </w:t>
      </w:r>
      <w:r>
        <w:rPr>
          <w:rStyle w:val="VerbatimChar"/>
        </w:rPr>
        <w:t xml:space="preserve">Formulas_v7_0.md</w:t>
      </w:r>
      <w:r>
        <w:t xml:space="preserve">.</w:t>
      </w:r>
    </w:p>
    <w:p>
      <w:pPr>
        <w:pStyle w:val="BodyText"/>
      </w:pPr>
      <w:r>
        <w:rPr>
          <w:bCs/>
          <w:b/>
        </w:rPr>
        <w:t xml:space="preserve">Scope.</w:t>
      </w:r>
      <w:r>
        <w:t xml:space="preserve"> </w:t>
      </w:r>
      <w:r>
        <w:t xml:space="preserve">The price side of the power sector:</w:t>
      </w:r>
      <w:r>
        <w:t xml:space="preserve"> </w:t>
      </w:r>
      <w:r>
        <w:t xml:space="preserve">- what each generation type costs per kWh;</w:t>
      </w:r>
      <w:r>
        <w:t xml:space="preserve"> </w:t>
      </w:r>
      <w:r>
        <w:t xml:space="preserve">- what the generation mix costs on average;</w:t>
      </w:r>
      <w:r>
        <w:t xml:space="preserve"> </w:t>
      </w:r>
      <w:r>
        <w:t xml:space="preserve">- the end-user electricity prices for residential and industrial users;</w:t>
      </w:r>
      <w:r>
        <w:t xml:space="preserve"> </w:t>
      </w:r>
      <w:r>
        <w:t xml:space="preserve">- the power-sector carbon cost and its revenue, by user group and by generation type, and the power part of the revenue totals.</w:t>
      </w:r>
    </w:p>
    <w:p>
      <w:pPr>
        <w:pStyle w:val="BodyText"/>
      </w:pPr>
      <w:r>
        <w:t xml:space="preserve">It follows legacy CPAT section 4 (</w:t>
      </w:r>
      <w:r>
        <w:t xml:space="preserve">“</w:t>
      </w:r>
      <w:r>
        <w:t xml:space="preserve">Technoeconomic (</w:t>
      </w:r>
      <w:r>
        <w:t xml:space="preserve">‘</w:t>
      </w:r>
      <w:r>
        <w:t xml:space="preserve">engineer</w:t>
      </w:r>
      <w:r>
        <w:t xml:space="preserve">’</w:t>
      </w:r>
      <w:r>
        <w:t xml:space="preserve">) power model</w:t>
      </w:r>
      <w:r>
        <w:t xml:space="preserve">”</w:t>
      </w:r>
      <w:r>
        <w:t xml:space="preserve">, Mitigation rows 2954-3672 and 3867-3927) and documentation chapter 3, sections 3.4.1 and 3.4.2.5, keeping legacy’s sub-table letters (A Inputs, B Amortised costs, C Levelised costs, D Variable costs, E Total costs, F Memos, G End-user prices, J Storage, plus M Revenues by type). The quantities (demand H, dispatch I, capacity K, investment L) come from the engineer model (</w:t>
      </w:r>
      <w:r>
        <w:rPr>
          <w:rStyle w:val="VerbatimChar"/>
        </w:rPr>
        <w:t xml:space="preserve">PowerModel_Method_v7_0.md</w:t>
      </w:r>
      <w:r>
        <w:t xml:space="preserve">): generation shares, investment shares and consumption. A policy scenario’s power prices therefore respond to its own generation mix, investment and demand.</w:t>
      </w:r>
    </w:p>
    <w:p>
      <w:pPr>
        <w:pStyle w:val="BodyText"/>
      </w:pPr>
      <w:r>
        <w:t xml:space="preserve">Units: real US dollars of the results year (2026) per kWh, unless stated. Every ScenarioDefinition power setting (pass-through, minimum cost, storage, WACC, capacity factor and efficiency bounds, renewable subsidy, rebate, excise) is read in the scenario’s own ScenarioDefinition column (</w:t>
      </w:r>
      <w:r>
        <w:rPr>
          <w:rStyle w:val="VerbatimChar"/>
        </w:rPr>
        <w:t xml:space="preserve">PowerModel_Method_v7_0.md</w:t>
      </w:r>
      <w:r>
        <w:t xml:space="preserve">, inputs by scenario). Generation types</w:t>
      </w:r>
      <w:r>
        <w:t xml:space="preserve"> </w:t>
      </w:r>
      <w:r>
        <w:rPr>
          <w:iCs/>
          <w:i/>
        </w:rPr>
        <w:t xml:space="preserve">f</w:t>
      </w:r>
      <w:r>
        <w:t xml:space="preserve">: coal, natural gas, oil, nuclear, wind, solar, hydro, other renewables, biomass (legacy order).</w:t>
      </w:r>
    </w:p>
    <w:bookmarkStart w:id="56" w:name="interactions"/>
    <w:p>
      <w:pPr>
        <w:pStyle w:val="Heading3"/>
      </w:pPr>
      <w:r>
        <w:t xml:space="preserve">1. Interactions</w:t>
      </w:r>
    </w:p>
    <w:p>
      <w:pPr>
        <w:pStyle w:val="FirstParagraph"/>
      </w:pPr>
      <w:r>
        <w:t xml:space="preserve">The price block is mostly a one-way chain. The table lists its links with the rest of the model and how legacy keeps them free of circular references; the MVP implements all of them.</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From</w:t>
            </w:r>
          </w:p>
        </w:tc>
        <w:tc>
          <w:tcPr/>
          <w:p>
            <w:pPr>
              <w:pStyle w:val="Compact"/>
              <w:jc w:val="left"/>
            </w:pPr>
            <w:r>
              <w:t xml:space="preserve">To</w:t>
            </w:r>
          </w:p>
        </w:tc>
        <w:tc>
          <w:tcPr/>
          <w:p>
            <w:pPr>
              <w:pStyle w:val="Compact"/>
              <w:jc w:val="left"/>
            </w:pPr>
            <w:r>
              <w:t xml:space="preserve">What flows</w:t>
            </w:r>
          </w:p>
        </w:tc>
        <w:tc>
          <w:tcPr/>
          <w:p>
            <w:pPr>
              <w:pStyle w:val="Compact"/>
              <w:jc w:val="left"/>
            </w:pPr>
            <w:r>
              <w:t xml:space="preserve">How the loop is broken (legacy)</w:t>
            </w:r>
          </w:p>
        </w:tc>
      </w:tr>
      <w:tr>
        <w:tc>
          <w:tcPr/>
          <w:p>
            <w:pPr>
              <w:pStyle w:val="Compact"/>
              <w:jc w:val="left"/>
            </w:pPr>
            <w:r>
              <w:t xml:space="preserve">I1</w:t>
            </w:r>
          </w:p>
        </w:tc>
        <w:tc>
          <w:tcPr/>
          <w:p>
            <w:pPr>
              <w:pStyle w:val="Compact"/>
              <w:jc w:val="left"/>
            </w:pPr>
            <w:r>
              <w:t xml:space="preserve">Fuel prices (coal and gas for power, oil, biomass)</w:t>
            </w:r>
          </w:p>
        </w:tc>
        <w:tc>
          <w:tcPr/>
          <w:p>
            <w:pPr>
              <w:pStyle w:val="Compact"/>
              <w:jc w:val="left"/>
            </w:pPr>
            <w:r>
              <w:t xml:space="preserve">D Variable costs</w:t>
            </w:r>
          </w:p>
        </w:tc>
        <w:tc>
          <w:tcPr/>
          <w:p>
            <w:pPr>
              <w:pStyle w:val="Compact"/>
              <w:jc w:val="left"/>
            </w:pPr>
            <w:r>
              <w:t xml:space="preserve">Fuel price before new policies ($/GJ, $/bbl)</w:t>
            </w:r>
          </w:p>
        </w:tc>
        <w:tc>
          <w:tcPr/>
          <w:p>
            <w:pPr>
              <w:pStyle w:val="Compact"/>
              <w:jc w:val="left"/>
            </w:pPr>
            <w:r>
              <w:t xml:space="preserve">One way</w:t>
            </w:r>
          </w:p>
        </w:tc>
      </w:tr>
      <w:tr>
        <w:tc>
          <w:tcPr/>
          <w:p>
            <w:pPr>
              <w:pStyle w:val="Compact"/>
              <w:jc w:val="left"/>
            </w:pPr>
            <w:r>
              <w:t xml:space="preserve">I2</w:t>
            </w:r>
          </w:p>
        </w:tc>
        <w:tc>
          <w:tcPr/>
          <w:p>
            <w:pPr>
              <w:pStyle w:val="Compact"/>
              <w:jc w:val="left"/>
            </w:pPr>
            <w:r>
              <w:t xml:space="preserve">Policies (carbon price, ETS power coverage, fuel price reform)</w:t>
            </w:r>
          </w:p>
        </w:tc>
        <w:tc>
          <w:tcPr/>
          <w:p>
            <w:pPr>
              <w:pStyle w:val="Compact"/>
              <w:jc w:val="left"/>
            </w:pPr>
            <w:r>
              <w:t xml:space="preserve">D Carbon cost; G end-user prices; revenues</w:t>
            </w:r>
          </w:p>
        </w:tc>
        <w:tc>
          <w:tcPr/>
          <w:p>
            <w:pPr>
              <w:pStyle w:val="Compact"/>
              <w:jc w:val="left"/>
            </w:pPr>
            <w:r>
              <w:t xml:space="preserve">Carbon cost per kWh by generation type</w:t>
            </w:r>
          </w:p>
        </w:tc>
        <w:tc>
          <w:tcPr/>
          <w:p>
            <w:pPr>
              <w:pStyle w:val="Compact"/>
              <w:jc w:val="left"/>
            </w:pPr>
            <w:r>
              <w:t xml:space="preserve">One way</w:t>
            </w:r>
          </w:p>
        </w:tc>
      </w:tr>
      <w:tr>
        <w:tc>
          <w:tcPr/>
          <w:p>
            <w:pPr>
              <w:pStyle w:val="Compact"/>
              <w:jc w:val="left"/>
            </w:pPr>
            <w:r>
              <w:t xml:space="preserve">I3</w:t>
            </w:r>
          </w:p>
        </w:tc>
        <w:tc>
          <w:tcPr/>
          <w:p>
            <w:pPr>
              <w:pStyle w:val="Compact"/>
              <w:jc w:val="left"/>
            </w:pPr>
            <w:r>
              <w:t xml:space="preserve">Generation mix (dispatch I, investment L)</w:t>
            </w:r>
          </w:p>
        </w:tc>
        <w:tc>
          <w:tcPr/>
          <w:p>
            <w:pPr>
              <w:pStyle w:val="Compact"/>
              <w:jc w:val="left"/>
            </w:pPr>
            <w:r>
              <w:t xml:space="preserve">E average generation cost; J storage (via the VRE share)</w:t>
            </w:r>
          </w:p>
        </w:tc>
        <w:tc>
          <w:tcPr/>
          <w:p>
            <w:pPr>
              <w:pStyle w:val="Compact"/>
              <w:jc w:val="left"/>
            </w:pPr>
            <w:r>
              <w:t xml:space="preserve">Generation shares by type</w:t>
            </w:r>
          </w:p>
        </w:tc>
        <w:tc>
          <w:tcPr/>
          <w:p>
            <w:pPr>
              <w:pStyle w:val="Compact"/>
              <w:jc w:val="left"/>
            </w:pPr>
            <w:r>
              <w:t xml:space="preserve">Dispatch uses current variable costs, which do not depend on the average cost; prices use last year’s average cost (I5)</w:t>
            </w:r>
          </w:p>
        </w:tc>
      </w:tr>
      <w:tr>
        <w:tc>
          <w:tcPr/>
          <w:p>
            <w:pPr>
              <w:pStyle w:val="Compact"/>
              <w:jc w:val="left"/>
            </w:pPr>
            <w:r>
              <w:t xml:space="preserve">I4</w:t>
            </w:r>
          </w:p>
        </w:tc>
        <w:tc>
          <w:tcPr/>
          <w:p>
            <w:pPr>
              <w:pStyle w:val="Compact"/>
              <w:jc w:val="left"/>
            </w:pPr>
            <w:r>
              <w:t xml:space="preserve">Investment (L)</w:t>
            </w:r>
          </w:p>
        </w:tc>
        <w:tc>
          <w:tcPr/>
          <w:p>
            <w:pPr>
              <w:pStyle w:val="Compact"/>
              <w:jc w:val="left"/>
            </w:pPr>
            <w:r>
              <w:t xml:space="preserve">B weighted average capex and storage cost of vintages</w:t>
            </w:r>
          </w:p>
        </w:tc>
        <w:tc>
          <w:tcPr/>
          <w:p>
            <w:pPr>
              <w:pStyle w:val="Compact"/>
              <w:jc w:val="left"/>
            </w:pPr>
            <w:r>
              <w:t xml:space="preserve">New investment as a share of remaining capacity Φ</w:t>
            </w:r>
          </w:p>
        </w:tc>
        <w:tc>
          <w:tcPr/>
          <w:p>
            <w:pPr>
              <w:pStyle w:val="Compact"/>
              <w:jc w:val="left"/>
            </w:pPr>
            <w:r>
              <w:t xml:space="preserve">B uses last year’s Φ (exact match with legacy, see 3.2)</w:t>
            </w:r>
          </w:p>
        </w:tc>
      </w:tr>
      <w:tr>
        <w:tc>
          <w:tcPr/>
          <w:p>
            <w:pPr>
              <w:pStyle w:val="Compact"/>
              <w:jc w:val="left"/>
            </w:pPr>
            <w:r>
              <w:t xml:space="preserve">I5</w:t>
            </w:r>
          </w:p>
        </w:tc>
        <w:tc>
          <w:tcPr/>
          <w:p>
            <w:pPr>
              <w:pStyle w:val="Compact"/>
              <w:jc w:val="left"/>
            </w:pPr>
            <w:r>
              <w:t xml:space="preserve">E average generation cost</w:t>
            </w:r>
          </w:p>
        </w:tc>
        <w:tc>
          <w:tcPr/>
          <w:p>
            <w:pPr>
              <w:pStyle w:val="Compact"/>
              <w:jc w:val="left"/>
            </w:pPr>
            <w:r>
              <w:t xml:space="preserve">G end-user prices</w:t>
            </w:r>
          </w:p>
        </w:tc>
        <w:tc>
          <w:tcPr/>
          <w:p>
            <w:pPr>
              <w:pStyle w:val="Compact"/>
              <w:jc w:val="left"/>
            </w:pPr>
            <w:r>
              <w:t xml:space="preserve">Supply cost = average generation cost + transmission</w:t>
            </w:r>
          </w:p>
        </w:tc>
        <w:tc>
          <w:tcPr/>
          <w:p>
            <w:pPr>
              <w:pStyle w:val="Compact"/>
              <w:jc w:val="left"/>
            </w:pPr>
            <w:r>
              <w:rPr>
                <w:bCs/>
                <w:b/>
              </w:rPr>
              <w:t xml:space="preserve">Deliberately lagged one year</w:t>
            </w:r>
            <w:r>
              <w:t xml:space="preserve">: the price in</w:t>
            </w:r>
            <w:r>
              <w:t xml:space="preserve"> </w:t>
            </w:r>
            <w:r>
              <w:rPr>
                <w:iCs/>
                <w:i/>
              </w:rPr>
              <w:t xml:space="preserve">t</w:t>
            </w:r>
            <w:r>
              <w:t xml:space="preserve"> </w:t>
            </w:r>
            <w:r>
              <w:t xml:space="preserve">uses the cost of</w:t>
            </w:r>
            <w:r>
              <w:t xml:space="preserve"> </w:t>
            </w:r>
            <w:r>
              <w:rPr>
                <w:iCs/>
                <w:i/>
              </w:rPr>
              <w:t xml:space="preserve">t</w:t>
            </w:r>
            <w:r>
              <w:t xml:space="preserve">−1</w:t>
            </w:r>
          </w:p>
        </w:tc>
      </w:tr>
      <w:tr>
        <w:tc>
          <w:tcPr/>
          <w:p>
            <w:pPr>
              <w:pStyle w:val="Compact"/>
              <w:jc w:val="left"/>
            </w:pPr>
            <w:r>
              <w:t xml:space="preserve">I6</w:t>
            </w:r>
          </w:p>
        </w:tc>
        <w:tc>
          <w:tcPr/>
          <w:p>
            <w:pPr>
              <w:pStyle w:val="Compact"/>
              <w:jc w:val="left"/>
            </w:pPr>
            <w:r>
              <w:t xml:space="preserve">G end-user prices</w:t>
            </w:r>
          </w:p>
        </w:tc>
        <w:tc>
          <w:tcPr/>
          <w:p>
            <w:pPr>
              <w:pStyle w:val="Compact"/>
              <w:jc w:val="left"/>
            </w:pPr>
            <w:r>
              <w:t xml:space="preserve">Electricity demand → generation → I3</w:t>
            </w:r>
          </w:p>
        </w:tc>
        <w:tc>
          <w:tcPr/>
          <w:p>
            <w:pPr>
              <w:pStyle w:val="Compact"/>
              <w:jc w:val="left"/>
            </w:pPr>
            <w:r>
              <w:t xml:space="preserve">Residential and industrial electricity prices</w:t>
            </w:r>
          </w:p>
        </w:tc>
        <w:tc>
          <w:tcPr/>
          <w:p>
            <w:pPr>
              <w:pStyle w:val="Compact"/>
              <w:jc w:val="left"/>
            </w:pPr>
            <w:r>
              <w:t xml:space="preserve">Through I5’s lag; demand (H) uses last year’s prices, by demand group</w:t>
            </w:r>
          </w:p>
        </w:tc>
      </w:tr>
      <w:tr>
        <w:tc>
          <w:tcPr/>
          <w:p>
            <w:pPr>
              <w:pStyle w:val="Compact"/>
              <w:jc w:val="left"/>
            </w:pPr>
            <w:r>
              <w:t xml:space="preserve">I7</w:t>
            </w:r>
          </w:p>
        </w:tc>
        <w:tc>
          <w:tcPr/>
          <w:p>
            <w:pPr>
              <w:pStyle w:val="Compact"/>
              <w:jc w:val="left"/>
            </w:pPr>
            <w:r>
              <w:t xml:space="preserve">J storage (systems cost of renewables)</w:t>
            </w:r>
          </w:p>
        </w:tc>
        <w:tc>
          <w:tcPr/>
          <w:p>
            <w:pPr>
              <w:pStyle w:val="Compact"/>
              <w:jc w:val="left"/>
            </w:pPr>
            <w:r>
              <w:t xml:space="preserve">B (vintage storage cost) and C (levelised, for investment)</w:t>
            </w:r>
          </w:p>
        </w:tc>
        <w:tc>
          <w:tcPr/>
          <w:p>
            <w:pPr>
              <w:pStyle w:val="Compact"/>
              <w:jc w:val="left"/>
            </w:pPr>
            <w:r>
              <w:t xml:space="preserve">Marginal storage cost of wind, solar, other renewables</w:t>
            </w:r>
          </w:p>
        </w:tc>
        <w:tc>
          <w:tcPr/>
          <w:p>
            <w:pPr>
              <w:pStyle w:val="Compact"/>
              <w:jc w:val="left"/>
            </w:pPr>
            <w:r>
              <w:t xml:space="preserve">Uses the current VRE share from dispatch</w:t>
            </w:r>
          </w:p>
        </w:tc>
      </w:tr>
      <w:tr>
        <w:tc>
          <w:tcPr/>
          <w:p>
            <w:pPr>
              <w:pStyle w:val="Compact"/>
              <w:jc w:val="left"/>
            </w:pPr>
            <w:r>
              <w:t xml:space="preserve">I8</w:t>
            </w:r>
          </w:p>
        </w:tc>
        <w:tc>
          <w:tcPr/>
          <w:p>
            <w:pPr>
              <w:pStyle w:val="Compact"/>
              <w:jc w:val="left"/>
            </w:pPr>
            <w:r>
              <w:t xml:space="preserve">C levelised costs, D9 levelised variable costs</w:t>
            </w:r>
          </w:p>
        </w:tc>
        <w:tc>
          <w:tcPr/>
          <w:p>
            <w:pPr>
              <w:pStyle w:val="Compact"/>
              <w:jc w:val="left"/>
            </w:pPr>
            <w:r>
              <w:t xml:space="preserve">Investment logit; F7 switching carbon prices</w:t>
            </w:r>
          </w:p>
        </w:tc>
        <w:tc>
          <w:tcPr/>
          <w:p>
            <w:pPr>
              <w:pStyle w:val="Compact"/>
              <w:jc w:val="left"/>
            </w:pPr>
            <w:r>
              <w:t xml:space="preserve">Levelised total investment cost by type</w:t>
            </w:r>
          </w:p>
        </w:tc>
        <w:tc>
          <w:tcPr/>
          <w:p>
            <w:pPr>
              <w:pStyle w:val="Compact"/>
              <w:jc w:val="left"/>
            </w:pPr>
            <w:r>
              <w:t xml:space="preserve">Investment only: not in end-user prices</w:t>
            </w:r>
          </w:p>
        </w:tc>
      </w:tr>
      <w:tr>
        <w:tc>
          <w:tcPr/>
          <w:p>
            <w:pPr>
              <w:pStyle w:val="Compact"/>
              <w:jc w:val="left"/>
            </w:pPr>
            <w:r>
              <w:t xml:space="preserve">I9</w:t>
            </w:r>
          </w:p>
        </w:tc>
        <w:tc>
          <w:tcPr/>
          <w:p>
            <w:pPr>
              <w:pStyle w:val="Compact"/>
              <w:jc w:val="left"/>
            </w:pPr>
            <w:r>
              <w:t xml:space="preserve">G revenues and M revenues by type</w:t>
            </w:r>
          </w:p>
        </w:tc>
        <w:tc>
          <w:tcPr/>
          <w:p>
            <w:pPr>
              <w:pStyle w:val="Compact"/>
              <w:jc w:val="left"/>
            </w:pPr>
            <w:r>
              <w:t xml:space="preserve">Revenue totals</w:t>
            </w:r>
          </w:p>
        </w:tc>
        <w:tc>
          <w:tcPr/>
          <w:p>
            <w:pPr>
              <w:pStyle w:val="Compact"/>
              <w:jc w:val="left"/>
            </w:pPr>
            <w:r>
              <w:t xml:space="preserve">USD million</w:t>
            </w:r>
          </w:p>
        </w:tc>
        <w:tc>
          <w:tcPr/>
          <w:p>
            <w:pPr>
              <w:pStyle w:val="Compact"/>
              <w:jc w:val="left"/>
            </w:pPr>
            <w:r>
              <w:t xml:space="preserve">One way</w:t>
            </w:r>
          </w:p>
        </w:tc>
      </w:tr>
    </w:tbl>
    <w:p>
      <w:pPr>
        <w:pStyle w:val="BodyText"/>
      </w:pPr>
      <w:r>
        <w:t xml:space="preserve">Two consequences shape the design:</w:t>
      </w:r>
      <w:r>
        <w:t xml:space="preserve"> </w:t>
      </w:r>
      <w:r>
        <w:t xml:space="preserve">1.</w:t>
      </w:r>
      <w:r>
        <w:t xml:space="preserve"> </w:t>
      </w:r>
      <w:r>
        <w:rPr>
          <w:bCs/>
          <w:b/>
        </w:rPr>
        <w:t xml:space="preserve">End-user prices depend on generation costs only through the weighted average</w:t>
      </w:r>
      <w:r>
        <w:t xml:space="preserve"> </w:t>
      </w:r>
      <w:r>
        <w:t xml:space="preserve">(E) and the transmission add-on. Variable, amortised and storage costs matter for prices only as far as they enter that average.</w:t>
      </w:r>
      <w:r>
        <w:t xml:space="preserve"> </w:t>
      </w:r>
      <w:r>
        <w:t xml:space="preserve">2.</w:t>
      </w:r>
      <w:r>
        <w:t xml:space="preserve"> </w:t>
      </w:r>
      <w:r>
        <w:rPr>
          <w:bCs/>
          <w:b/>
        </w:rPr>
        <w:t xml:space="preserve">The renewables systems cost is an interaction inside the price block.</w:t>
      </w:r>
      <w:r>
        <w:t xml:space="preserve"> </w:t>
      </w:r>
      <w:r>
        <w:t xml:space="preserve">The VRE share sets the marginal storage cost (J), which enters the cost of wind and solar in two ways:</w:t>
      </w:r>
      <w:r>
        <w:t xml:space="preserve"> </w:t>
      </w:r>
      <w:r>
        <w:rPr>
          <w:bCs/>
          <w:b/>
        </w:rPr>
        <w:t xml:space="preserve">amortised</w:t>
      </w:r>
      <w:r>
        <w:t xml:space="preserve">, through vintages, in the cost of the existing stock (B), which goes into end-user prices; and</w:t>
      </w:r>
      <w:r>
        <w:t xml:space="preserve"> </w:t>
      </w:r>
      <w:r>
        <w:rPr>
          <w:bCs/>
          <w:b/>
        </w:rPr>
        <w:t xml:space="preserve">levelised</w:t>
      </w:r>
      <w:r>
        <w:t xml:space="preserve">, in the cost of new plants (C), which goes into investment. So a scenario that adds renewables raises their storage cost per kWh, which feeds back into the average generation cost a year later.</w:t>
      </w:r>
    </w:p>
    <w:bookmarkEnd w:id="56"/>
    <w:bookmarkStart w:id="57" w:name="simplifications-against-legacy"/>
    <w:p>
      <w:pPr>
        <w:pStyle w:val="Heading3"/>
      </w:pPr>
      <w:r>
        <w:t xml:space="preserve">2. Simplifications against legacy</w:t>
      </w:r>
    </w:p>
    <w:p>
      <w:pPr>
        <w:pStyle w:val="FirstParagraph"/>
      </w:pPr>
      <w:r>
        <w:t xml:space="preserve">Each gives the same numbers as legacy (checked in the Python reference, section 4) unless stated.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Legacy</w:t>
            </w:r>
          </w:p>
        </w:tc>
        <w:tc>
          <w:tcPr/>
          <w:p>
            <w:pPr>
              <w:pStyle w:val="Compact"/>
              <w:jc w:val="left"/>
            </w:pPr>
            <w:r>
              <w:t xml:space="preserve">MVP</w:t>
            </w:r>
          </w:p>
        </w:tc>
        <w:tc>
          <w:tcPr/>
          <w:p>
            <w:pPr>
              <w:pStyle w:val="Compact"/>
              <w:jc w:val="left"/>
            </w:pPr>
            <w:r>
              <w:t xml:space="preserve">Same numbers?</w:t>
            </w:r>
          </w:p>
        </w:tc>
      </w:tr>
      <w:tr>
        <w:tc>
          <w:tcPr/>
          <w:p>
            <w:pPr>
              <w:pStyle w:val="Compact"/>
              <w:jc w:val="left"/>
            </w:pPr>
            <w:r>
              <w:t xml:space="preserve">S1</w:t>
            </w:r>
          </w:p>
        </w:tc>
        <w:tc>
          <w:tcPr/>
          <w:p>
            <w:pPr>
              <w:pStyle w:val="Compact"/>
              <w:jc w:val="left"/>
            </w:pPr>
            <w:r>
              <w:t xml:space="preserve">Five amortised-cost tables (B3 capital, B4 interest, B5 decommissioning, B6 storage, B7 fixed O&amp;M) summed in B8</w:t>
            </w:r>
          </w:p>
        </w:tc>
        <w:tc>
          <w:tcPr/>
          <w:p>
            <w:pPr>
              <w:pStyle w:val="Compact"/>
              <w:jc w:val="left"/>
            </w:pPr>
            <w:r>
              <w:t xml:space="preserve">One amortised fixed cost per type (3.2)</w:t>
            </w:r>
          </w:p>
        </w:tc>
        <w:tc>
          <w:tcPr/>
          <w:p>
            <w:pPr>
              <w:pStyle w:val="Compact"/>
              <w:jc w:val="left"/>
            </w:pPr>
            <w:r>
              <w:t xml:space="preserve">Yes (algebraically identical)</w:t>
            </w:r>
          </w:p>
        </w:tc>
      </w:tr>
      <w:tr>
        <w:tc>
          <w:tcPr/>
          <w:p>
            <w:pPr>
              <w:pStyle w:val="Compact"/>
              <w:jc w:val="left"/>
            </w:pPr>
            <w:r>
              <w:t xml:space="preserve">S2</w:t>
            </w:r>
          </w:p>
        </w:tc>
        <w:tc>
          <w:tcPr/>
          <w:p>
            <w:pPr>
              <w:pStyle w:val="Compact"/>
              <w:jc w:val="left"/>
            </w:pPr>
            <w:r>
              <w:t xml:space="preserve">Six levelised tables (C1-C6) summed in C7; discount-factor tables A5, A6</w:t>
            </w:r>
          </w:p>
        </w:tc>
        <w:tc>
          <w:tcPr/>
          <w:p>
            <w:pPr>
              <w:pStyle w:val="Compact"/>
              <w:jc w:val="left"/>
            </w:pPr>
            <w:r>
              <w:t xml:space="preserve">One levelised fixed cost per type (3.3), with the discounted lifetime in closed form</w:t>
            </w:r>
          </w:p>
        </w:tc>
        <w:tc>
          <w:tcPr/>
          <w:p>
            <w:pPr>
              <w:pStyle w:val="Compact"/>
              <w:jc w:val="left"/>
            </w:pPr>
            <w:r>
              <w:t xml:space="preserve">Yes</w:t>
            </w:r>
          </w:p>
        </w:tc>
      </w:tr>
      <w:tr>
        <w:tc>
          <w:tcPr/>
          <w:p>
            <w:pPr>
              <w:pStyle w:val="Compact"/>
              <w:jc w:val="left"/>
            </w:pPr>
            <w:r>
              <w:t xml:space="preserve">S3</w:t>
            </w:r>
          </w:p>
        </w:tc>
        <w:tc>
          <w:tcPr/>
          <w:p>
            <w:pPr>
              <w:pStyle w:val="Compact"/>
              <w:jc w:val="left"/>
            </w:pPr>
            <w:r>
              <w:t xml:space="preserve">Duplicates: A16 = B7 = C4 (fixed O&amp;M), D7 = D8 (variable cost), E1 = E4 (investment cost), F2/F3 (fuel prices and fuel cost), E2 (cost before storage), E5 (breakdown memo)</w:t>
            </w:r>
          </w:p>
        </w:tc>
        <w:tc>
          <w:tcPr/>
          <w:p>
            <w:pPr>
              <w:pStyle w:val="Compact"/>
              <w:jc w:val="left"/>
            </w:pPr>
            <w:r>
              <w:t xml:space="preserve">Each quantity once</w:t>
            </w:r>
          </w:p>
        </w:tc>
        <w:tc>
          <w:tcPr/>
          <w:p>
            <w:pPr>
              <w:pStyle w:val="Compact"/>
              <w:jc w:val="left"/>
            </w:pPr>
            <w:r>
              <w:t xml:space="preserve">n/a</w:t>
            </w:r>
          </w:p>
        </w:tc>
      </w:tr>
      <w:tr>
        <w:tc>
          <w:tcPr/>
          <w:p>
            <w:pPr>
              <w:pStyle w:val="Compact"/>
              <w:jc w:val="left"/>
            </w:pPr>
            <w:r>
              <w:t xml:space="preserve">S4</w:t>
            </w:r>
          </w:p>
        </w:tc>
        <w:tc>
          <w:tcPr/>
          <w:p>
            <w:pPr>
              <w:pStyle w:val="Compact"/>
              <w:jc w:val="left"/>
            </w:pPr>
            <w:r>
              <w:t xml:space="preserve">Residential and industrial price: supply cost + producer subsidy + other tax +</w:t>
            </w:r>
            <w:r>
              <w:t xml:space="preserve"> </w:t>
            </w:r>
            <w:r>
              <w:t xml:space="preserve">“</w:t>
            </w:r>
            <w:r>
              <w:t xml:space="preserve">over/under-estimated costs</w:t>
            </w:r>
            <w:r>
              <w:t xml:space="preserve">”</w:t>
            </w:r>
            <w:r>
              <w:t xml:space="preserve"> </w:t>
            </w:r>
            <w:r>
              <w:t xml:space="preserve">residual, the last three held at their last-historical-year values, then VAT</w:t>
            </w:r>
          </w:p>
        </w:tc>
        <w:tc>
          <w:tcPr/>
          <w:p>
            <w:pPr>
              <w:pStyle w:val="Compact"/>
              <w:jc w:val="left"/>
            </w:pPr>
            <w:r>
              <w:t xml:space="preserve">Telescoped: after the last historical year the price before policies changes by pass-through × the change in supply cost × (1 + VAT); data before. The three held components cancel out of the change</w:t>
            </w:r>
          </w:p>
        </w:tc>
        <w:tc>
          <w:tcPr/>
          <w:p>
            <w:pPr>
              <w:pStyle w:val="Compact"/>
              <w:jc w:val="left"/>
            </w:pPr>
            <w:r>
              <w:t xml:space="preserve">Yes (pass-through 1, VAT constant after the last historical year, as legacy)</w:t>
            </w:r>
          </w:p>
        </w:tc>
      </w:tr>
      <w:tr>
        <w:tc>
          <w:tcPr/>
          <w:p>
            <w:pPr>
              <w:pStyle w:val="Compact"/>
              <w:jc w:val="left"/>
            </w:pPr>
            <w:r>
              <w:t xml:space="preserve">S5</w:t>
            </w:r>
          </w:p>
        </w:tc>
        <w:tc>
          <w:tcPr/>
          <w:p>
            <w:pPr>
              <w:pStyle w:val="Compact"/>
              <w:jc w:val="left"/>
            </w:pPr>
            <w:r>
              <w:t xml:space="preserve">Fuel prices for power: 5-year moving average (A18; spot prices are a dashboard option)</w:t>
            </w:r>
          </w:p>
        </w:tc>
        <w:tc>
          <w:tcPr/>
          <w:p>
            <w:pPr>
              <w:pStyle w:val="Compact"/>
              <w:jc w:val="left"/>
            </w:pPr>
            <w:r>
              <w:t xml:space="preserve">v6.2 (legacy bug L126, user 2026-10-20): trailing average of the price before new policies over t-4 .. t within the scenario’s own years (legacy t-2 .. t+2 read later years); spot prices a switch</w:t>
            </w:r>
          </w:p>
        </w:tc>
        <w:tc>
          <w:tcPr/>
          <w:p>
            <w:pPr>
              <w:pStyle w:val="Compact"/>
              <w:jc w:val="left"/>
            </w:pPr>
            <w:r>
              <w:t xml:space="preserve">Price changes reach power costs about two years later</w:t>
            </w:r>
          </w:p>
        </w:tc>
      </w:tr>
      <w:tr>
        <w:tc>
          <w:tcPr/>
          <w:p>
            <w:pPr>
              <w:pStyle w:val="Compact"/>
              <w:jc w:val="left"/>
            </w:pPr>
            <w:r>
              <w:t xml:space="preserve">S6</w:t>
            </w:r>
          </w:p>
        </w:tc>
        <w:tc>
          <w:tcPr/>
          <w:p>
            <w:pPr>
              <w:pStyle w:val="Compact"/>
              <w:jc w:val="left"/>
            </w:pPr>
            <w:r>
              <w:t xml:space="preserve">Coal implicit cost (D3) and the additional shadow price (D6)</w:t>
            </w:r>
          </w:p>
        </w:tc>
        <w:tc>
          <w:tcPr/>
          <w:p>
            <w:pPr>
              <w:pStyle w:val="Compact"/>
              <w:jc w:val="left"/>
            </w:pPr>
            <w:r>
              <w:t xml:space="preserve">Not built (both 0 in the Egypt run, no coal in Egypt’s mix)</w:t>
            </w:r>
          </w:p>
        </w:tc>
        <w:tc>
          <w:tcPr/>
          <w:p>
            <w:pPr>
              <w:pStyle w:val="Compact"/>
              <w:jc w:val="left"/>
            </w:pPr>
            <w:r>
              <w:t xml:space="preserve">Yes for Egypt</w:t>
            </w:r>
          </w:p>
        </w:tc>
      </w:tr>
      <w:tr>
        <w:tc>
          <w:tcPr/>
          <w:p>
            <w:pPr>
              <w:pStyle w:val="Compact"/>
              <w:jc w:val="left"/>
            </w:pPr>
            <w:r>
              <w:t xml:space="preserve">S7</w:t>
            </w:r>
          </w:p>
        </w:tc>
        <w:tc>
          <w:tcPr/>
          <w:p>
            <w:pPr>
              <w:pStyle w:val="Compact"/>
              <w:jc w:val="left"/>
            </w:pPr>
            <w:r>
              <w:t xml:space="preserve">Producer-side subsidies and the over/under-estimate residual as rows</w:t>
            </w:r>
          </w:p>
        </w:tc>
        <w:tc>
          <w:tcPr/>
          <w:p>
            <w:pPr>
              <w:pStyle w:val="Compact"/>
              <w:jc w:val="left"/>
            </w:pPr>
            <w:r>
              <w:t xml:space="preserve">Not needed for prices (S4). Reported as one subsidy gap = price before VAT − supply cost (negative = subsidy), for revenue analysis</w:t>
            </w:r>
          </w:p>
        </w:tc>
        <w:tc>
          <w:tcPr/>
          <w:p>
            <w:pPr>
              <w:pStyle w:val="Compact"/>
              <w:jc w:val="left"/>
            </w:pPr>
            <w:r>
              <w:t xml:space="preserve">Yes for prices</w:t>
            </w:r>
          </w:p>
        </w:tc>
      </w:tr>
    </w:tbl>
    <w:p>
      <w:pPr>
        <w:pStyle w:val="BodyText"/>
      </w:pPr>
      <w:r>
        <w:t xml:space="preserve">The price chain for one scenario has about 330 rows in legacy (A5-G4, J1-J3) and about 140 in the MVP.</w:t>
      </w:r>
    </w:p>
    <w:bookmarkEnd w:id="57"/>
    <w:bookmarkStart w:id="68" w:name="method-by-legacy-sub-table"/>
    <w:p>
      <w:pPr>
        <w:pStyle w:val="Heading3"/>
      </w:pPr>
      <w:r>
        <w:t xml:space="preserve">3. Method by legacy sub-table</w:t>
      </w:r>
    </w:p>
    <w:bookmarkStart w:id="58" w:name="X0363049b0092abddf63e40f8b3d7d045c23ffbb"/>
    <w:p>
      <w:pPr>
        <w:pStyle w:val="Heading4"/>
      </w:pPr>
      <w:r>
        <w:t xml:space="preserve">3.1 A. Inputs (one row of constants per generation type, and a few year paths)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Legacy</w:t>
            </w:r>
          </w:p>
        </w:tc>
      </w:tr>
      <w:tr>
        <w:tc>
          <w:tcPr/>
          <w:p>
            <w:pPr>
              <w:pStyle w:val="Compact"/>
              <w:jc w:val="left"/>
            </w:pPr>
            <w:r>
              <w:t xml:space="preserve">cax0, N</w:t>
            </w:r>
          </w:p>
        </w:tc>
        <w:tc>
          <w:tcPr/>
          <w:p>
            <w:pPr>
              <w:pStyle w:val="Compact"/>
              <w:jc w:val="left"/>
            </w:pPr>
            <w:r>
              <w:t xml:space="preserve">Capital cost at capex time factor 1 ($/kW; legacy base-year cost ÷ base-year factor), lifetime (years)</w:t>
            </w:r>
          </w:p>
        </w:tc>
        <w:tc>
          <w:tcPr/>
          <w:p>
            <w:pPr>
              <w:pStyle w:val="Compact"/>
              <w:jc w:val="left"/>
            </w:pPr>
            <w:r>
              <w:t xml:space="preserve">A2, B2</w:t>
            </w:r>
          </w:p>
        </w:tc>
      </w:tr>
      <w:tr>
        <w:tc>
          <w:tcPr/>
          <w:p>
            <w:pPr>
              <w:pStyle w:val="Compact"/>
              <w:jc w:val="left"/>
            </w:pPr>
            <w:r>
              <w:t xml:space="preserve">tcf(t)</w:t>
            </w:r>
          </w:p>
        </w:tc>
        <w:tc>
          <w:tcPr/>
          <w:p>
            <w:pPr>
              <w:pStyle w:val="Compact"/>
              <w:jc w:val="left"/>
            </w:pPr>
            <w:r>
              <w:t xml:space="preserve">Capex time factor (renewables fall; others 1)</w:t>
            </w:r>
          </w:p>
        </w:tc>
        <w:tc>
          <w:tcPr/>
          <w:p>
            <w:pPr>
              <w:pStyle w:val="Compact"/>
              <w:jc w:val="left"/>
            </w:pPr>
            <w:r>
              <w:t xml:space="preserve">A7</w:t>
            </w:r>
          </w:p>
        </w:tc>
      </w:tr>
      <w:tr>
        <w:tc>
          <w:tcPr/>
          <w:p>
            <w:pPr>
              <w:pStyle w:val="Compact"/>
              <w:jc w:val="left"/>
            </w:pPr>
            <w:r>
              <w:t xml:space="preserve">cax(t) = cax0 × tcf(t)</w:t>
            </w:r>
          </w:p>
        </w:tc>
        <w:tc>
          <w:tcPr/>
          <w:p>
            <w:pPr>
              <w:pStyle w:val="Compact"/>
              <w:jc w:val="left"/>
            </w:pPr>
            <w:r>
              <w:t xml:space="preserve">Capital cost path</w:t>
            </w:r>
          </w:p>
        </w:tc>
        <w:tc>
          <w:tcPr/>
          <w:p>
            <w:pPr>
              <w:pStyle w:val="Compact"/>
              <w:jc w:val="left"/>
            </w:pPr>
            <w:r>
              <w:t xml:space="preserve">A13</w:t>
            </w:r>
          </w:p>
        </w:tc>
      </w:tr>
      <w:tr>
        <w:tc>
          <w:tcPr/>
          <w:p>
            <w:pPr>
              <w:pStyle w:val="Compact"/>
              <w:jc w:val="left"/>
            </w:pPr>
            <w:r>
              <w:t xml:space="preserve">wacc</w:t>
            </w:r>
          </w:p>
        </w:tc>
        <w:tc>
          <w:tcPr/>
          <w:p>
            <w:pPr>
              <w:pStyle w:val="Compact"/>
              <w:jc w:val="left"/>
            </w:pPr>
            <w:r>
              <w:t xml:space="preserve">Country WACC + technology premium</w:t>
            </w:r>
          </w:p>
        </w:tc>
        <w:tc>
          <w:tcPr/>
          <w:p>
            <w:pPr>
              <w:pStyle w:val="Compact"/>
              <w:jc w:val="left"/>
            </w:pPr>
            <w:r>
              <w:t xml:space="preserve">A3, B4</w:t>
            </w:r>
            <w:r>
              <w:t xml:space="preserve"> </w:t>
            </w:r>
            <w:r>
              <w:t xml:space="preserve">“</w:t>
            </w:r>
            <w:r>
              <w:t xml:space="preserve">Final WACC</w:t>
            </w:r>
            <w:r>
              <w:t xml:space="preserve">”</w:t>
            </w:r>
          </w:p>
        </w:tc>
      </w:tr>
      <w:tr>
        <w:tc>
          <w:tcPr/>
          <w:p>
            <w:pPr>
              <w:pStyle w:val="Compact"/>
              <w:jc w:val="left"/>
            </w:pPr>
            <w:r>
              <w:t xml:space="preserve">cf</w:t>
            </w:r>
          </w:p>
        </w:tc>
        <w:tc>
          <w:tcPr/>
          <w:p>
            <w:pPr>
              <w:pStyle w:val="Compact"/>
              <w:jc w:val="left"/>
            </w:pPr>
            <w:r>
              <w:t xml:space="preserve">Capacity factor (constant)</w:t>
            </w:r>
          </w:p>
        </w:tc>
        <w:tc>
          <w:tcPr/>
          <w:p>
            <w:pPr>
              <w:pStyle w:val="Compact"/>
              <w:jc w:val="left"/>
            </w:pPr>
            <w:r>
              <w:t xml:space="preserve">A8</w:t>
            </w:r>
          </w:p>
        </w:tc>
      </w:tr>
      <w:tr>
        <w:tc>
          <w:tcPr/>
          <w:p>
            <w:pPr>
              <w:pStyle w:val="Compact"/>
              <w:jc w:val="left"/>
            </w:pPr>
            <w:r>
              <w:t xml:space="preserve">ν</w:t>
            </w:r>
          </w:p>
        </w:tc>
        <w:tc>
          <w:tcPr/>
          <w:p>
            <w:pPr>
              <w:pStyle w:val="Compact"/>
              <w:jc w:val="left"/>
            </w:pPr>
            <w:r>
              <w:t xml:space="preserve">Thermal efficiency, NCV (constant)</w:t>
            </w:r>
          </w:p>
        </w:tc>
        <w:tc>
          <w:tcPr/>
          <w:p>
            <w:pPr>
              <w:pStyle w:val="Compact"/>
              <w:jc w:val="left"/>
            </w:pPr>
            <w:r>
              <w:t xml:space="preserve">A9</w:t>
            </w:r>
          </w:p>
        </w:tc>
      </w:tr>
      <w:tr>
        <w:tc>
          <w:tcPr/>
          <w:p>
            <w:pPr>
              <w:pStyle w:val="Compact"/>
              <w:jc w:val="left"/>
            </w:pPr>
            <w:r>
              <w:t xml:space="preserve">dtc, tcx</w:t>
            </w:r>
          </w:p>
        </w:tc>
        <w:tc>
          <w:tcPr/>
          <w:p>
            <w:pPr>
              <w:pStyle w:val="Compact"/>
              <w:jc w:val="left"/>
            </w:pPr>
            <w:r>
              <w:t xml:space="preserve">Decommissioning cost; levelised transmission capex ($/kW)</w:t>
            </w:r>
          </w:p>
        </w:tc>
        <w:tc>
          <w:tcPr/>
          <w:p>
            <w:pPr>
              <w:pStyle w:val="Compact"/>
              <w:jc w:val="left"/>
            </w:pPr>
            <w:r>
              <w:t xml:space="preserve">A14, A15</w:t>
            </w:r>
          </w:p>
        </w:tc>
      </w:tr>
      <w:tr>
        <w:tc>
          <w:tcPr/>
          <w:p>
            <w:pPr>
              <w:pStyle w:val="Compact"/>
              <w:jc w:val="left"/>
            </w:pPr>
            <w:r>
              <w:t xml:space="preserve">opf</w:t>
            </w:r>
          </w:p>
        </w:tc>
        <w:tc>
          <w:tcPr/>
          <w:p>
            <w:pPr>
              <w:pStyle w:val="Compact"/>
              <w:jc w:val="left"/>
            </w:pPr>
            <w:r>
              <w:t xml:space="preserve">Fixed O&amp;M ($/kWh)</w:t>
            </w:r>
          </w:p>
        </w:tc>
        <w:tc>
          <w:tcPr/>
          <w:p>
            <w:pPr>
              <w:pStyle w:val="Compact"/>
              <w:jc w:val="left"/>
            </w:pPr>
            <w:r>
              <w:t xml:space="preserve">A16</w:t>
            </w:r>
          </w:p>
        </w:tc>
      </w:tr>
      <w:tr>
        <w:tc>
          <w:tcPr/>
          <w:p>
            <w:pPr>
              <w:pStyle w:val="Compact"/>
              <w:jc w:val="left"/>
            </w:pPr>
            <w:r>
              <w:t xml:space="preserve">vop</w:t>
            </w:r>
          </w:p>
        </w:tc>
        <w:tc>
          <w:tcPr/>
          <w:p>
            <w:pPr>
              <w:pStyle w:val="Compact"/>
              <w:jc w:val="left"/>
            </w:pPr>
            <w:r>
              <w:t xml:space="preserve">Variable O&amp;M ($/kWh); nuclear fuel 0.004 $/kWh included as fuel</w:t>
            </w:r>
          </w:p>
        </w:tc>
        <w:tc>
          <w:tcPr/>
          <w:p>
            <w:pPr>
              <w:pStyle w:val="Compact"/>
              <w:jc w:val="left"/>
            </w:pPr>
            <w:r>
              <w:t xml:space="preserve">D1, D2</w:t>
            </w:r>
          </w:p>
        </w:tc>
      </w:tr>
      <w:tr>
        <w:tc>
          <w:tcPr/>
          <w:p>
            <w:pPr>
              <w:pStyle w:val="Compact"/>
              <w:jc w:val="left"/>
            </w:pPr>
            <w:r>
              <w:t xml:space="preserve">rns</w:t>
            </w:r>
          </w:p>
        </w:tc>
        <w:tc>
          <w:tcPr/>
          <w:p>
            <w:pPr>
              <w:pStyle w:val="Compact"/>
              <w:jc w:val="left"/>
            </w:pPr>
            <w:r>
              <w:t xml:space="preserve">Renewable subsidy ($/kWh, negative = subsidy; 3.3b)</w:t>
            </w:r>
          </w:p>
        </w:tc>
        <w:tc>
          <w:tcPr/>
          <w:p>
            <w:pPr>
              <w:pStyle w:val="Compact"/>
              <w:jc w:val="left"/>
            </w:pPr>
            <w:r>
              <w:t xml:space="preserve">A17</w:t>
            </w:r>
          </w:p>
        </w:tc>
      </w:tr>
      <w:tr>
        <w:tc>
          <w:tcPr/>
          <w:p>
            <w:pPr>
              <w:pStyle w:val="Compact"/>
              <w:jc w:val="left"/>
            </w:pPr>
            <w:r>
              <w:t xml:space="preserve">dlf</w:t>
            </w:r>
          </w:p>
        </w:tc>
        <w:tc>
          <w:tcPr/>
          <w:p>
            <w:pPr>
              <w:pStyle w:val="Compact"/>
              <w:jc w:val="left"/>
            </w:pPr>
            <w:r>
              <w:t xml:space="preserve">Discounted lifetime (1 − (1+wacc)^−N) / (1 − (1+wacc)^−1)</w:t>
            </w:r>
          </w:p>
        </w:tc>
        <w:tc>
          <w:tcPr/>
          <w:p>
            <w:pPr>
              <w:pStyle w:val="Compact"/>
              <w:jc w:val="left"/>
            </w:pPr>
            <w:r>
              <w:t xml:space="preserve">A6</w:t>
            </w:r>
          </w:p>
        </w:tc>
      </w:tr>
    </w:tbl>
    <w:bookmarkEnd w:id="58"/>
    <w:bookmarkStart w:id="59" w:name="Xfb2ba40c811786df0282bd0b3343286be5f3160"/>
    <w:p>
      <w:pPr>
        <w:pStyle w:val="Heading4"/>
      </w:pPr>
      <w:r>
        <w:t xml:space="preserve">3.2 B. Amortised (cost-recovery) fixed costs: the cost of the existing stock</w:t>
      </w:r>
    </w:p>
    <w:p>
      <w:pPr>
        <w:numPr>
          <w:ilvl w:val="0"/>
          <w:numId w:val="1023"/>
        </w:numPr>
        <w:pStyle w:val="Compact"/>
      </w:pPr>
      <w:r>
        <w:t xml:space="preserve">Weighted average capex of the stock: last year’s average and last year’s new capex, weighted by last year’s Φ; in the base year, the base-year capex. Exact match with legacy.</w:t>
      </w:r>
    </w:p>
    <w:p>
      <w:pPr>
        <w:numPr>
          <w:ilvl w:val="0"/>
          <w:numId w:val="1023"/>
        </w:numPr>
        <w:pStyle w:val="Compact"/>
      </w:pPr>
      <w:r>
        <w:t xml:space="preserve">Weighted average storage cost of vintages: the same, but new vintages take the current-year marginal storage cost. Exact match with legacy.</w:t>
      </w:r>
    </w:p>
    <w:p>
      <w:pPr>
        <w:numPr>
          <w:ilvl w:val="0"/>
          <w:numId w:val="1023"/>
        </w:numPr>
        <w:pStyle w:val="Compact"/>
      </w:pPr>
      <w:r>
        <w:t xml:space="preserve">Amortised fixed cost (S1) = (average capex × (1/N + wacc/2) + dtc/N) / (cf × 8,760) + average storage cost + opf.</w:t>
      </w:r>
    </w:p>
    <w:bookmarkEnd w:id="59"/>
    <w:bookmarkStart w:id="60" w:name="X3bf9f08a72fcefebb131fe2f595e64f25ed9539"/>
    <w:p>
      <w:pPr>
        <w:pStyle w:val="Heading4"/>
      </w:pPr>
      <w:r>
        <w:t xml:space="preserve">3.3 C. Levelised (forward-looking) fixed costs: new plants (investment)</w:t>
      </w:r>
    </w:p>
    <w:p>
      <w:pPr>
        <w:pStyle w:val="FirstParagraph"/>
      </w:pPr>
      <w:r>
        <w:t xml:space="preserve">Levelised fixed cost (S2) = (cax + dtc + tcx) / (cf × 8,760 × dlf) + marginal storage cost + opf + rns.</w:t>
      </w:r>
    </w:p>
    <w:bookmarkEnd w:id="60"/>
    <w:bookmarkStart w:id="61" w:name="b-renewable-subsidies-a17-c5"/>
    <w:p>
      <w:pPr>
        <w:pStyle w:val="Heading4"/>
      </w:pPr>
      <w:r>
        <w:t xml:space="preserve">3.3b Renewable subsidies (A17, C5)</w:t>
      </w:r>
    </w:p>
    <w:p>
      <w:pPr>
        <w:numPr>
          <w:ilvl w:val="0"/>
          <w:numId w:val="1024"/>
        </w:numPr>
        <w:pStyle w:val="Compact"/>
      </w:pPr>
      <w:r>
        <w:t xml:space="preserve">Subsidy per kWh rns(t) = −(base subsidy RenewableSubsidyBL + additional subsidy RenSubsidyAddUSDkwh × MAX(0, 1 − (t − start)/n) from the start year RenSubsidyAddStartYear, policy scenarios only), with n = RenSubsidyAddPhaseoutYrs. The inputs are labelled nominal and used as real, as legacy.</w:t>
      </w:r>
    </w:p>
    <w:p>
      <w:pPr>
        <w:numPr>
          <w:ilvl w:val="0"/>
          <w:numId w:val="1024"/>
        </w:numPr>
        <w:pStyle w:val="Compact"/>
      </w:pPr>
      <w:r>
        <w:t xml:space="preserve">It applies to wind, solar, other renewables and biomass, and to hydro if RenewableSubsidyHydro = Yes.</w:t>
      </w:r>
    </w:p>
    <w:p>
      <w:pPr>
        <w:numPr>
          <w:ilvl w:val="0"/>
          <w:numId w:val="1024"/>
        </w:numPr>
        <w:pStyle w:val="Compact"/>
      </w:pPr>
      <w:r>
        <w:t xml:space="preserve">It enters the levelised fixed cost (investment), not the cost of the existing stock or the end-user price; its revenue is rns × generation by type (negative), in the power subsidies and in row ren of the revenue by policy.</w:t>
      </w:r>
    </w:p>
    <w:bookmarkEnd w:id="61"/>
    <w:bookmarkStart w:id="62" w:name="d.-current-variable-costs"/>
    <w:p>
      <w:pPr>
        <w:pStyle w:val="Heading4"/>
      </w:pPr>
      <w:r>
        <w:t xml:space="preserve">3.4 D. Current variable costs</w:t>
      </w:r>
    </w:p>
    <w:p>
      <w:pPr>
        <w:numPr>
          <w:ilvl w:val="0"/>
          <w:numId w:val="1025"/>
        </w:numPr>
        <w:pStyle w:val="Compact"/>
      </w:pPr>
      <w:r>
        <w:t xml:space="preserve">Fuel price for power (A18; v6.2, legacy bug L126): average of the fuel price before new policies</w:t>
      </w:r>
      <w:r>
        <w:t xml:space="preserve"> </w:t>
      </w:r>
      <w:r>
        <w:rPr>
          <w:rStyle w:val="VerbatimChar"/>
        </w:rPr>
        <w:t xml:space="preserve">fpn</w:t>
      </w:r>
      <w:r>
        <w:t xml:space="preserve"> </w:t>
      </w:r>
      <w:r>
        <w:t xml:space="preserve">over t-4 .. t from the base year (one year in 2022, five from 2026); legacy averages t-2 .. t+2, which reads later years. The spot price is a switch. Row</w:t>
      </w:r>
      <w:r>
        <w:t xml:space="preserve"> </w:t>
      </w:r>
      <w:r>
        <w:rPr>
          <w:rStyle w:val="VerbatimChar"/>
        </w:rPr>
        <w:t xml:space="preserve">fpn</w:t>
      </w:r>
      <w:r>
        <w:t xml:space="preserve"> </w:t>
      </w:r>
      <w:r>
        <w:t xml:space="preserve">holds this year’s price, so the average reads one row and only the scenario’s own years.</w:t>
      </w:r>
    </w:p>
    <w:p>
      <w:pPr>
        <w:numPr>
          <w:ilvl w:val="0"/>
          <w:numId w:val="1025"/>
        </w:numPr>
        <w:pStyle w:val="Compact"/>
      </w:pPr>
      <w:r>
        <w:t xml:space="preserve">Fuel cost per kWh = fuel price × 0.0036 / ν. Nuclear: 0.004 $/kWh. Renewables 0.</w:t>
      </w:r>
    </w:p>
    <w:p>
      <w:pPr>
        <w:numPr>
          <w:ilvl w:val="0"/>
          <w:numId w:val="1025"/>
        </w:numPr>
        <w:pStyle w:val="Compact"/>
      </w:pPr>
      <w:r>
        <w:t xml:space="preserve">Change in existing carbon pricing against the price data (</w:t>
      </w:r>
      <w:r>
        <w:rPr>
          <w:rStyle w:val="VerbatimChar"/>
        </w:rPr>
        <w:t xml:space="preserve">PriceProjection_Method_v7_0.md</w:t>
      </w:r>
      <w:r>
        <w:t xml:space="preserve"> </w:t>
      </w:r>
      <w:r>
        <w:t xml:space="preserve">section 5b): tCO2/kWh × the change in the existing carbon tax and ETS price, weighted by their coverage of power and the fuel (0 for Egypt).</w:t>
      </w:r>
    </w:p>
    <w:p>
      <w:pPr>
        <w:numPr>
          <w:ilvl w:val="0"/>
          <w:numId w:val="1025"/>
        </w:numPr>
        <w:pStyle w:val="Compact"/>
      </w:pPr>
      <w:r>
        <w:t xml:space="preserve">Variable cost before new policies = variable O&amp;M + fuel cost + change in existing carbon pricing.</w:t>
      </w:r>
    </w:p>
    <w:p>
      <w:pPr>
        <w:numPr>
          <w:ilvl w:val="0"/>
          <w:numId w:val="1025"/>
        </w:numPr>
        <w:pStyle w:val="Compact"/>
      </w:pPr>
      <w:r>
        <w:t xml:space="preserve">Carbon cost per kWh generated = the new policy wedge on the fuel in power ($/GJ) × 0.0036 / ν. The wedge sums the carbon tax (carbon price × EF × fuel coverage × power coverage × (1 − ETS coverage of power)), the ETS (tax-equivalent price × EF × ETS coverage of power × (1 − OBR share of power)) and the fuel price reform for coal and gas in power.</w:t>
      </w:r>
    </w:p>
    <w:p>
      <w:pPr>
        <w:numPr>
          <w:ilvl w:val="0"/>
          <w:numId w:val="1025"/>
        </w:numPr>
        <w:pStyle w:val="Compact"/>
      </w:pPr>
      <w:r>
        <w:t xml:space="preserve">Total variable cost = cost before new policies + carbon cost + shadow price + rebate (feebates and the output-based part of the ETS). Dispatch uses it.</w:t>
      </w:r>
    </w:p>
    <w:bookmarkEnd w:id="62"/>
    <w:bookmarkStart w:id="63" w:name="e.-total-costs"/>
    <w:p>
      <w:pPr>
        <w:pStyle w:val="Heading4"/>
      </w:pPr>
      <w:r>
        <w:t xml:space="preserve">3.5 E. Total costs</w:t>
      </w:r>
    </w:p>
    <w:p>
      <w:pPr>
        <w:numPr>
          <w:ilvl w:val="0"/>
          <w:numId w:val="1026"/>
        </w:numPr>
        <w:pStyle w:val="Compact"/>
      </w:pPr>
      <w:r>
        <w:t xml:space="preserve">Generation cost before carbon (cost recovery, legacy E3) = amortised fixed cost + variable cost before new policies.</w:t>
      </w:r>
    </w:p>
    <w:p>
      <w:pPr>
        <w:numPr>
          <w:ilvl w:val="0"/>
          <w:numId w:val="1026"/>
        </w:numPr>
        <w:pStyle w:val="Compact"/>
      </w:pPr>
      <w:r>
        <w:t xml:space="preserve">Average generation cost = generation-share-weighted average of that cost.</w:t>
      </w:r>
    </w:p>
    <w:p>
      <w:pPr>
        <w:numPr>
          <w:ilvl w:val="0"/>
          <w:numId w:val="1026"/>
        </w:numPr>
        <w:pStyle w:val="Compact"/>
      </w:pPr>
      <w:r>
        <w:t xml:space="preserve">Average carbon cost per kWh consumed = share-weighted carbon cost × generation / consumption. The ratio covers losses, own use and net exports, from the base-year balance.</w:t>
      </w:r>
    </w:p>
    <w:p>
      <w:pPr>
        <w:pStyle w:val="FirstParagraph"/>
      </w:pPr>
      <w:r>
        <w:t xml:space="preserve">Carbon is kept out of the average generation cost and added separately (legacy, documentation 3.4.1.7), so a rebate can be computed against it.</w:t>
      </w:r>
    </w:p>
    <w:bookmarkEnd w:id="63"/>
    <w:bookmarkStart w:id="64" w:name="f.-memos"/>
    <w:p>
      <w:pPr>
        <w:pStyle w:val="Heading4"/>
      </w:pPr>
      <w:r>
        <w:t xml:space="preserve">3.6 F. Memos</w:t>
      </w:r>
    </w:p>
    <w:p>
      <w:pPr>
        <w:pStyle w:val="FirstParagraph"/>
      </w:pPr>
      <w:r>
        <w:t xml:space="preserve">F7 switching carbon prices, F1 system cost and F4 carbon intensity are memos. Only F4 (tCO2 per kWh = EF × 0.0036/ν) is built, as a parameter.</w:t>
      </w:r>
    </w:p>
    <w:bookmarkEnd w:id="64"/>
    <w:bookmarkStart w:id="65" w:name="X1a22306b9e6f3a6be922e8ca841166fcd9c7ad1"/>
    <w:p>
      <w:pPr>
        <w:pStyle w:val="Heading4"/>
      </w:pPr>
      <w:r>
        <w:t xml:space="preserve">3.7 J. Systems integration cost of renewables (storage)</w:t>
      </w:r>
    </w:p>
    <w:p>
      <w:pPr>
        <w:numPr>
          <w:ilvl w:val="0"/>
          <w:numId w:val="1027"/>
        </w:numPr>
        <w:pStyle w:val="Compact"/>
      </w:pPr>
      <w:r>
        <w:t xml:space="preserve">VRE share v = share of wind + solar + other renewables (legacy row 3851).</w:t>
      </w:r>
    </w:p>
    <w:p>
      <w:pPr>
        <w:numPr>
          <w:ilvl w:val="0"/>
          <w:numId w:val="1027"/>
        </w:numPr>
        <w:pStyle w:val="Compact"/>
      </w:pPr>
      <w:r>
        <w:t xml:space="preserve">Short-term storage (batteries): marginal hours = ast × 18 × v, with ast = 1 the share allocated to VRE and 18 = d(9 v²)/dv. Cost per hour per kWh = (battery capex + interface capex / 2 hours kWh/kW) / (dlf of renewables × 8,760) + battery opex / 8,760.</w:t>
      </w:r>
    </w:p>
    <w:p>
      <w:pPr>
        <w:numPr>
          <w:ilvl w:val="0"/>
          <w:numId w:val="1027"/>
        </w:numPr>
        <w:pStyle w:val="Compact"/>
      </w:pPr>
      <w:r>
        <w:t xml:space="preserve">Long-term storage (electrolysers): marginal units = LongTermStorageFor100pcVRE × 2 × max(0, v − x) / (1 − x)², with x = StartingPointWhenLTStorageIsNeeded (0.75). Cost per unit = (electrolyser capex + LT storage capex per kWh × StorageHoursForLTStorage) / (dlf of renewables × 8,760) + fixed opex / 8,760 + variable opex.</w:t>
      </w:r>
    </w:p>
    <w:p>
      <w:pPr>
        <w:numPr>
          <w:ilvl w:val="0"/>
          <w:numId w:val="1027"/>
        </w:numPr>
        <w:pStyle w:val="Compact"/>
      </w:pPr>
      <w:r>
        <w:t xml:space="preserve">Marginal storage cost of wind, solar and other renewables = hours × cost per hour + units × cost per unit; 0 for other types.</w:t>
      </w:r>
    </w:p>
    <w:p>
      <w:pPr>
        <w:pStyle w:val="FirstParagraph"/>
      </w:pPr>
      <w:r>
        <w:t xml:space="preserve">Legacy has a 33%</w:t>
      </w:r>
      <w:r>
        <w:t xml:space="preserve"> </w:t>
      </w:r>
      <w:r>
        <w:t xml:space="preserve">“</w:t>
      </w:r>
      <w:r>
        <w:t xml:space="preserve">allocation of LT storage to VRE</w:t>
      </w:r>
      <w:r>
        <w:t xml:space="preserve">”</w:t>
      </w:r>
      <w:r>
        <w:t xml:space="preserve"> </w:t>
      </w:r>
      <w:r>
        <w:t xml:space="preserve">parameter and applies it twice (rows 3911 and 3912, a bug). The MVP applies it once.</w:t>
      </w:r>
    </w:p>
    <w:bookmarkEnd w:id="65"/>
    <w:bookmarkStart w:id="66" w:name="X69bc677f689ead3ac42dda28b03570364c281a6"/>
    <w:p>
      <w:pPr>
        <w:pStyle w:val="Heading4"/>
      </w:pPr>
      <w:r>
        <w:t xml:space="preserve">3.8 G. End-user prices (residential and industrial)</w:t>
      </w:r>
    </w:p>
    <w:p>
      <w:pPr>
        <w:numPr>
          <w:ilvl w:val="0"/>
          <w:numId w:val="1028"/>
        </w:numPr>
        <w:pStyle w:val="Compact"/>
      </w:pPr>
      <w:r>
        <w:t xml:space="preserve">Supply cost (I5, lagged) = last year’s average generation cost + transmission (0.040 $/kWh residential, 0.015 industrial). In the base year, the base-year average cost.</w:t>
      </w:r>
    </w:p>
    <w:p>
      <w:pPr>
        <w:numPr>
          <w:ilvl w:val="0"/>
          <w:numId w:val="1028"/>
        </w:numPr>
        <w:pStyle w:val="Compact"/>
      </w:pPr>
      <w:r>
        <w:t xml:space="preserve">Price before new policies (S4): up to the last historical year L, the historical retail price including VAT from the price dataset (nominal → real with the CPI index); after L, last year’s value + pass-through × change in supply cost × (1 + VAT of L), with pass-through 1 (legacy hardcode).</w:t>
      </w:r>
    </w:p>
    <w:p>
      <w:pPr>
        <w:numPr>
          <w:ilvl w:val="0"/>
          <w:numId w:val="1028"/>
        </w:numPr>
        <w:pStyle w:val="Compact"/>
      </w:pPr>
      <w:r>
        <w:t xml:space="preserve">End-user price = price before new policies + (average carbon cost × pass-through × (1 − rebate switch) + excise) × (1 + VAT). As in legacy (rows 3614-3617), VAT is charged on the new policy terms.</w:t>
      </w:r>
    </w:p>
    <w:p>
      <w:pPr>
        <w:numPr>
          <w:ilvl w:val="0"/>
          <w:numId w:val="1028"/>
        </w:numPr>
        <w:pStyle w:val="Compact"/>
      </w:pPr>
      <w:r>
        <w:t xml:space="preserve">Rebate switch (legacy rows 261, 2188, J3595): 1 in policy scenarios with PowerRebates = Yes (or Yes*) or a feebate scenario of the legacy scenario table (Feebates, Power Supply Feebates, Power feebate); the carbon cost is then not passed to electricity users.</w:t>
      </w:r>
    </w:p>
    <w:p>
      <w:pPr>
        <w:numPr>
          <w:ilvl w:val="0"/>
          <w:numId w:val="1028"/>
        </w:numPr>
        <w:pStyle w:val="Compact"/>
      </w:pPr>
      <w:r>
        <w:t xml:space="preserve">Excise per kWh before VAT = electricity excise + pass-through × (manual excise − its value in the last historical year) after that year. The electricity excise (scenario Electricity excise, policy scenarios; legacy row 2253) = grid CO2 intensity of the base year (CO2 of the fuel input to power / power output, Balances) × carbon price. The manual excise (policy scenarios with AdditionalExcise = Yes; legacy rows 3602, 3631) is the new electricity excise of</w:t>
      </w:r>
      <w:r>
        <w:t xml:space="preserve"> </w:t>
      </w:r>
      <w:r>
        <w:t xml:space="preserve">‘</w:t>
      </w:r>
      <w:r>
        <w:t xml:space="preserve">Manual inputs</w:t>
      </w:r>
      <w:r>
        <w:t xml:space="preserve">’</w:t>
      </w:r>
      <w:r>
        <w:t xml:space="preserve"> </w:t>
      </w:r>
      <w:r>
        <w:t xml:space="preserve">rows 161-162 (real, or nominal × the deflator index if NomorReal is not Real); like legacy it enters the price before policy, so up to the last historical year it is absorbed by the price data and later its change is passed through.</w:t>
      </w:r>
    </w:p>
    <w:p>
      <w:pPr>
        <w:numPr>
          <w:ilvl w:val="0"/>
          <w:numId w:val="1028"/>
        </w:numPr>
        <w:pStyle w:val="Compact"/>
      </w:pPr>
      <w:r>
        <w:t xml:space="preserve">Subsidy gap (S7) = price before new policies / (1 + VAT) − supply cost. Negative = price below the modelled supply cost (subsidies are negative).</w:t>
      </w:r>
    </w:p>
    <w:bookmarkEnd w:id="66"/>
    <w:bookmarkStart w:id="67" w:name="X1c7b5edd84984ce1f86bfc3db1f87749df7bfb3"/>
    <w:p>
      <w:pPr>
        <w:pStyle w:val="Heading4"/>
      </w:pPr>
      <w:r>
        <w:t xml:space="preserve">3.9 G4 and M. Revenues (USD million real) and the revenue totals</w:t>
      </w:r>
    </w:p>
    <w:p>
      <w:pPr>
        <w:pStyle w:val="FirstParagraph"/>
      </w:pPr>
      <w:r>
        <w:t xml:space="preserve">By user group (G), each × consumption of the group:</w:t>
      </w:r>
      <w:r>
        <w:t xml:space="preserve"> </w:t>
      </w:r>
      <w:r>
        <w:t xml:space="preserve">- VAT = price before new policies × VAT / (1 + VAT);</w:t>
      </w:r>
      <w:r>
        <w:t xml:space="preserve"> </w:t>
      </w:r>
      <w:r>
        <w:t xml:space="preserve">- VAT on the new-policy cost passed through = (average carbon cost × pass-through × (1 − rebate switch) + excise) × VAT;</w:t>
      </w:r>
      <w:r>
        <w:t xml:space="preserve"> </w:t>
      </w:r>
      <w:r>
        <w:t xml:space="preserve">- rebate (negative) = − rebate switch × average carbon cost × pass-through: the carbon cost returned to users (the VAT on it is not collected);</w:t>
      </w:r>
      <w:r>
        <w:t xml:space="preserve"> </w:t>
      </w:r>
      <w:r>
        <w:t xml:space="preserve">- excise = excise per kWh × consumption, of which the electricity excise of the scenario (carbon-based) and the manual excise;</w:t>
      </w:r>
      <w:r>
        <w:t xml:space="preserve"> </w:t>
      </w:r>
      <w:r>
        <w:t xml:space="preserve">- subsidy gap (signed: negative = fiscal cost, positive when the price is above the modelled supply cost);</w:t>
      </w:r>
      <w:r>
        <w:t xml:space="preserve"> </w:t>
      </w:r>
      <w:r>
        <w:t xml:space="preserve">- new-policy cost (memo; it values the ETS at the tax-equivalent price) = average carbon cost.</w:t>
      </w:r>
    </w:p>
    <w:p>
      <w:pPr>
        <w:pStyle w:val="BodyText"/>
      </w:pPr>
      <w:r>
        <w:t xml:space="preserve">By generation type (M), with a fuel flag of 1 for coal, gas, oil and biomass:</w:t>
      </w:r>
      <w:r>
        <w:t xml:space="preserve"> </w:t>
      </w:r>
      <w:r>
        <w:t xml:space="preserve">- existing taxes on generation fuels = flag × fuel use × (excise + VAT) of the price fuel;</w:t>
      </w:r>
      <w:r>
        <w:t xml:space="preserve"> </w:t>
      </w:r>
      <w:r>
        <w:t xml:space="preserve">- existing subsidies on generation fuels = flag × fuel use × subsidy (negative);</w:t>
      </w:r>
      <w:r>
        <w:t xml:space="preserve"> </w:t>
      </w:r>
      <w:r>
        <w:t xml:space="preserve">- change in existing carbon pricing × generation;</w:t>
      </w:r>
      <w:r>
        <w:t xml:space="preserve"> </w:t>
      </w:r>
      <w:r>
        <w:t xml:space="preserve">- new policies = generation × carbon cost − CO2 × the power ETS cost rate × (1 − revenue factor): the ETS part at the permit price, as in the subsectors;</w:t>
      </w:r>
      <w:r>
        <w:t xml:space="preserve"> </w:t>
      </w:r>
      <w:r>
        <w:t xml:space="preserve">- existing carbon pricing level (memo) = CO2 × the covered existing carbon tax and ETS prices.</w:t>
      </w:r>
    </w:p>
    <w:p>
      <w:pPr>
        <w:pStyle w:val="BodyText"/>
      </w:pPr>
      <w:r>
        <w:t xml:space="preserve">The revenue totals add a power row: existing taxes = fuel taxes + change in existing carbon pricing + electricity VAT; subsidies = fuel subsidies + subsidy gap + renewable subsidies; new policies = new-policy revenue by type + VAT on new policies + rebate + excise; existing carbon pricing level = the memo by type. In the revenue by policy (12e), the rebate and the carbon-based excise count with the carbon tax, the manual excise with the excise, and the renewable subsidies in their own row (as legacy rows 7749, 7762, 7903, the base subsidy once). The fuel subsidy and the subsidy gap do not overlap: the supply cost already uses the subsidised fuel price, so the gap is what remains between that cost and the tariff.</w:t>
      </w:r>
    </w:p>
    <w:bookmarkEnd w:id="67"/>
    <w:bookmarkEnd w:id="68"/>
    <w:bookmarkStart w:id="69" w:name="validation"/>
    <w:p>
      <w:pPr>
        <w:pStyle w:val="Heading3"/>
      </w:pPr>
      <w:r>
        <w:t xml:space="preserve">4. Validation</w:t>
      </w:r>
    </w:p>
    <w:p>
      <w:pPr>
        <w:numPr>
          <w:ilvl w:val="0"/>
          <w:numId w:val="1029"/>
        </w:numPr>
        <w:pStyle w:val="Compact"/>
      </w:pPr>
      <w:r>
        <w:rPr>
          <w:bCs/>
          <w:b/>
        </w:rPr>
        <w:t xml:space="preserve">Method = legacy.</w:t>
      </w:r>
      <w:r>
        <w:t xml:space="preserve"> </w:t>
      </w:r>
      <w:r>
        <w:t xml:space="preserve">A Python reference feeds the legacy inputs (its fuel prices, shares, Φ, prices and VAT) into this method and reproduces the cached legacy rows B2, B6, B8, C7, D4, E3, the weighted average, J storage, and G1/G2 supply cost and prices, to a relative error below 1e-6.</w:t>
      </w:r>
    </w:p>
    <w:p>
      <w:pPr>
        <w:numPr>
          <w:ilvl w:val="0"/>
          <w:numId w:val="1029"/>
        </w:numPr>
        <w:pStyle w:val="Compact"/>
      </w:pPr>
      <w:r>
        <w:rPr>
          <w:bCs/>
          <w:b/>
        </w:rPr>
        <w:t xml:space="preserve">Workbook = Python</w:t>
      </w:r>
      <w:r>
        <w:t xml:space="preserve"> </w:t>
      </w:r>
      <w:r>
        <w:t xml:space="preserve">for the MVP’s own inputs (corrected Egypt prices, moving-average fuel prices as legacy), as for the other checks.</w:t>
      </w:r>
    </w:p>
    <w:p>
      <w:pPr>
        <w:numPr>
          <w:ilvl w:val="0"/>
          <w:numId w:val="1029"/>
        </w:numPr>
        <w:pStyle w:val="Compact"/>
      </w:pPr>
      <w:r>
        <w:rPr>
          <w:bCs/>
          <w:b/>
        </w:rPr>
        <w:t xml:space="preserve">Formula uniformity</w:t>
      </w:r>
      <w:r>
        <w:t xml:space="preserve"> </w:t>
      </w:r>
      <w:r>
        <w:t xml:space="preserve">and copies of scenario groups, as for the rest of the sheet.</w:t>
      </w:r>
    </w:p>
    <w:p>
      <w:pPr>
        <w:numPr>
          <w:ilvl w:val="0"/>
          <w:numId w:val="1029"/>
        </w:numPr>
        <w:pStyle w:val="Compact"/>
      </w:pPr>
      <w:r>
        <w:rPr>
          <w:bCs/>
          <w:b/>
        </w:rPr>
        <w:t xml:space="preserve">Regression</w:t>
      </w:r>
      <w:r>
        <w:t xml:space="preserve"> </w:t>
      </w:r>
      <w:r>
        <w:t xml:space="preserve">against the previous version (shared output codes). The power block feeds total fuel use (generation fuel use), revenues and CO2.</w:t>
      </w:r>
    </w:p>
    <w:p>
      <w:pPr>
        <w:pStyle w:val="FirstParagraph"/>
      </w:pPr>
      <w:r>
        <w:t xml:space="preserve">Result at the first build of the price block (</w:t>
      </w:r>
      <w:r>
        <w:rPr>
          <w:rStyle w:val="VerbatimChar"/>
        </w:rPr>
        <w:t xml:space="preserve">check_report_v1.05.md</w:t>
      </w:r>
      <w:r>
        <w:t xml:space="preserve">, PASS): 80 legacy rows reproduced, largest relative difference 5.6e-17; all 28 power variables equal the Python reference in every scenario test, largest relative difference about 5e-15; one formula per block; 3,642 codes unchanged against the previous version.</w:t>
      </w:r>
    </w:p>
    <w:bookmarkEnd w:id="69"/>
    <w:bookmarkStart w:id="70" w:name="decisions"/>
    <w:p>
      <w:pPr>
        <w:pStyle w:val="Heading3"/>
      </w:pPr>
      <w:r>
        <w:t xml:space="preserve">5. Decisions</w:t>
      </w:r>
    </w:p>
    <w:p>
      <w:pPr>
        <w:numPr>
          <w:ilvl w:val="0"/>
          <w:numId w:val="1030"/>
        </w:numPr>
        <w:pStyle w:val="Compact"/>
      </w:pPr>
      <w:r>
        <w:t xml:space="preserve">Fuel prices for power: moving average as legacy (user decision); spot prices remain a switch (S5).</w:t>
      </w:r>
    </w:p>
    <w:p>
      <w:pPr>
        <w:numPr>
          <w:ilvl w:val="0"/>
          <w:numId w:val="1030"/>
        </w:numPr>
        <w:pStyle w:val="Compact"/>
      </w:pPr>
      <w:r>
        <w:t xml:space="preserve">VAT on power policy terms: legacy charges VAT (row 3614); the MVP does too, as for fuels.</w:t>
      </w:r>
    </w:p>
    <w:p>
      <w:pPr>
        <w:numPr>
          <w:ilvl w:val="0"/>
          <w:numId w:val="1030"/>
        </w:numPr>
        <w:pStyle w:val="Compact"/>
      </w:pPr>
      <w:r>
        <w:t xml:space="preserve">Historical electricity prices: the corrected Egypt block (residential 0.054, 0.048, 0.043 $/kWh nominal, 2022-2024) differs from legacy’s vintage (0.097 in 2022). The MVP uses the corrected block.</w:t>
      </w:r>
    </w:p>
    <w:p>
      <w:pPr>
        <w:numPr>
          <w:ilvl w:val="0"/>
          <w:numId w:val="1030"/>
        </w:numPr>
        <w:pStyle w:val="Compact"/>
      </w:pPr>
      <w:r>
        <w:t xml:space="preserve">Producer-side subsidy data: the corrected block has none for electricity; legacy used −9.2 bn USD in 2022. The MVP reports the modelled subsidy gap instead (S7).</w:t>
      </w:r>
    </w:p>
    <w:bookmarkEnd w:id="70"/>
    <w:bookmarkStart w:id="71" w:name="Xba7185b29dc9af4de07ab2cd1e17cc40ace9c74"/>
    <w:p>
      <w:pPr>
        <w:pStyle w:val="Heading3"/>
      </w:pPr>
      <w:r>
        <w:t xml:space="preserve">v5.6: fuel price reform, price floor, renewable subsidies in real terms</w:t>
      </w:r>
    </w:p>
    <w:p>
      <w:pPr>
        <w:numPr>
          <w:ilvl w:val="0"/>
          <w:numId w:val="1031"/>
        </w:numPr>
        <w:pStyle w:val="Compact"/>
      </w:pPr>
      <w:r>
        <w:t xml:space="preserve">The electricity fuel price reform path of the scenario (section-1 rows fpr.ecy.res, fpr.ecy.ind; ScenarioDefinition 148-149, 162-163) enters the manual excise of policy scenarios (row entx), as legacy row 216 (issue I59, replicated).</w:t>
      </w:r>
    </w:p>
    <w:p>
      <w:pPr>
        <w:numPr>
          <w:ilvl w:val="0"/>
          <w:numId w:val="1031"/>
        </w:numPr>
        <w:pStyle w:val="Compact"/>
      </w:pPr>
      <w:r>
        <w:t xml:space="preserve">End-user electricity prices are floored at MinPostSubsidyPowerPrice (row rp), as legacy rows 3617 and 3646 (issue I60, replicated; 0.01 $/kWh: not binding for Egypt).</w:t>
      </w:r>
    </w:p>
    <w:p>
      <w:pPr>
        <w:numPr>
          <w:ilvl w:val="0"/>
          <w:numId w:val="1031"/>
        </w:numPr>
        <w:pStyle w:val="Compact"/>
      </w:pPr>
      <w:r>
        <w:t xml:space="preserve">The renewable subsidy inputs (ScenarioDefinition 354-355, labelled nominal) are converted to real with the CPI factor of the year (row rnsp; legacy bug L114, fixed).</w:t>
      </w:r>
    </w:p>
    <w:p>
      <w:pPr>
        <w:numPr>
          <w:ilvl w:val="0"/>
          <w:numId w:val="1031"/>
        </w:numPr>
        <w:pStyle w:val="Compact"/>
      </w:pPr>
      <w:r>
        <w:t xml:space="preserve">The levelised cost includes TransmissionCostShare (ScenarioDefinition appendix block B, default 1) of the transmission capex (legacy IncludeTransmissionCostsInGenerationCostsPercent).</w:t>
      </w:r>
    </w:p>
    <w:bookmarkEnd w:id="71"/>
    <w:bookmarkEnd w:id="72"/>
    <w:bookmarkStart w:id="78" w:name="method-power-engineer-model"/>
    <w:p>
      <w:pPr>
        <w:pStyle w:val="Heading1"/>
      </w:pPr>
      <w:r>
        <w:t xml:space="preserve">Method: power engineer model</w:t>
      </w:r>
    </w:p>
    <w:p>
      <w:pPr>
        <w:pStyle w:val="FirstParagraph"/>
      </w:pPr>
      <w:r>
        <w:rPr>
          <w:iCs/>
          <w:i/>
        </w:rPr>
        <w:t xml:space="preserve">Source:</w:t>
      </w:r>
      <w:r>
        <w:rPr>
          <w:iCs/>
          <w:i/>
        </w:rPr>
        <w:t xml:space="preserve"> </w:t>
      </w:r>
      <w:r>
        <w:rPr>
          <w:rStyle w:val="VerbatimChar"/>
          <w:iCs/>
          <w:i/>
        </w:rPr>
        <w:t xml:space="preserve">PowerModel_Method_v7_0.md</w:t>
      </w:r>
      <w:r>
        <w:rPr>
          <w:iCs/>
          <w:i/>
        </w:rPr>
        <w:t xml:space="preserve">.</w:t>
      </w:r>
    </w:p>
    <w:p>
      <w:pPr>
        <w:pStyle w:val="BodyText"/>
      </w:pPr>
      <w:r>
        <w:t xml:space="preserve">Equations:</w:t>
      </w:r>
      <w:r>
        <w:t xml:space="preserve"> </w:t>
      </w:r>
      <w:r>
        <w:rPr>
          <w:rStyle w:val="VerbatimChar"/>
        </w:rPr>
        <w:t xml:space="preserve">Equations_v7_0.md</w:t>
      </w:r>
      <w:r>
        <w:t xml:space="preserve">; workbook formulas:</w:t>
      </w:r>
      <w:r>
        <w:t xml:space="preserve"> </w:t>
      </w:r>
      <w:r>
        <w:rPr>
          <w:rStyle w:val="VerbatimChar"/>
        </w:rPr>
        <w:t xml:space="preserve">Formulas_v7_0.md</w:t>
      </w:r>
      <w:r>
        <w:t xml:space="preserve">.</w:t>
      </w:r>
    </w:p>
    <w:p>
      <w:pPr>
        <w:pStyle w:val="BodyText"/>
      </w:pPr>
      <w:r>
        <w:rPr>
          <w:bCs/>
          <w:b/>
        </w:rPr>
        <w:t xml:space="preserve">Scope.</w:t>
      </w:r>
      <w:r>
        <w:t xml:space="preserve"> </w:t>
      </w:r>
      <w:r>
        <w:t xml:space="preserve">The quantity side of the power sector: power demand (legacy table H), dispatch (I), capacity and retirement (K), investment (L), and the cost rows investment needs: shadow price and rebate (D6), levelised variable cost (D9) and levelised investment cost (E1). The price side is in</w:t>
      </w:r>
      <w:r>
        <w:t xml:space="preserve"> </w:t>
      </w:r>
      <w:r>
        <w:rPr>
          <w:rStyle w:val="VerbatimChar"/>
        </w:rPr>
        <w:t xml:space="preserve">PowerPrices_Method_v7_0.md</w:t>
      </w:r>
      <w:r>
        <w:t xml:space="preserve">. The legacy reference is Mitigation section 4 of</w:t>
      </w:r>
      <w:r>
        <w:t xml:space="preserve"> </w:t>
      </w:r>
      <w:r>
        <w:rPr>
          <w:rStyle w:val="VerbatimChar"/>
        </w:rPr>
        <w:t xml:space="preserve">CPAT 1.0pre_456_NoPropData.xlsb</w:t>
      </w:r>
      <w:r>
        <w:t xml:space="preserve">: rows 2954-4297 for the baseline, rows 9285-10628 for the carbon-tax run.</w:t>
      </w:r>
    </w:p>
    <w:p>
      <w:pPr>
        <w:pStyle w:val="BodyText"/>
      </w:pPr>
      <w:r>
        <w:rPr>
          <w:bCs/>
          <w:b/>
        </w:rPr>
        <w:t xml:space="preserve">Inputs by scenario.</w:t>
      </w:r>
      <w:r>
        <w:t xml:space="preserve"> </w:t>
      </w:r>
      <w:r>
        <w:t xml:space="preserve">Every ScenarioDefinition power input is read in the scenario’s own ScenarioDefinition column (section 1,</w:t>
      </w:r>
      <w:r>
        <w:t xml:space="preserve"> </w:t>
      </w:r>
      <w:r>
        <w:t xml:space="preserve">“</w:t>
      </w:r>
      <w:r>
        <w:t xml:space="preserve">Power sector settings</w:t>
      </w:r>
      <w:r>
        <w:t xml:space="preserve">”</w:t>
      </w:r>
      <w:r>
        <w:t xml:space="preserve">: rows 242, 262, 342-415 and 482), as legacy runs each column with its own runs. Sub-table A0 of section 3 applies them to the power data of the country (Inputs): capacity factor, efficiency, WACC and discounted lifetime, fuel per kWh, base-year capacity, new investment permitted and its start year, scale-up and retirement rates, the early-retirement factor, the capex decline scenario, storage, PPA, renewable subsidy, rebate and excise settings. Scenario 1 is the baseline of every scenario, so a technical input (logit constants, WACC, capacity-factor bounds, storage, cost decline) changed in a policy scenario changes that scenario only, and its difference to scenario 1 mixes the input change with the policy; technical inputs are not usually changed across scenarios. Not read (no MVP feature): CostBreakdownYear, ElasticityModel, PowGenCostsOldNew, UseElasticityModelPowerDemandInEngineerModel, SupplyCostDeltaSubsidy, the coal implicit cost (369-371). The final deficit to gas is a global switch (Settings C45, PwDeficitGas), as legacy’s typed cell.</w:t>
      </w:r>
    </w:p>
    <w:p>
      <w:pPr>
        <w:pStyle w:val="BodyText"/>
      </w:pPr>
      <w:r>
        <w:rPr>
          <w:bCs/>
          <w:b/>
        </w:rPr>
        <w:t xml:space="preserve">Alignment.</w:t>
      </w:r>
      <w:r>
        <w:t xml:space="preserve"> </w:t>
      </w:r>
      <w:r>
        <w:t xml:space="preserve">The MVP follows legacy formula by formula, except for ten bugs, which are fixed;</w:t>
      </w:r>
      <w:r>
        <w:t xml:space="preserve"> </w:t>
      </w:r>
      <w:r>
        <w:rPr>
          <w:rStyle w:val="VerbatimChar"/>
        </w:rPr>
        <w:t xml:space="preserve">CPAT-AI-Mitigation-MVP_BugsAndIssues_v6.4.docx</w:t>
      </w:r>
      <w:r>
        <w:t xml:space="preserve"> </w:t>
      </w:r>
      <w:r>
        <w:t xml:space="preserve">lists them with their effects.</w:t>
      </w:r>
      <w:r>
        <w:t xml:space="preserve"> </w:t>
      </w:r>
      <w:r>
        <w:rPr>
          <w:rStyle w:val="VerbatimChar"/>
        </w:rPr>
        <w:t xml:space="preserve">power_model_ref_v7_0.py</w:t>
      </w:r>
      <w:r>
        <w:t xml:space="preserve"> </w:t>
      </w:r>
      <w:r>
        <w:t xml:space="preserve">implements the method in Python with one switch per bug; with all switches off it reproduces 208 cached legacy rows of both runs to 1e-13. Planned retirement is available for every generation type; legacy offers it for coal only.</w:t>
      </w:r>
    </w:p>
    <w:p>
      <w:pPr>
        <w:pStyle w:val="BodyText"/>
      </w:pPr>
      <w:r>
        <w:rPr>
          <w:bCs/>
          <w:b/>
        </w:rPr>
        <w:t xml:space="preserve">Links with the rest of the model.</w:t>
      </w:r>
      <w:r>
        <w:t xml:space="preserve"> </w:t>
      </w:r>
      <w:r>
        <w:t xml:space="preserve">Power demand follows its own elasticities (H). Sector policies (carbon tax, ETS, feebates, fuel price reform) act on the fuel blocks only, not on power demand; electricity demand by sector is a memo, not part of the fuel totals, so nothing is counted twice. Power CO2 enters the CO2 totals (by fuel and as ETS sector power, so a new ETS covering power sees it, and the baseline CO2 data include it). Generation fuel use of coal, gas, oil and biomass enters total fuel use; nuclear, wind, solar, hydro and other renewables have no fuel. Power revenues enter the revenue totals: fuel taxes and subsidies on generation, the change in existing carbon pricing, electricity VAT and subsidy gap, and new policies with the ETS at the permit price. Existing carbon pricing changes the variable cost before new policies (</w:t>
      </w:r>
      <w:r>
        <w:rPr>
          <w:rStyle w:val="VerbatimChar"/>
        </w:rPr>
        <w:t xml:space="preserve">PriceProjection_Method_v7_0.md</w:t>
      </w:r>
      <w:r>
        <w:t xml:space="preserve"> </w:t>
      </w:r>
      <w:r>
        <w:t xml:space="preserve">section 5b). A Settings switch turns the legacy 2023-2024 demand shock on (default off, as for fuels).</w:t>
      </w:r>
    </w:p>
    <w:p>
      <w:pPr>
        <w:pStyle w:val="BodyText"/>
      </w:pPr>
      <w:r>
        <w:t xml:space="preserve">Units: generation and capacity in MW / MWy; demand in ktoe; costs in real $/kWh of 2026.</w:t>
      </w:r>
    </w:p>
    <w:bookmarkStart w:id="73" w:name="order-within-a-year-and-across-years"/>
    <w:p>
      <w:pPr>
        <w:pStyle w:val="Heading3"/>
      </w:pPr>
      <w:r>
        <w:t xml:space="preserve">1. Order within a year and across years</w:t>
      </w:r>
    </w:p>
    <w:p>
      <w:pPr>
        <w:pStyle w:val="SourceCode"/>
      </w:pPr>
      <w:r>
        <w:rPr>
          <w:rStyle w:val="VerbatimChar"/>
        </w:rPr>
        <w:t xml:space="preserve">year t:  H  demand(t)        &lt;- demand(t-1), GDP(t), price(t-1)              (no circularity: price lagged)</w:t>
      </w:r>
      <w:r>
        <w:br/>
      </w:r>
      <w:r>
        <w:rPr>
          <w:rStyle w:val="VerbatimChar"/>
        </w:rPr>
        <w:t xml:space="preserve">         K1 capacity(t)      &lt;- capacity(t-1) - retirement(t-1) + investment(t-1)</w:t>
      </w:r>
      <w:r>
        <w:br/>
      </w:r>
      <w:r>
        <w:rPr>
          <w:rStyle w:val="VerbatimChar"/>
        </w:rPr>
        <w:t xml:space="preserve">         I  dispatch(t)      &lt;- capacity(t), required generation(t), variable costs(t)</w:t>
      </w:r>
      <w:r>
        <w:br/>
      </w:r>
      <w:r>
        <w:rPr>
          <w:rStyle w:val="VerbatimChar"/>
        </w:rPr>
        <w:t xml:space="preserve">            shares(t)        -&gt; J VRE share -&gt; storage cost(t) -&gt; B (vintages), C (levelised)</w:t>
      </w:r>
      <w:r>
        <w:br/>
      </w:r>
      <w:r>
        <w:rPr>
          <w:rStyle w:val="VerbatimChar"/>
        </w:rPr>
        <w:t xml:space="preserve">            shares(t)        -&gt; E average generation cost(t) -&gt; G supply cost(t+1) -&gt; price(t+1) -&gt; demand(t+2)</w:t>
      </w:r>
      <w:r>
        <w:br/>
      </w:r>
      <w:r>
        <w:rPr>
          <w:rStyle w:val="VerbatimChar"/>
        </w:rPr>
        <w:t xml:space="preserve">         K  retirement(t)    &lt;- capacity(t), early coal retirement (coal variable cost vs wind and solar costs)</w:t>
      </w:r>
      <w:r>
        <w:br/>
      </w:r>
      <w:r>
        <w:rPr>
          <w:rStyle w:val="VerbatimChar"/>
        </w:rPr>
        <w:t xml:space="preserve">         L  investment(t)    &lt;- required generation(t) - capacity after retirement(t); logit on E1(t)</w:t>
      </w:r>
      <w:r>
        <w:br/>
      </w:r>
      <w:r>
        <w:rPr>
          <w:rStyle w:val="VerbatimChar"/>
        </w:rPr>
        <w:t xml:space="preserve">                             -&gt; capacity(t+1); share in the stock phi(t) -&gt; B vintages(t+1)</w:t>
      </w:r>
    </w:p>
    <w:p>
      <w:pPr>
        <w:pStyle w:val="FirstParagraph"/>
      </w:pPr>
      <w:r>
        <w:t xml:space="preserve">The levelised variable cost D9(t) averages the variable cost from t to the end of the horizon. Variable costs depend only on prices and policies, not on the generation mix, so D9 is computed before the year loop, backwards from the last year.</w:t>
      </w:r>
    </w:p>
    <w:bookmarkEnd w:id="73"/>
    <w:bookmarkStart w:id="74" w:name="method-with-fixes"/>
    <w:p>
      <w:pPr>
        <w:pStyle w:val="Heading3"/>
      </w:pPr>
      <w:r>
        <w:t xml:space="preserve">2. Method (with fixes)</w:t>
      </w:r>
    </w:p>
    <w:p>
      <w:pPr>
        <w:pStyle w:val="FirstParagraph"/>
      </w:pPr>
      <w:r>
        <w:rPr>
          <w:bCs/>
          <w:b/>
        </w:rPr>
        <w:t xml:space="preserve">H Demand.</w:t>
      </w:r>
      <w:r>
        <w:t xml:space="preserve"> </w:t>
      </w:r>
      <w:r>
        <w:t xml:space="preserve">Four demand groups (transport, residential, industry, services), with electricity elasticities to income, usage, efficiency and autonomous efficiency (eps_Y, eps_U, eps_F, alpha).</w:t>
      </w:r>
      <w:r>
        <w:t xml:space="preserve"> </w:t>
      </w:r>
      <w:r>
        <w:t xml:space="preserve">- Each group’s price is last year’s residential and industrial prices weighted 0.5/0.5 for transport, 1/0 for residential, 0/1 for industry and services.</w:t>
      </w:r>
      <w:r>
        <w:t xml:space="preserve"> </w:t>
      </w:r>
      <w:r>
        <w:t xml:space="preserve">- Each group’s demand multiple combines autonomous efficiency, GDP growth (with the income factor), the price change and an optional shock: (1 / (1 + alpha + extra))^(1 + eps_U) × (1 + GDP growth)^(eps_Y × inc) × (price ratio)^(eps_U + eps_F + eps_U eps_F) × (1 + shock × switch).</w:t>
      </w:r>
      <w:r>
        <w:t xml:space="preserve"> </w:t>
      </w:r>
      <w:r>
        <w:t xml:space="preserve">- Demand of each of the 15 subsectors = last year’s × its group’s multiple (services use the services multiple in every year).</w:t>
      </w:r>
      <w:r>
        <w:t xml:space="preserve"> </w:t>
      </w:r>
      <w:r>
        <w:t xml:space="preserve">- Required generation (MWy) = demand × (1 + net exports + transmission + own use + statistical difference shares), converted from ktoe. In the base year it is actual generation.</w:t>
      </w:r>
      <w:r>
        <w:t xml:space="preserve"> </w:t>
      </w:r>
      <w:r>
        <w:t xml:space="preserve">- Memo: demand by group, and electricity demand by subsector, sector and in total.</w:t>
      </w:r>
    </w:p>
    <w:p>
      <w:pPr>
        <w:pStyle w:val="BodyText"/>
      </w:pPr>
      <w:r>
        <w:rPr>
          <w:bCs/>
          <w:b/>
        </w:rPr>
        <w:t xml:space="preserve">A0 Data of the scenario.</w:t>
      </w:r>
      <w:r>
        <w:t xml:space="preserve"> </w:t>
      </w:r>
      <w:r>
        <w:t xml:space="preserve">- Capacity factor = actual (base-year output / installed capacity) when strictly between the CFOverride bounds of the scenario (wind and solar: CFOverrideIfBelowWndSol; others: CFOverrideIfBelowFosOth; upper CFOverrideIfAbove), else the studies value. Efficiency = actual (output / input) unless below MinimumThermalEfficiency (or without input), else the studies value.</w:t>
      </w:r>
      <w:r>
        <w:t xml:space="preserve"> </w:t>
      </w:r>
      <w:r>
        <w:t xml:space="preserve">- WACC: Country* (country WACC + coal premium), Tech (country WACC + technology premium), else MAX(WACCUserGlobal (User), the income-group WACC (Income</w:t>
      </w:r>
      <w:r>
        <w:rPr>
          <w:iCs/>
          <w:i/>
        </w:rPr>
        <w:t xml:space="preserve">) or the studies WACC, MinimumWACC). Discounted lifetime = (1 − (1 + WACC)^−N) / (1 − (1 + WACC)^−1); renewables use the average of wind and solar.</w:t>
      </w:r>
      <w:r>
        <w:rPr>
          <w:iCs/>
          <w:i/>
        </w:rPr>
        <w:t xml:space="preserve"> </w:t>
      </w:r>
      <w:r>
        <w:rPr>
          <w:iCs/>
          <w:i/>
        </w:rPr>
        <w:t xml:space="preserve">- New investment: the type’s NewInv setting; “If Present</w:t>
      </w:r>
      <w:r>
        <w:t xml:space="preserve">” = Yes when the type has more than 0.1% of base-year capacity; from the NewInv year (hydro from the base year when its generation share is above one half).</w:t>
      </w:r>
      <w:r>
        <w:t xml:space="preserve"> </w:t>
      </w:r>
      <w:r>
        <w:t xml:space="preserve">- Scale-up rates: coal, gas, hydro MaxNonVREAsPCOfTotalGen; wind and solar the country default (CtryDefault</w:t>
      </w:r>
      <w:r>
        <w:rPr>
          <w:iCs/>
          <w:i/>
        </w:rPr>
        <w:t xml:space="preserve">), MaxWindSolarScaleup (UserDefined) or the category rate (Low, Medium</w:t>
      </w:r>
      <w:r>
        <w:t xml:space="preserve">, High, Vhigh); the others MaxNonNucOreBioAsPCOfTotalGen. Retirement rate 1/N, hydro 0 if HydroDoesntRetire = Yes.</w:t>
      </w:r>
      <w:r>
        <w:t xml:space="preserve"> </w:t>
      </w:r>
      <w:r>
        <w:t xml:space="preserve">- Capex time factors of the decline scenario of RenewableCostDeclineRate (renewables; others medium); where the Power tab has no series for the option (Low and Vhigh for wind and solar, Vhigh for other renewables), the older series of the same option, else medium.</w:t>
      </w:r>
    </w:p>
    <w:p>
      <w:pPr>
        <w:pStyle w:val="BodyText"/>
      </w:pPr>
      <w:r>
        <w:rPr>
          <w:bCs/>
          <w:b/>
        </w:rPr>
        <w:t xml:space="preserve">I Dispatch.</w:t>
      </w:r>
      <w:r>
        <w:t xml:space="preserve"> </w:t>
      </w:r>
      <w:r>
        <w:t xml:space="preserve">- Fixed-output types (wind, solar, hydro, other renewables, oil, nuclear, biomass) generate capacity × capacity factor.</w:t>
      </w:r>
      <w:r>
        <w:t xml:space="preserve"> </w:t>
      </w:r>
      <w:r>
        <w:t xml:space="preserve">- Coal and gas cover the rest. Each first gets the minimum it must supply given the other’s maximum (maximum = capacity × MaximumCoalCF for coal, × MaximumGasCF for gas; 0.9 by default); the remainder is shared by a logit EXP(-kDispatch × variable cost / lowest variable cost), capped at the maximum.</w:t>
      </w:r>
      <w:r>
        <w:t xml:space="preserve"> </w:t>
      </w:r>
      <w:r>
        <w:t xml:space="preserve">- PPAs: a share p of coal and gas generation (PPAProportionCoalGas × phase-out factor) runs at its capacity factor, scaled to the need, whatever its cost: generation = logit dispatch × (1 − p) + effective capacity × (coal and gas need / coal and gas effective capacity) × p. The phase-out factor falls linearly to 0 over YearsToPhaseOutPPAs years after YearPPACoalGas when the switch of the scenario (PhaseOutCoalAndGasPPAsBaseline in scenario 1, PhaseOutCoalAndGasPPAsPolicy in the others) is Yes or Yes*; else 1.</w:t>
      </w:r>
      <w:r>
        <w:t xml:space="preserve"> </w:t>
      </w:r>
      <w:r>
        <w:t xml:space="preserve">- Fuel use = generation / efficiency (ktoe); CO2 = fuel use × EF.</w:t>
      </w:r>
    </w:p>
    <w:p>
      <w:pPr>
        <w:pStyle w:val="BodyText"/>
      </w:pPr>
      <w:r>
        <w:rPr>
          <w:bCs/>
          <w:b/>
        </w:rPr>
        <w:t xml:space="preserve">K Capacity and retirement.</w:t>
      </w:r>
      <w:r>
        <w:t xml:space="preserve"> </w:t>
      </w:r>
      <w:r>
        <w:t xml:space="preserve">- Retirement = planned retirement (data in nameplate MW per year, if the type’s switch is Yes) or else capacity / lifetime; plus early retirement for coal; at most the capacity. Hydro does not retire. Effective retirement = retirement × capacity factor.</w:t>
      </w:r>
      <w:r>
        <w:t xml:space="preserve"> </w:t>
      </w:r>
      <w:r>
        <w:t xml:space="preserve">- For Egypt the legacy file has no planned-retirement data, so every switch is No.</w:t>
      </w:r>
      <w:r>
        <w:t xml:space="preserve"> </w:t>
      </w:r>
      <w:r>
        <w:t xml:space="preserve">- Early coal retirement: room = MAX(0, maximum wind and solar additions − last year’s increase in generation − last year’s non-coal effective retirements); early = MAX(0, MIN(0.8 × coal effective capacity, room) × (1 − coal share of a logit over coal variable cost and wind and solar investment costs)) / coal capacity factor × factor × (1 − PPA share). The factor is MaxCostBasedEarlyRetirement, and 0 in scenario 1 unless EarlyRetirementInBaseline = Yes (legacy F3993); plants under PPA do not retire early.</w:t>
      </w:r>
      <w:r>
        <w:t xml:space="preserve"> </w:t>
      </w:r>
      <w:r>
        <w:t xml:space="preserve">- Capacity needed = MAX(required generation − (effective capacity − effective retirement), 0). Capacity bought in year t is available in t+1.</w:t>
      </w:r>
    </w:p>
    <w:p>
      <w:pPr>
        <w:pStyle w:val="BodyText"/>
      </w:pPr>
      <w:r>
        <w:rPr>
          <w:bCs/>
          <w:b/>
        </w:rPr>
        <w:t xml:space="preserve">L Investment.</w:t>
      </w:r>
      <w:r>
        <w:t xml:space="preserve"> </w:t>
      </w:r>
      <w:r>
        <w:t xml:space="preserve">- First round, permitted types only: logit share EXP(-2 × E1 / lowest permitted E1), limited by a scale-up limit (rate × total effective capacity).</w:t>
      </w:r>
      <w:r>
        <w:t xml:space="preserve"> </w:t>
      </w:r>
      <w:r>
        <w:t xml:space="preserve">- Second round: the remaining deficit goes to types with space left, cheapest first.</w:t>
      </w:r>
      <w:r>
        <w:t xml:space="preserve"> </w:t>
      </w:r>
      <w:r>
        <w:t xml:space="preserve">- Final deficit: with PwDeficitGas = Yes (Settings C45; default No, as legacy’s typed switch E4248) the deficit left after the second round goes to gas (legacy row 4252).</w:t>
      </w:r>
      <w:r>
        <w:t xml:space="preserve"> </w:t>
      </w:r>
      <w:r>
        <w:t xml:space="preserve">- Nameplate investment = effective / capacity factor; USD = nameplate × capital cost of the year.</w:t>
      </w:r>
      <w:r>
        <w:t xml:space="preserve"> </w:t>
      </w:r>
      <w:r>
        <w:t xml:space="preserve">- phi = nameplate / (capacity + nameplate − retirement), the new-vintage share used in the vintage averages B2 and B6.</w:t>
      </w:r>
    </w:p>
    <w:p>
      <w:pPr>
        <w:pStyle w:val="BodyText"/>
      </w:pPr>
      <w:r>
        <w:rPr>
          <w:bCs/>
          <w:b/>
        </w:rPr>
        <w:t xml:space="preserve">D5, D6, D9, E1.</w:t>
      </w:r>
      <w:r>
        <w:t xml:space="preserve"> </w:t>
      </w:r>
      <w:r>
        <w:t xml:space="preserve">Each sector has three policy rates ($/tCO2), the same for the fuel blocks and power:</w:t>
      </w:r>
      <w:r>
        <w:t xml:space="preserve"> </w:t>
      </w:r>
      <w:r>
        <w:t xml:space="preserve">- carbon tax = carbon price × sector coverage × (1 − ETS coverage);</w:t>
      </w:r>
      <w:r>
        <w:t xml:space="preserve"> </w:t>
      </w:r>
      <w:r>
        <w:t xml:space="preserve">- ETS cost = ETS tax-equivalent price × ETS coverage × (1 − OBR share);</w:t>
      </w:r>
      <w:r>
        <w:t xml:space="preserve"> </w:t>
      </w:r>
      <w:r>
        <w:t xml:space="preserve">- shadow price = feebate (and regulation) rate × share impacting efficiency + ETS tax-equivalent price × ETS coverage × OBR share.</w:t>
      </w:r>
    </w:p>
    <w:p>
      <w:pPr>
        <w:pStyle w:val="BodyText"/>
      </w:pPr>
      <w:r>
        <w:t xml:space="preserve">New policy cost per kWh (D5) = tCO2/kWh × (carbon tax × fuel coverage + ETS cost) + fuel price reform per kWh. The levelised fixed cost (C) includes the renewable subsidy per kWh of the scenario (</w:t>
      </w:r>
      <w:r>
        <w:rPr>
          <w:rStyle w:val="VerbatimChar"/>
        </w:rPr>
        <w:t xml:space="preserve">PowerPrices_Method_v7_0.md</w:t>
      </w:r>
      <w:r>
        <w:t xml:space="preserve"> </w:t>
      </w:r>
      <w:r>
        <w:t xml:space="preserve">3.3). The shadow price per kWh is the power shadow price × tCO2/kWh; the rebate returns it in proportion to base-year shares, per kWh generated. Total variable cost = cost before new policies + new policy cost + shadow price + rebate. D9 = discounted average of the total variable cost to 2041, the last year (as legacy). E1 = MAX(levelised fixed cost + D9, 0.01).</w:t>
      </w:r>
    </w:p>
    <w:bookmarkEnd w:id="74"/>
    <w:bookmarkStart w:id="75" w:name="validation-check_report_v6.4.md"/>
    <w:p>
      <w:pPr>
        <w:pStyle w:val="Heading3"/>
      </w:pPr>
      <w:r>
        <w:t xml:space="preserve">3. Validation (</w:t>
      </w:r>
      <w:r>
        <w:rPr>
          <w:rStyle w:val="VerbatimChar"/>
        </w:rPr>
        <w:t xml:space="preserve">check_report_v6.4.md</w:t>
      </w:r>
      <w:r>
        <w:t xml:space="preserve">)</w:t>
      </w:r>
    </w:p>
    <w:p>
      <w:pPr>
        <w:numPr>
          <w:ilvl w:val="0"/>
          <w:numId w:val="1032"/>
        </w:numPr>
        <w:pStyle w:val="Compact"/>
      </w:pPr>
      <w:r>
        <w:rPr>
          <w:bCs/>
          <w:b/>
        </w:rPr>
        <w:t xml:space="preserve">Method = legacy.</w:t>
      </w:r>
      <w:r>
        <w:t xml:space="preserve"> </w:t>
      </w:r>
      <w:r>
        <w:t xml:space="preserve">The Python reference, fed with the cached legacy inputs and the bugs switched on, reproduces 208 legacy rows of the baseline and the carbon-tax run.</w:t>
      </w:r>
    </w:p>
    <w:p>
      <w:pPr>
        <w:numPr>
          <w:ilvl w:val="0"/>
          <w:numId w:val="1032"/>
        </w:numPr>
        <w:pStyle w:val="Compact"/>
      </w:pPr>
      <w:r>
        <w:rPr>
          <w:bCs/>
          <w:b/>
        </w:rPr>
        <w:t xml:space="preserve">Workbook = Python.</w:t>
      </w:r>
      <w:r>
        <w:t xml:space="preserve"> </w:t>
      </w:r>
      <w:r>
        <w:t xml:space="preserve">With all bugs fixed and the MVP inputs, the workbook matches the Python reference for every power row, in every scenario test.</w:t>
      </w:r>
    </w:p>
    <w:p>
      <w:pPr>
        <w:numPr>
          <w:ilvl w:val="0"/>
          <w:numId w:val="1032"/>
        </w:numPr>
        <w:pStyle w:val="Compact"/>
      </w:pPr>
      <w:r>
        <w:rPr>
          <w:bCs/>
          <w:b/>
        </w:rPr>
        <w:t xml:space="preserve">Properties:</w:t>
      </w:r>
      <w:r>
        <w:t xml:space="preserve"> </w:t>
      </w:r>
      <w:r>
        <w:t xml:space="preserve">generation = required generation; the capacity balance holds; investment is at most the capacity needed (scale-up limits can leave part unplaced); the supply cost lag holds; a carbon price raises the VRE share and lowers power CO2.</w:t>
      </w:r>
    </w:p>
    <w:p>
      <w:pPr>
        <w:numPr>
          <w:ilvl w:val="0"/>
          <w:numId w:val="1032"/>
        </w:numPr>
        <w:pStyle w:val="Compact"/>
      </w:pPr>
      <w:r>
        <w:rPr>
          <w:bCs/>
          <w:b/>
        </w:rPr>
        <w:t xml:space="preserve">Planned retirement.</w:t>
      </w:r>
      <w:r>
        <w:t xml:space="preserve"> </w:t>
      </w:r>
      <w:r>
        <w:t xml:space="preserve">With the switch on for gas and oil and test data, the workbook matches the Python reference, and retirement equals the data.</w:t>
      </w:r>
      <w:r>
        <w:t xml:space="preserve"> </w:t>
      </w:r>
      <w:r>
        <w:t xml:space="preserve">4b.</w:t>
      </w:r>
      <w:r>
        <w:t xml:space="preserve"> </w:t>
      </w:r>
      <w:r>
        <w:rPr>
          <w:bCs/>
          <w:b/>
        </w:rPr>
        <w:t xml:space="preserve">Power features.</w:t>
      </w:r>
      <w:r>
        <w:t xml:space="preserve"> </w:t>
      </w:r>
      <w:r>
        <w:t xml:space="preserve">One test scenario per feature (check section 5d): MaximumGasCF and long-term storage; the power inputs of the scenario (two scenarios with many inputs changed, including WACC options, capacity-factor and efficiency bounds, permits, scale-up categories, decline options, storage, logit constants, pass-through, spot prices); PPAs; renewable subsidies; the rebate; the electricity excise and the manual excise; the final deficit to gas with tight scale-up limits. Each matches the Python reference.</w:t>
      </w:r>
    </w:p>
    <w:p>
      <w:pPr>
        <w:numPr>
          <w:ilvl w:val="0"/>
          <w:numId w:val="1032"/>
        </w:numPr>
        <w:pStyle w:val="Compact"/>
      </w:pPr>
      <w:r>
        <w:rPr>
          <w:bCs/>
          <w:b/>
        </w:rPr>
        <w:t xml:space="preserve">Memo lines</w:t>
      </w:r>
      <w:r>
        <w:t xml:space="preserve"> </w:t>
      </w:r>
      <w:r>
        <w:t xml:space="preserve">equal power demand by subsector and add up by sector and in total.</w:t>
      </w:r>
    </w:p>
    <w:p>
      <w:pPr>
        <w:numPr>
          <w:ilvl w:val="0"/>
          <w:numId w:val="1032"/>
        </w:numPr>
        <w:pStyle w:val="Compact"/>
      </w:pPr>
      <w:r>
        <w:rPr>
          <w:bCs/>
          <w:b/>
        </w:rPr>
        <w:t xml:space="preserve">Totals.</w:t>
      </w:r>
      <w:r>
        <w:t xml:space="preserve"> </w:t>
      </w:r>
      <w:r>
        <w:t xml:space="preserve">Fuel use, revenue and CO2 totals with power equal the Python reference; with non-zero existing carbon pricing test data, the power variable cost, revenues by type and totals match too. Check rows confirm that the totals equal their sector, power and fuel parts.</w:t>
      </w:r>
    </w:p>
    <w:bookmarkEnd w:id="75"/>
    <w:bookmarkStart w:id="76" w:name="X59a85293ea030b6d56eac7e81a1770e7b1fde32"/>
    <w:p>
      <w:pPr>
        <w:pStyle w:val="Heading3"/>
      </w:pPr>
      <w:r>
        <w:t xml:space="preserve">Manual capacity and investment (v5.6, power plan P3)</w:t>
      </w:r>
    </w:p>
    <w:p>
      <w:pPr>
        <w:pStyle w:val="FirstParagraph"/>
      </w:pPr>
      <w:r>
        <w:t xml:space="preserve">Where a scenario’s NewInv</w:t>
      </w:r>
      <w:r>
        <w:t xml:space="preserve"> </w:t>
      </w:r>
      <w:r>
        <w:t xml:space="preserve">= Manual (ScenarioDefinition rows 397-405), the type follows the capacity path of</w:t>
      </w:r>
      <w:r>
        <w:t xml:space="preserve"> </w:t>
      </w:r>
      <w:r>
        <w:t xml:space="preserve">‘</w:t>
      </w:r>
      <w:r>
        <w:t xml:space="preserve">Manual inputs</w:t>
      </w:r>
      <w:r>
        <w:t xml:space="preserve">’</w:t>
      </w:r>
      <w:r>
        <w:t xml:space="preserve"> </w:t>
      </w:r>
      <w:r>
        <w:t xml:space="preserve">(rows 349-357 for scenario 1, rows 363-371 for the other scenarios; names ManCapVal, ManCapYr). Row mancap reads the path; row mani is the manual new effective investment, MAX(0, next year’s path - this year’s path + retirement) x capacity factor (0 in 2041); the type gets no logit investment (permit 0). Row needm = MAX(need - SUM(mani), 0) sizes the logit and second-round investment: legacy computes this need (row 4108) but never uses it, so its logit investment comes on top of the manual one (legacy bug L118, fixed). New effective investment nei = first + second (+ gas deficit) + mani. Test (scenario 2, nuclear 2,400 MW from 2030): 2,400 MW nameplate built in 2029, then the retirements replaced.</w:t>
      </w:r>
    </w:p>
    <w:bookmarkEnd w:id="76"/>
    <w:bookmarkStart w:id="77" w:name="coal-implicit-cost-v5.6-power-plan-p5"/>
    <w:p>
      <w:pPr>
        <w:pStyle w:val="Heading3"/>
      </w:pPr>
      <w:r>
        <w:t xml:space="preserve">Coal implicit cost (v5.6, power plan P5)</w:t>
      </w:r>
    </w:p>
    <w:p>
      <w:pPr>
        <w:pStyle w:val="FirstParagraph"/>
      </w:pPr>
      <w:r>
        <w:t xml:space="preserve">Rows cics, cicl and cic (sub-table D): AdditionalCoalIntangibleCost (ScenarioDefinition 369) No = 0, Manual = ScenarioDefinition 370-371, else the GoalSeekCoal table (legacy tab, 85 countries, not Egypt) by country; linear from the first year of calculations to CoalICYr (2030), as legacy rows 3360-3363. It is added to the coal variable cost (dispatch, levelised cost, investment) and, unless Settings PwCoalICTariff = No (default Yes, as legacy; decision 6), to the generation cost and tariffs. Memo rows (sub-table E): fce (post-tax fuel cost per kWh, legacy F2-F3), cik (tCO2 per kWh, F4), swi and swd (switching carbon prices gas over coal for new investment and dispatch, F7; F1, F5 and F6 are rows lfx/tic and tvc). The GoalSeekCoal calibration script is not built.</w:t>
      </w:r>
    </w:p>
    <w:bookmarkEnd w:id="77"/>
    <w:bookmarkEnd w:id="78"/>
    <w:bookmarkStart w:id="84" w:name="method-road-transport-engineer-model"/>
    <w:p>
      <w:pPr>
        <w:pStyle w:val="Heading1"/>
      </w:pPr>
      <w:r>
        <w:t xml:space="preserve">Method: road transport, engineer model</w:t>
      </w:r>
    </w:p>
    <w:p>
      <w:pPr>
        <w:pStyle w:val="FirstParagraph"/>
      </w:pPr>
      <w:r>
        <w:rPr>
          <w:iCs/>
          <w:i/>
        </w:rPr>
        <w:t xml:space="preserve">Source:</w:t>
      </w:r>
      <w:r>
        <w:rPr>
          <w:iCs/>
          <w:i/>
        </w:rPr>
        <w:t xml:space="preserve"> </w:t>
      </w:r>
      <w:r>
        <w:rPr>
          <w:rStyle w:val="VerbatimChar"/>
          <w:iCs/>
          <w:i/>
        </w:rPr>
        <w:t xml:space="preserve">Transport_Method_v7_0.md</w:t>
      </w:r>
      <w:r>
        <w:rPr>
          <w:iCs/>
          <w:i/>
        </w:rPr>
        <w:t xml:space="preserve">.</w:t>
      </w:r>
    </w:p>
    <w:p>
      <w:pPr>
        <w:pStyle w:val="BodyText"/>
      </w:pPr>
      <w:r>
        <w:t xml:space="preserve">Equations:</w:t>
      </w:r>
      <w:r>
        <w:t xml:space="preserve"> </w:t>
      </w:r>
      <w:r>
        <w:rPr>
          <w:rStyle w:val="VerbatimChar"/>
        </w:rPr>
        <w:t xml:space="preserve">Equations_v7_0.md</w:t>
      </w:r>
      <w:r>
        <w:t xml:space="preserve"> </w:t>
      </w:r>
      <w:r>
        <w:t xml:space="preserve">section 4b; workbook layout and names:</w:t>
      </w:r>
      <w:r>
        <w:t xml:space="preserve"> </w:t>
      </w:r>
      <w:r>
        <w:rPr>
          <w:rStyle w:val="VerbatimChar"/>
        </w:rPr>
        <w:t xml:space="preserve">Transport_Workbook_Notes_v7_0.md</w:t>
      </w:r>
      <w:r>
        <w:t xml:space="preserve">; bugs fixed and decisions against legacy:</w:t>
      </w:r>
      <w:r>
        <w:t xml:space="preserve"> </w:t>
      </w:r>
      <w:r>
        <w:rPr>
          <w:rStyle w:val="VerbatimChar"/>
        </w:rPr>
        <w:t xml:space="preserve">Transport_vs_Legacy_v7_0.md</w:t>
      </w:r>
      <w:r>
        <w:t xml:space="preserve">; the legacy model:</w:t>
      </w:r>
      <w:r>
        <w:t xml:space="preserve"> </w:t>
      </w:r>
      <w:r>
        <w:rPr>
          <w:rStyle w:val="VerbatimChar"/>
        </w:rPr>
        <w:t xml:space="preserve">Transport_Legacy_Survey_v7_0.md</w:t>
      </w:r>
      <w:r>
        <w:t xml:space="preserve"> </w:t>
      </w:r>
      <w:r>
        <w:t xml:space="preserve">and</w:t>
      </w:r>
      <w:r>
        <w:t xml:space="preserve"> </w:t>
      </w:r>
      <w:r>
        <w:rPr>
          <w:rStyle w:val="VerbatimChar"/>
        </w:rPr>
        <w:t xml:space="preserve">Transport_Reference_Notes_v7_0.md</w:t>
      </w:r>
      <w:r>
        <w:t xml:space="preserve">.</w:t>
      </w:r>
    </w:p>
    <w:bookmarkStart w:id="79" w:name="what-it-is-1"/>
    <w:p>
      <w:pPr>
        <w:pStyle w:val="Heading3"/>
      </w:pPr>
      <w:r>
        <w:t xml:space="preserve">1. What it is</w:t>
      </w:r>
    </w:p>
    <w:p>
      <w:pPr>
        <w:pStyle w:val="FirstParagraph"/>
      </w:pPr>
      <w:r>
        <w:t xml:space="preserve">The</w:t>
      </w:r>
      <w:r>
        <w:t xml:space="preserve"> </w:t>
      </w:r>
      <w:r>
        <w:t xml:space="preserve">“</w:t>
      </w:r>
      <w:r>
        <w:t xml:space="preserve">technoeconomic</w:t>
      </w:r>
      <w:r>
        <w:t xml:space="preserve">”</w:t>
      </w:r>
      <w:r>
        <w:t xml:space="preserve"> </w:t>
      </w:r>
      <w:r>
        <w:t xml:space="preserve">road model of legacy CPAT and of the methodology note (</w:t>
      </w:r>
      <w:r>
        <w:rPr>
          <w:rStyle w:val="VerbatimChar"/>
        </w:rPr>
        <w:t xml:space="preserve">data/source/Transportation_methodology.docx</w:t>
      </w:r>
      <w:r>
        <w:t xml:space="preserve">). It projects road vehicles, distance driven, fuel economy and energy use from vehicle economics, instead of the single fuel-use equation of the elasticity approach.</w:t>
      </w:r>
    </w:p>
    <w:p>
      <w:pPr>
        <w:numPr>
          <w:ilvl w:val="0"/>
          <w:numId w:val="1033"/>
        </w:numPr>
        <w:pStyle w:val="Compact"/>
      </w:pPr>
      <w:r>
        <w:rPr>
          <w:bCs/>
          <w:b/>
        </w:rPr>
        <w:t xml:space="preserve">Vehicle classes:</w:t>
      </w:r>
      <w:r>
        <w:t xml:space="preserve"> </w:t>
      </w:r>
      <w:r>
        <w:t xml:space="preserve">passenger and light vehicles (new and used), freight trucks and 2-3 wheelers; buses follow passenger vehicles.</w:t>
      </w:r>
    </w:p>
    <w:p>
      <w:pPr>
        <w:numPr>
          <w:ilvl w:val="0"/>
          <w:numId w:val="1033"/>
        </w:numPr>
        <w:pStyle w:val="Compact"/>
      </w:pPr>
      <w:r>
        <w:rPr>
          <w:bCs/>
          <w:b/>
        </w:rPr>
        <w:t xml:space="preserve">Powertrains:</w:t>
      </w:r>
      <w:r>
        <w:t xml:space="preserve"> </w:t>
      </w:r>
      <w:r>
        <w:t xml:space="preserve">gasoline, diesel, LPG and CNG/LNG; PHEVs (passenger); BEVs.</w:t>
      </w:r>
    </w:p>
    <w:p>
      <w:pPr>
        <w:numPr>
          <w:ilvl w:val="0"/>
          <w:numId w:val="1033"/>
        </w:numPr>
        <w:pStyle w:val="Compact"/>
      </w:pPr>
      <w:r>
        <w:rPr>
          <w:bCs/>
          <w:b/>
        </w:rPr>
        <w:t xml:space="preserve">Fuels covered:</w:t>
      </w:r>
      <w:r>
        <w:t xml:space="preserve"> </w:t>
      </w:r>
      <w:r>
        <w:t xml:space="preserve">road gasoline, diesel, LPG, natural gas and electricity; road biofuels follow them as legacy (v4.12, LD62): bioethanol and other biofuels with gasoline, biodiesel with diesel (base year x use / base-year use). The vehicle feebate’s CO2 per liter of gasoline and diesel is scaled by their fossil share in the base year (legacy E2146:E2147; issue I40, replicated). Coal, kerosene and other oil products in road, and rail, aviation and navigation, stay on the elasticity approach.</w:t>
      </w:r>
    </w:p>
    <w:p>
      <w:pPr>
        <w:pStyle w:val="FirstParagraph"/>
      </w:pPr>
      <w:r>
        <w:rPr>
          <w:bCs/>
          <w:b/>
        </w:rPr>
        <w:t xml:space="preserve">Switch:</w:t>
      </w:r>
      <w:r>
        <w:t xml:space="preserve"> </w:t>
      </w:r>
      <w:r>
        <w:t xml:space="preserve">ScenarioDefinition</w:t>
      </w:r>
      <w:r>
        <w:t xml:space="preserve"> </w:t>
      </w:r>
      <w:r>
        <w:rPr>
          <w:rStyle w:val="VerbatimChar"/>
        </w:rPr>
        <w:t xml:space="preserve">TrModel</w:t>
      </w:r>
      <w:r>
        <w:t xml:space="preserve"> </w:t>
      </w:r>
      <w:r>
        <w:t xml:space="preserve">(legacy row 340), per scenario.</w:t>
      </w:r>
      <w:r>
        <w:t xml:space="preserve"> </w:t>
      </w:r>
      <w:r>
        <w:t xml:space="preserve">-</w:t>
      </w:r>
      <w:r>
        <w:t xml:space="preserve"> </w:t>
      </w:r>
      <w:r>
        <w:rPr>
          <w:bCs/>
          <w:b/>
        </w:rPr>
        <w:t xml:space="preserve">Elasticity (default):</w:t>
      </w:r>
      <w:r>
        <w:t xml:space="preserve"> </w:t>
      </w:r>
      <w:r>
        <w:t xml:space="preserve">results are exactly those of v3.4.</w:t>
      </w:r>
      <w:r>
        <w:t xml:space="preserve"> </w:t>
      </w:r>
      <w:r>
        <w:t xml:space="preserve">-</w:t>
      </w:r>
      <w:r>
        <w:t xml:space="preserve"> </w:t>
      </w:r>
      <w:r>
        <w:rPr>
          <w:bCs/>
          <w:b/>
        </w:rPr>
        <w:t xml:space="preserve">Engineer:</w:t>
      </w:r>
      <w:r>
        <w:t xml:space="preserve"> </w:t>
      </w:r>
      <w:r>
        <w:t xml:space="preserve">section 5b replaces road gasoline, diesel, LPG, gas and biofuels in section 5 in every year. Road electricity feeds power demand from the year after the base year. CO2, revenues, methane, air pollutants and the totals follow.</w:t>
      </w:r>
    </w:p>
    <w:p>
      <w:pPr>
        <w:pStyle w:val="BodyText"/>
      </w:pPr>
      <w:r>
        <w:t xml:space="preserve">Section 5b is computed in every scenario either way, so the two approaches can be compared side by side.</w:t>
      </w:r>
    </w:p>
    <w:bookmarkEnd w:id="79"/>
    <w:bookmarkStart w:id="80" w:name="how-it-works-one-year-at-a-time"/>
    <w:p>
      <w:pPr>
        <w:pStyle w:val="Heading3"/>
      </w:pPr>
      <w:r>
        <w:t xml:space="preserve">2. How it works (one year at a time)</w:t>
      </w:r>
    </w:p>
    <w:p>
      <w:pPr>
        <w:numPr>
          <w:ilvl w:val="0"/>
          <w:numId w:val="1034"/>
        </w:numPr>
        <w:pStyle w:val="Compact"/>
      </w:pPr>
      <w:r>
        <w:rPr>
          <w:bCs/>
          <w:b/>
        </w:rPr>
        <w:t xml:space="preserve">Vehicle demand:</w:t>
      </w:r>
    </w:p>
    <w:p>
      <w:pPr>
        <w:numPr>
          <w:ilvl w:val="1"/>
          <w:numId w:val="1035"/>
        </w:numPr>
        <w:pStyle w:val="Compact"/>
      </w:pPr>
      <w:r>
        <w:rPr>
          <w:bCs/>
          <w:b/>
        </w:rPr>
        <w:t xml:space="preserve">Passenger ownership</w:t>
      </w:r>
      <w:r>
        <w:t xml:space="preserve"> </w:t>
      </w:r>
      <w:r>
        <w:t xml:space="preserve">per 1,000 people follows a Gompertz curve in GDP per capita. Its saturation level comes from the data, and it adjusts partially each year, with limits on annual growth and decline.</w:t>
      </w:r>
    </w:p>
    <w:p>
      <w:pPr>
        <w:numPr>
          <w:ilvl w:val="1"/>
          <w:numId w:val="1035"/>
        </w:numPr>
        <w:pStyle w:val="Compact"/>
      </w:pPr>
      <w:r>
        <w:rPr>
          <w:bCs/>
          <w:b/>
        </w:rPr>
        <w:t xml:space="preserve">Calibration</w:t>
      </w:r>
      <w:r>
        <w:t xml:space="preserve"> </w:t>
      </w:r>
      <w:r>
        <w:t xml:space="preserve">scales the curve to observed ownership in the last data year, up or down.</w:t>
      </w:r>
    </w:p>
    <w:p>
      <w:pPr>
        <w:numPr>
          <w:ilvl w:val="1"/>
          <w:numId w:val="1035"/>
        </w:numPr>
        <w:pStyle w:val="Compact"/>
      </w:pPr>
      <w:r>
        <w:rPr>
          <w:bCs/>
          <w:b/>
        </w:rPr>
        <w:t xml:space="preserve">Freight and 2-3 wheelers:</w:t>
      </w:r>
      <w:r>
        <w:t xml:space="preserve"> </w:t>
      </w:r>
      <w:r>
        <w:t xml:space="preserve">freight ownership is an income-dependent share of passenger ownership; 2-3 wheelers follow a hump in income.</w:t>
      </w:r>
    </w:p>
    <w:p>
      <w:pPr>
        <w:numPr>
          <w:ilvl w:val="0"/>
          <w:numId w:val="1034"/>
        </w:numPr>
        <w:pStyle w:val="Compact"/>
      </w:pPr>
      <w:r>
        <w:rPr>
          <w:bCs/>
          <w:b/>
        </w:rPr>
        <w:t xml:space="preserve">Stock:</w:t>
      </w:r>
      <w:r>
        <w:t xml:space="preserve"> </w:t>
      </w:r>
      <w:r>
        <w:t xml:space="preserve">vehicles retire at 1/lifetime of the trailing-average stock. Purchases are demand minus the remaining stock, split between new and used vehicles by the used share.</w:t>
      </w:r>
    </w:p>
    <w:p>
      <w:pPr>
        <w:numPr>
          <w:ilvl w:val="0"/>
          <w:numId w:val="1034"/>
        </w:numPr>
        <w:pStyle w:val="Compact"/>
      </w:pPr>
      <w:r>
        <w:rPr>
          <w:bCs/>
          <w:b/>
        </w:rPr>
        <w:t xml:space="preserve">Total cost of ownership (TCO) per km, ICEV and BEV:</w:t>
      </w:r>
    </w:p>
    <w:p>
      <w:pPr>
        <w:numPr>
          <w:ilvl w:val="1"/>
          <w:numId w:val="1036"/>
        </w:numPr>
        <w:pStyle w:val="Compact"/>
      </w:pPr>
      <w:r>
        <w:rPr>
          <w:bCs/>
          <w:b/>
        </w:rPr>
        <w:t xml:space="preserve">Purchase price</w:t>
      </w:r>
      <w:r>
        <w:t xml:space="preserve"> </w:t>
      </w:r>
      <w:r>
        <w:t xml:space="preserve">after customs, ad-valorem tax, VAT, feebates and EV subsidies.</w:t>
      </w:r>
    </w:p>
    <w:p>
      <w:pPr>
        <w:numPr>
          <w:ilvl w:val="1"/>
          <w:numId w:val="1036"/>
        </w:numPr>
        <w:pStyle w:val="Compact"/>
      </w:pPr>
      <w:r>
        <w:rPr>
          <w:bCs/>
          <w:b/>
        </w:rPr>
        <w:t xml:space="preserve">Depreciation and resale value, insurance and maintenance.</w:t>
      </w:r>
    </w:p>
    <w:p>
      <w:pPr>
        <w:numPr>
          <w:ilvl w:val="1"/>
          <w:numId w:val="1036"/>
        </w:numPr>
        <w:pStyle w:val="Compact"/>
      </w:pPr>
      <w:r>
        <w:rPr>
          <w:bCs/>
          <w:b/>
        </w:rPr>
        <w:t xml:space="preserve">Fuel or electricity:</w:t>
      </w:r>
    </w:p>
    <w:p>
      <w:pPr>
        <w:numPr>
          <w:ilvl w:val="2"/>
          <w:numId w:val="1037"/>
        </w:numPr>
        <w:pStyle w:val="Compact"/>
      </w:pPr>
      <w:r>
        <w:t xml:space="preserve">retail prices incl. carbon tax and fuel reform;</w:t>
      </w:r>
    </w:p>
    <w:p>
      <w:pPr>
        <w:numPr>
          <w:ilvl w:val="2"/>
          <w:numId w:val="1037"/>
        </w:numPr>
        <w:pStyle w:val="Compact"/>
      </w:pPr>
      <w:r>
        <w:t xml:space="preserve">EV electricity at last year’s power price plus a charging mark-up that falls with EV penetration.</w:t>
      </w:r>
    </w:p>
    <w:p>
      <w:pPr>
        <w:numPr>
          <w:ilvl w:val="1"/>
          <w:numId w:val="1036"/>
        </w:numPr>
        <w:pStyle w:val="Compact"/>
      </w:pPr>
      <w:r>
        <w:rPr>
          <w:bCs/>
          <w:b/>
        </w:rPr>
        <w:t xml:space="preserve">Distance tax.</w:t>
      </w:r>
    </w:p>
    <w:p>
      <w:pPr>
        <w:numPr>
          <w:ilvl w:val="1"/>
          <w:numId w:val="1036"/>
        </w:numPr>
        <w:pStyle w:val="Compact"/>
      </w:pPr>
      <w:r>
        <w:rPr>
          <w:bCs/>
          <w:b/>
        </w:rPr>
        <w:t xml:space="preserve">Range anxiety for BEVs:</w:t>
      </w:r>
      <w:r>
        <w:t xml:space="preserve"> </w:t>
      </w:r>
      <w:r>
        <w:t xml:space="preserve">it falls as charging stations grow; charging stations grow with the BEV stock and with charging subsidies.</w:t>
      </w:r>
    </w:p>
    <w:p>
      <w:pPr>
        <w:numPr>
          <w:ilvl w:val="1"/>
          <w:numId w:val="1036"/>
        </w:numPr>
        <w:pStyle w:val="Compact"/>
      </w:pPr>
      <w:r>
        <w:rPr>
          <w:bCs/>
          <w:b/>
        </w:rPr>
        <w:t xml:space="preserve">Discounting:</w:t>
      </w:r>
      <w:r>
        <w:t xml:space="preserve"> </w:t>
      </w:r>
      <w:r>
        <w:t xml:space="preserve">at a consumer discount rate that falls with income.</w:t>
      </w:r>
    </w:p>
    <w:p>
      <w:pPr>
        <w:numPr>
          <w:ilvl w:val="0"/>
          <w:numId w:val="1034"/>
        </w:numPr>
        <w:pStyle w:val="Compact"/>
      </w:pPr>
      <w:r>
        <w:rPr>
          <w:bCs/>
          <w:b/>
        </w:rPr>
        <w:t xml:space="preserve">Choice:</w:t>
      </w:r>
    </w:p>
    <w:p>
      <w:pPr>
        <w:numPr>
          <w:ilvl w:val="1"/>
          <w:numId w:val="1038"/>
        </w:numPr>
        <w:pStyle w:val="Compact"/>
      </w:pPr>
      <w:r>
        <w:rPr>
          <w:bCs/>
          <w:b/>
        </w:rPr>
        <w:t xml:space="preserve">EV share of purchases:</w:t>
      </w:r>
      <w:r>
        <w:t xml:space="preserve"> </w:t>
      </w:r>
      <w:r>
        <w:t xml:space="preserve">a logit in TCO per km, separately for new and used passenger vehicles, freight and 2-3 wheelers.</w:t>
      </w:r>
    </w:p>
    <w:p>
      <w:pPr>
        <w:numPr>
          <w:ilvl w:val="1"/>
          <w:numId w:val="1038"/>
        </w:numPr>
        <w:pStyle w:val="Compact"/>
      </w:pPr>
      <w:r>
        <w:rPr>
          <w:bCs/>
          <w:b/>
        </w:rPr>
        <w:t xml:space="preserve">Fuel split among ICEVs:</w:t>
      </w:r>
      <w:r>
        <w:t xml:space="preserve"> </w:t>
      </w:r>
      <w:r>
        <w:t xml:space="preserve">own- and cross-price elasticities of TCO.</w:t>
      </w:r>
    </w:p>
    <w:p>
      <w:pPr>
        <w:numPr>
          <w:ilvl w:val="0"/>
          <w:numId w:val="1034"/>
        </w:numPr>
        <w:pStyle w:val="Compact"/>
      </w:pPr>
      <w:r>
        <w:rPr>
          <w:bCs/>
          <w:b/>
        </w:rPr>
        <w:t xml:space="preserve">Fuel economy:</w:t>
      </w:r>
    </w:p>
    <w:p>
      <w:pPr>
        <w:numPr>
          <w:ilvl w:val="1"/>
          <w:numId w:val="1039"/>
        </w:numPr>
        <w:pStyle w:val="Compact"/>
      </w:pPr>
      <w:r>
        <w:rPr>
          <w:bCs/>
          <w:b/>
        </w:rPr>
        <w:t xml:space="preserve">New vehicles:</w:t>
      </w:r>
      <w:r>
        <w:t xml:space="preserve"> </w:t>
      </w:r>
      <w:r>
        <w:t xml:space="preserve">improves autonomously and with the fuel price (incl. the feebate per liter).</w:t>
      </w:r>
    </w:p>
    <w:p>
      <w:pPr>
        <w:numPr>
          <w:ilvl w:val="1"/>
          <w:numId w:val="1039"/>
        </w:numPr>
        <w:pStyle w:val="Compact"/>
      </w:pPr>
      <w:r>
        <w:rPr>
          <w:bCs/>
          <w:b/>
        </w:rPr>
        <w:t xml:space="preserve">Stock:</w:t>
      </w:r>
      <w:r>
        <w:t xml:space="preserve"> </w:t>
      </w:r>
      <w:r>
        <w:t xml:space="preserve">turns over with purchases.</w:t>
      </w:r>
    </w:p>
    <w:p>
      <w:pPr>
        <w:numPr>
          <w:ilvl w:val="1"/>
          <w:numId w:val="1039"/>
        </w:numPr>
        <w:pStyle w:val="Compact"/>
      </w:pPr>
      <w:r>
        <w:rPr>
          <w:bCs/>
          <w:b/>
        </w:rPr>
        <w:t xml:space="preserve">Distance per vehicle:</w:t>
      </w:r>
      <w:r>
        <w:t xml:space="preserve"> </w:t>
      </w:r>
      <w:r>
        <w:t xml:space="preserve">responds to the cost per km and to income.</w:t>
      </w:r>
    </w:p>
    <w:p>
      <w:pPr>
        <w:numPr>
          <w:ilvl w:val="0"/>
          <w:numId w:val="1034"/>
        </w:numPr>
        <w:pStyle w:val="Compact"/>
      </w:pPr>
      <w:r>
        <w:rPr>
          <w:bCs/>
          <w:b/>
        </w:rPr>
        <w:t xml:space="preserve">Fuel use:</w:t>
      </w:r>
      <w:r>
        <w:t xml:space="preserve"> </w:t>
      </w:r>
      <w:r>
        <w:t xml:space="preserve">vehicles × distance / fuel economy, by class and fuel, in two calibration steps to the base-year energy balance:</w:t>
      </w:r>
    </w:p>
    <w:p>
      <w:pPr>
        <w:numPr>
          <w:ilvl w:val="1"/>
          <w:numId w:val="1040"/>
        </w:numPr>
        <w:pStyle w:val="Compact"/>
      </w:pPr>
      <w:r>
        <w:t xml:space="preserve">distance factors by class;</w:t>
      </w:r>
    </w:p>
    <w:p>
      <w:pPr>
        <w:numPr>
          <w:ilvl w:val="1"/>
          <w:numId w:val="1040"/>
        </w:numPr>
        <w:pStyle w:val="Compact"/>
      </w:pPr>
      <w:r>
        <w:t xml:space="preserve">then a residual factor by fuel.</w:t>
      </w:r>
    </w:p>
    <w:p>
      <w:pPr>
        <w:numPr>
          <w:ilvl w:val="0"/>
          <w:numId w:val="1034"/>
        </w:numPr>
        <w:pStyle w:val="Compact"/>
      </w:pPr>
      <w:r>
        <w:rPr>
          <w:bCs/>
          <w:b/>
        </w:rPr>
        <w:t xml:space="preserve">Buses:</w:t>
      </w:r>
      <w:r>
        <w:t xml:space="preserve"> </w:t>
      </w:r>
      <w:r>
        <w:t xml:space="preserve">base-year bus fuel scales with passenger fuel use by fuel; bus electricity scales with passenger electricity.</w:t>
      </w:r>
    </w:p>
    <w:p>
      <w:pPr>
        <w:pStyle w:val="FirstParagraph"/>
      </w:pPr>
      <w:r>
        <w:rPr>
          <w:bCs/>
          <w:b/>
        </w:rPr>
        <w:t xml:space="preserve">Policies:</w:t>
      </w:r>
      <w:r>
        <w:t xml:space="preserve"> </w:t>
      </w:r>
      <w:r>
        <w:t xml:space="preserve">all are scenario rows on ScenarioDefinition (rows 418-479), off by default:</w:t>
      </w:r>
      <w:r>
        <w:t xml:space="preserve"> </w:t>
      </w:r>
      <w:r>
        <w:t xml:space="preserve">- carbon tax, fuel price reform and existing taxes (through the retail prices);</w:t>
      </w:r>
      <w:r>
        <w:t xml:space="preserve"> </w:t>
      </w:r>
      <w:r>
        <w:t xml:space="preserve">- feebates by class (rate per t CO2, pivot);</w:t>
      </w:r>
      <w:r>
        <w:t xml:space="preserve"> </w:t>
      </w:r>
      <w:r>
        <w:t xml:space="preserve">- distance tax;</w:t>
      </w:r>
      <w:r>
        <w:t xml:space="preserve"> </w:t>
      </w:r>
      <w:r>
        <w:t xml:space="preserve">- EV purchase subsidy;</w:t>
      </w:r>
      <w:r>
        <w:t xml:space="preserve"> </w:t>
      </w:r>
      <w:r>
        <w:t xml:space="preserve">- ad-valorem purchase taxes;</w:t>
      </w:r>
      <w:r>
        <w:t xml:space="preserve"> </w:t>
      </w:r>
      <w:r>
        <w:t xml:space="preserve">- VAT and customs on BEVs;</w:t>
      </w:r>
      <w:r>
        <w:t xml:space="preserve"> </w:t>
      </w:r>
      <w:r>
        <w:t xml:space="preserve">- charging-station subsidy.</w:t>
      </w:r>
    </w:p>
    <w:bookmarkEnd w:id="80"/>
    <w:bookmarkStart w:id="81" w:name="Xd77c5a97f43b9133696d294cca7afa4ea69ee9f"/>
    <w:p>
      <w:pPr>
        <w:pStyle w:val="Heading3"/>
      </w:pPr>
      <w:r>
        <w:t xml:space="preserve">3. Data (all countries, looked up by the country code)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Workbook sheet</w:t>
            </w:r>
          </w:p>
        </w:tc>
        <w:tc>
          <w:tcPr/>
          <w:p>
            <w:pPr>
              <w:pStyle w:val="Compact"/>
              <w:jc w:val="left"/>
            </w:pPr>
            <w:r>
              <w:t xml:space="preserve">Content</w:t>
            </w:r>
          </w:p>
        </w:tc>
        <w:tc>
          <w:tcPr/>
          <w:p>
            <w:pPr>
              <w:pStyle w:val="Compact"/>
              <w:jc w:val="left"/>
            </w:pPr>
            <w:r>
              <w:t xml:space="preserve">Source</w:t>
            </w:r>
          </w:p>
        </w:tc>
      </w:tr>
      <w:tr>
        <w:tc>
          <w:tcPr/>
          <w:p>
            <w:pPr>
              <w:pStyle w:val="Compact"/>
              <w:jc w:val="left"/>
            </w:pPr>
            <w:r>
              <w:t xml:space="preserve">Transport1</w:t>
            </w:r>
          </w:p>
        </w:tc>
        <w:tc>
          <w:tcPr/>
          <w:p>
            <w:pPr>
              <w:pStyle w:val="Compact"/>
              <w:jc w:val="left"/>
            </w:pPr>
            <w:r>
              <w:t xml:space="preserve">220 countries, 2022-2025: fuel shares by vehicle type, fuel economy, ownership, EV shares, distance, used share, duties, charging stations, ownership saturation</w:t>
            </w:r>
          </w:p>
        </w:tc>
        <w:tc>
          <w:tcPr/>
          <w:p>
            <w:pPr>
              <w:pStyle w:val="Compact"/>
              <w:jc w:val="left"/>
            </w:pPr>
            <w:r>
              <w:t xml:space="preserve">Legacy Transport1 (</w:t>
            </w:r>
            <w:r>
              <w:rPr>
                <w:rStyle w:val="VerbatimChar"/>
              </w:rPr>
              <w:t xml:space="preserve">data/transport_data.csv</w:t>
            </w:r>
            <w:r>
              <w:t xml:space="preserve">)</w:t>
            </w:r>
          </w:p>
        </w:tc>
      </w:tr>
      <w:tr>
        <w:tc>
          <w:tcPr/>
          <w:p>
            <w:pPr>
              <w:pStyle w:val="Compact"/>
              <w:jc w:val="left"/>
            </w:pPr>
            <w:r>
              <w:t xml:space="preserve">Transport2</w:t>
            </w:r>
          </w:p>
        </w:tc>
        <w:tc>
          <w:tcPr/>
          <w:p>
            <w:pPr>
              <w:pStyle w:val="Compact"/>
              <w:jc w:val="left"/>
            </w:pPr>
            <w:r>
              <w:t xml:space="preserve">ICEV and EV purchase prices by class, 2022-2040</w:t>
            </w:r>
          </w:p>
        </w:tc>
        <w:tc>
          <w:tcPr/>
          <w:p>
            <w:pPr>
              <w:pStyle w:val="Compact"/>
              <w:jc w:val="left"/>
            </w:pPr>
            <w:r>
              <w:t xml:space="preserve">Legacy Transport2 (</w:t>
            </w:r>
            <w:r>
              <w:rPr>
                <w:rStyle w:val="VerbatimChar"/>
              </w:rPr>
              <w:t xml:space="preserve">vehicle_prices.csv</w:t>
            </w:r>
            <w:r>
              <w:t xml:space="preserve">)</w:t>
            </w:r>
          </w:p>
        </w:tc>
      </w:tr>
      <w:tr>
        <w:tc>
          <w:tcPr/>
          <w:p>
            <w:pPr>
              <w:pStyle w:val="Compact"/>
              <w:jc w:val="left"/>
            </w:pPr>
            <w:r>
              <w:t xml:space="preserve">Transport3</w:t>
            </w:r>
          </w:p>
        </w:tc>
        <w:tc>
          <w:tcPr/>
          <w:p>
            <w:pPr>
              <w:pStyle w:val="Compact"/>
              <w:jc w:val="left"/>
            </w:pPr>
            <w:r>
              <w:t xml:space="preserve">Range anxiety by class (stored solver results), 194 countries</w:t>
            </w:r>
          </w:p>
        </w:tc>
        <w:tc>
          <w:tcPr/>
          <w:p>
            <w:pPr>
              <w:pStyle w:val="Compact"/>
              <w:jc w:val="left"/>
            </w:pPr>
            <w:r>
              <w:t xml:space="preserve">Legacy Transport3 (</w:t>
            </w:r>
            <w:r>
              <w:rPr>
                <w:rStyle w:val="VerbatimChar"/>
              </w:rPr>
              <w:t xml:space="preserve">range_anxiety.csv</w:t>
            </w:r>
            <w:r>
              <w:t xml:space="preserve">)</w:t>
            </w:r>
          </w:p>
        </w:tc>
      </w:tr>
      <w:tr>
        <w:tc>
          <w:tcPr/>
          <w:p>
            <w:pPr>
              <w:pStyle w:val="Compact"/>
              <w:jc w:val="left"/>
            </w:pPr>
            <w:r>
              <w:t xml:space="preserve">TransportParams</w:t>
            </w:r>
          </w:p>
        </w:tc>
        <w:tc>
          <w:tcPr/>
          <w:p>
            <w:pPr>
              <w:pStyle w:val="Compact"/>
              <w:jc w:val="left"/>
            </w:pPr>
            <w:r>
              <w:t xml:space="preserve">Lifetimes, depreciation, insurance, maintenance, elasticities, logit k, Gompertz and ownership limits, charging parameters; the methodology note’s alternative values (not used)</w:t>
            </w:r>
          </w:p>
        </w:tc>
        <w:tc>
          <w:tcPr/>
          <w:p>
            <w:pPr>
              <w:pStyle w:val="Compact"/>
              <w:jc w:val="left"/>
            </w:pPr>
            <w:r>
              <w:t xml:space="preserve">Legacy side tables and Dashboard (</w:t>
            </w:r>
            <w:r>
              <w:rPr>
                <w:rStyle w:val="VerbatimChar"/>
              </w:rPr>
              <w:t xml:space="preserve">transport_params.csv</w:t>
            </w:r>
            <w:r>
              <w:t xml:space="preserve">)</w:t>
            </w:r>
          </w:p>
        </w:tc>
      </w:tr>
      <w:tr>
        <w:tc>
          <w:tcPr/>
          <w:p>
            <w:pPr>
              <w:pStyle w:val="Compact"/>
              <w:jc w:val="left"/>
            </w:pPr>
            <w:r>
              <w:t xml:space="preserve">Manual inputs J374:AC377</w:t>
            </w:r>
          </w:p>
        </w:tc>
        <w:tc>
          <w:tcPr/>
          <w:p>
            <w:pPr>
              <w:pStyle w:val="Compact"/>
              <w:jc w:val="left"/>
            </w:pPr>
            <w:r>
              <w:t xml:space="preserve">BEV fuel economy of new vehicles (km per kWh; passenger / light, freight, 2-3 wheeler; 2022-2041), read by label (D375:D377) and year (row 374) in rows</w:t>
            </w:r>
            <w:r>
              <w:t xml:space="preserve"> </w:t>
            </w:r>
            <w:r>
              <w:rPr>
                <w:rStyle w:val="VerbatimChar"/>
              </w:rPr>
              <w:t xml:space="preserve">trfen</w:t>
            </w:r>
          </w:p>
        </w:tc>
        <w:tc>
          <w:tcPr/>
          <w:p>
            <w:pPr>
              <w:pStyle w:val="Compact"/>
              <w:jc w:val="left"/>
            </w:pPr>
            <w:r>
              <w:t xml:space="preserve">Legacy Manual inputs, same addresses (paste the legacy tab from row 3)</w:t>
            </w:r>
          </w:p>
        </w:tc>
      </w:tr>
      <w:tr>
        <w:tc>
          <w:tcPr/>
          <w:p>
            <w:pPr>
              <w:pStyle w:val="Compact"/>
              <w:jc w:val="left"/>
            </w:pPr>
            <w:r>
              <w:t xml:space="preserve">TransportPaths</w:t>
            </w:r>
          </w:p>
        </w:tc>
        <w:tc>
          <w:tcPr/>
          <w:p>
            <w:pPr>
              <w:pStyle w:val="Compact"/>
              <w:jc w:val="left"/>
            </w:pPr>
            <w:r>
              <w:t xml:space="preserve">BEV fuel economy of the stock (light, freight, 2-3 wheeler), charging cost per port</w:t>
            </w:r>
          </w:p>
        </w:tc>
        <w:tc>
          <w:tcPr/>
          <w:p>
            <w:pPr>
              <w:pStyle w:val="Compact"/>
              <w:jc w:val="left"/>
            </w:pPr>
            <w:r>
              <w:t xml:space="preserve">Legacy Mitigation rows 2051, 2095, 2122, 2170 (</w:t>
            </w:r>
            <w:r>
              <w:rPr>
                <w:rStyle w:val="VerbatimChar"/>
              </w:rPr>
              <w:t xml:space="preserve">transport_paths.csv</w:t>
            </w:r>
            <w:r>
              <w:t xml:space="preserve">)</w:t>
            </w:r>
          </w:p>
        </w:tc>
      </w:tr>
    </w:tbl>
    <w:p>
      <w:pPr>
        <w:pStyle w:val="BodyText"/>
      </w:pPr>
      <w:r>
        <w:t xml:space="preserve">Data come from</w:t>
      </w:r>
      <w:r>
        <w:t xml:space="preserve"> </w:t>
      </w:r>
      <w:r>
        <w:rPr>
          <w:rStyle w:val="VerbatimChar"/>
        </w:rPr>
        <w:t xml:space="preserve">extract_transport_v7_0.py</w:t>
      </w:r>
      <w:r>
        <w:t xml:space="preserve">, which reads the legacy workbook.</w:t>
      </w:r>
    </w:p>
    <w:bookmarkEnd w:id="81"/>
    <w:bookmarkStart w:id="82" w:name="X73e01de6dcade54309ddc460f0582fca2654109"/>
    <w:p>
      <w:pPr>
        <w:pStyle w:val="Heading3"/>
      </w:pPr>
      <w:r>
        <w:t xml:space="preserve">4. Results for Egypt (engineer model switched on, check scenarios 11-15)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2035</w:t>
            </w:r>
          </w:p>
        </w:tc>
        <w:tc>
          <w:tcPr/>
          <w:p>
            <w:pPr>
              <w:pStyle w:val="Compact"/>
              <w:jc w:val="left"/>
            </w:pPr>
            <w:r>
              <w:t xml:space="preserve">Road fuel use (ktoe)</w:t>
            </w:r>
          </w:p>
        </w:tc>
      </w:tr>
      <w:tr>
        <w:tc>
          <w:tcPr/>
          <w:p>
            <w:pPr>
              <w:pStyle w:val="Compact"/>
              <w:jc w:val="left"/>
            </w:pPr>
            <w:r>
              <w:t xml:space="preserve">Baseline (no carbon price)</w:t>
            </w:r>
          </w:p>
        </w:tc>
        <w:tc>
          <w:tcPr/>
          <w:p>
            <w:pPr>
              <w:pStyle w:val="Compact"/>
              <w:jc w:val="left"/>
            </w:pPr>
            <w:r>
              <w:t xml:space="preserve">24,580</w:t>
            </w:r>
          </w:p>
        </w:tc>
      </w:tr>
      <w:tr>
        <w:tc>
          <w:tcPr/>
          <w:p>
            <w:pPr>
              <w:pStyle w:val="Compact"/>
              <w:jc w:val="left"/>
            </w:pPr>
            <w:r>
              <w:t xml:space="preserve">Carbon tax (scenario 2 settings)</w:t>
            </w:r>
          </w:p>
        </w:tc>
        <w:tc>
          <w:tcPr/>
          <w:p>
            <w:pPr>
              <w:pStyle w:val="Compact"/>
              <w:jc w:val="left"/>
            </w:pPr>
            <w:r>
              <w:t xml:space="preserve">22,564</w:t>
            </w:r>
          </w:p>
        </w:tc>
      </w:tr>
      <w:tr>
        <w:tc>
          <w:tcPr/>
          <w:p>
            <w:pPr>
              <w:pStyle w:val="Compact"/>
              <w:jc w:val="left"/>
            </w:pPr>
            <w:r>
              <w:t xml:space="preserve">Carbon tax + EV subsidy, distance tax, feebates, charging subsidy</w:t>
            </w:r>
          </w:p>
        </w:tc>
        <w:tc>
          <w:tcPr/>
          <w:p>
            <w:pPr>
              <w:pStyle w:val="Compact"/>
              <w:jc w:val="left"/>
            </w:pPr>
            <w:r>
              <w:t xml:space="preserve">14,177</w:t>
            </w:r>
          </w:p>
        </w:tc>
      </w:tr>
    </w:tbl>
    <w:p>
      <w:pPr>
        <w:numPr>
          <w:ilvl w:val="0"/>
          <w:numId w:val="1041"/>
        </w:numPr>
        <w:pStyle w:val="Compact"/>
      </w:pPr>
      <w:r>
        <w:rPr>
          <w:bCs/>
          <w:b/>
        </w:rPr>
        <w:t xml:space="preserve">EV subsidy:</w:t>
      </w:r>
      <w:r>
        <w:t xml:space="preserve"> </w:t>
      </w:r>
      <w:r>
        <w:t xml:space="preserve">raises the passenger EV sales share in 2030 from 0.55% to 3.3%.</w:t>
      </w:r>
    </w:p>
    <w:p>
      <w:pPr>
        <w:numPr>
          <w:ilvl w:val="0"/>
          <w:numId w:val="1041"/>
        </w:numPr>
        <w:pStyle w:val="Compact"/>
      </w:pPr>
      <w:r>
        <w:rPr>
          <w:bCs/>
          <w:b/>
        </w:rPr>
        <w:t xml:space="preserve">Distance tax:</w:t>
      </w:r>
      <w:r>
        <w:t xml:space="preserve"> </w:t>
      </w:r>
      <w:r>
        <w:t xml:space="preserve">cuts passenger distance in 2035 from 285 to 183 billion km.</w:t>
      </w:r>
    </w:p>
    <w:p>
      <w:pPr>
        <w:numPr>
          <w:ilvl w:val="0"/>
          <w:numId w:val="1041"/>
        </w:numPr>
        <w:pStyle w:val="Compact"/>
      </w:pPr>
      <w:r>
        <w:rPr>
          <w:bCs/>
          <w:b/>
        </w:rPr>
        <w:t xml:space="preserve">Size of the bug fixes:</w:t>
      </w:r>
      <w:r>
        <w:t xml:space="preserve"> </w:t>
      </w:r>
      <w:r>
        <w:t xml:space="preserve">the legacy engineer run, with its bugs, gives road fuel a third higher by 2035. The fixes are listed one by one, with their effects, in</w:t>
      </w:r>
      <w:r>
        <w:t xml:space="preserve"> </w:t>
      </w:r>
      <w:r>
        <w:rPr>
          <w:rStyle w:val="VerbatimChar"/>
        </w:rPr>
        <w:t xml:space="preserve">Transport_vs_Legacy_v7_0.md</w:t>
      </w:r>
      <w:r>
        <w:t xml:space="preserve">.</w:t>
      </w:r>
    </w:p>
    <w:bookmarkEnd w:id="82"/>
    <w:bookmarkStart w:id="83" w:name="caveats"/>
    <w:p>
      <w:pPr>
        <w:pStyle w:val="Heading3"/>
      </w:pPr>
      <w:r>
        <w:t xml:space="preserve">5. Caveats</w:t>
      </w:r>
    </w:p>
    <w:p>
      <w:pPr>
        <w:numPr>
          <w:ilvl w:val="0"/>
          <w:numId w:val="1042"/>
        </w:numPr>
        <w:pStyle w:val="Compact"/>
      </w:pPr>
      <w:r>
        <w:rPr>
          <w:bCs/>
          <w:b/>
        </w:rPr>
        <w:t xml:space="preserve">Range anxiety</w:t>
      </w:r>
      <w:r>
        <w:t xml:space="preserve"> </w:t>
      </w:r>
      <w:r>
        <w:t xml:space="preserve">uses legacy’s stored values, solved in another vintage. For Egypt the calculated 2025 passenger EV share is 0.09% against an actual 0.15%. A goal seek for the corrected model is open (the workbook reports the fit).</w:t>
      </w:r>
    </w:p>
    <w:p>
      <w:pPr>
        <w:numPr>
          <w:ilvl w:val="0"/>
          <w:numId w:val="1042"/>
        </w:numPr>
        <w:pStyle w:val="Compact"/>
      </w:pPr>
      <w:r>
        <w:rPr>
          <w:bCs/>
          <w:b/>
        </w:rPr>
        <w:t xml:space="preserve">Calibration factors are large for Egypt:</w:t>
      </w:r>
      <w:r>
        <w:t xml:space="preserve"> </w:t>
      </w:r>
      <w:r>
        <w:t xml:space="preserve">passenger distance × 2.67, then gasoline × 1.23. The Transport1 data explain only part of road fuel use, so review the data.</w:t>
      </w:r>
    </w:p>
    <w:p>
      <w:pPr>
        <w:numPr>
          <w:ilvl w:val="0"/>
          <w:numId w:val="1042"/>
        </w:numPr>
        <w:pStyle w:val="Compact"/>
      </w:pPr>
      <w:r>
        <w:rPr>
          <w:bCs/>
          <w:b/>
        </w:rPr>
        <w:t xml:space="preserve">Kept as legacy:</w:t>
      </w:r>
    </w:p>
    <w:p>
      <w:pPr>
        <w:numPr>
          <w:ilvl w:val="1"/>
          <w:numId w:val="1043"/>
        </w:numPr>
        <w:pStyle w:val="Compact"/>
      </w:pPr>
      <w:r>
        <w:t xml:space="preserve">freight distance in the TCO (Transport1 average, floored at 50,000 km);</w:t>
      </w:r>
    </w:p>
    <w:p>
      <w:pPr>
        <w:numPr>
          <w:ilvl w:val="1"/>
          <w:numId w:val="1043"/>
        </w:numPr>
        <w:pStyle w:val="Compact"/>
      </w:pPr>
      <w:r>
        <w:t xml:space="preserve">the data years of vehicle VAT, customs and import shares.</w:t>
      </w:r>
    </w:p>
    <w:p>
      <w:pPr>
        <w:numPr>
          <w:ilvl w:val="0"/>
          <w:numId w:val="1042"/>
        </w:numPr>
        <w:pStyle w:val="Compact"/>
      </w:pPr>
      <w:r>
        <w:rPr>
          <w:bCs/>
          <w:b/>
        </w:rPr>
        <w:t xml:space="preserve">Ownership decline:</w:t>
      </w:r>
      <w:r>
        <w:t xml:space="preserve"> </w:t>
      </w:r>
      <w:r>
        <w:t xml:space="preserve">at most 10% a year, a placeholder value.</w:t>
      </w:r>
    </w:p>
    <w:p>
      <w:pPr>
        <w:numPr>
          <w:ilvl w:val="0"/>
          <w:numId w:val="1042"/>
        </w:numPr>
        <w:pStyle w:val="Compact"/>
      </w:pPr>
      <w:r>
        <w:rPr>
          <w:bCs/>
          <w:b/>
        </w:rPr>
        <w:t xml:space="preserve">Not built:</w:t>
      </w:r>
      <w:r>
        <w:t xml:space="preserve"> </w:t>
      </w:r>
      <w:r>
        <w:t xml:space="preserve">road externalities (legacy sheet Transport) and mode shift.</w:t>
      </w:r>
    </w:p>
    <w:bookmarkEnd w:id="83"/>
    <w:bookmarkEnd w:id="84"/>
    <w:bookmarkStart w:id="90" w:name="method-new-ets"/>
    <w:p>
      <w:pPr>
        <w:pStyle w:val="Heading1"/>
      </w:pPr>
      <w:r>
        <w:t xml:space="preserve">Method: new ETS</w:t>
      </w:r>
    </w:p>
    <w:p>
      <w:pPr>
        <w:pStyle w:val="FirstParagraph"/>
      </w:pPr>
      <w:r>
        <w:rPr>
          <w:iCs/>
          <w:i/>
        </w:rPr>
        <w:t xml:space="preserve">Source:</w:t>
      </w:r>
      <w:r>
        <w:rPr>
          <w:iCs/>
          <w:i/>
        </w:rPr>
        <w:t xml:space="preserve"> </w:t>
      </w:r>
      <w:r>
        <w:rPr>
          <w:rStyle w:val="VerbatimChar"/>
          <w:iCs/>
          <w:i/>
        </w:rPr>
        <w:t xml:space="preserve">ETS_Method_v7_0.md</w:t>
      </w:r>
      <w:r>
        <w:rPr>
          <w:iCs/>
          <w:i/>
        </w:rPr>
        <w:t xml:space="preserve">.</w:t>
      </w:r>
    </w:p>
    <w:p>
      <w:pPr>
        <w:pStyle w:val="BodyText"/>
      </w:pPr>
      <w:r>
        <w:t xml:space="preserve">Equations:</w:t>
      </w:r>
      <w:r>
        <w:t xml:space="preserve"> </w:t>
      </w:r>
      <w:r>
        <w:rPr>
          <w:rStyle w:val="VerbatimChar"/>
        </w:rPr>
        <w:t xml:space="preserve">Equations_v7_0.md</w:t>
      </w:r>
      <w:r>
        <w:t xml:space="preserve">; workbook formulas:</w:t>
      </w:r>
      <w:r>
        <w:t xml:space="preserve"> </w:t>
      </w:r>
      <w:r>
        <w:rPr>
          <w:rStyle w:val="VerbatimChar"/>
        </w:rPr>
        <w:t xml:space="preserve">Formulas_v7_0.md</w:t>
      </w:r>
      <w:r>
        <w:t xml:space="preserve">.</w:t>
      </w:r>
    </w:p>
    <w:p>
      <w:pPr>
        <w:pStyle w:val="BodyText"/>
      </w:pPr>
      <w:r>
        <w:t xml:space="preserve">How the MVP models a new emissions trading system. Background on the legacy algorithm and the design choice:</w:t>
      </w:r>
      <w:r>
        <w:t xml:space="preserve"> </w:t>
      </w:r>
      <w:r>
        <w:rPr>
          <w:rStyle w:val="VerbatimChar"/>
        </w:rPr>
        <w:t xml:space="preserve">ETS_Legacy_Algorithm_v7_0.md</w:t>
      </w:r>
      <w:r>
        <w:t xml:space="preserve"> </w:t>
      </w:r>
      <w:r>
        <w:t xml:space="preserve">and</w:t>
      </w:r>
      <w:r>
        <w:t xml:space="preserve"> </w:t>
      </w:r>
      <w:r>
        <w:rPr>
          <w:rStyle w:val="VerbatimChar"/>
        </w:rPr>
        <w:t xml:space="preserve">Old/ETS_Cap_Design_Options_v3_6.md</w:t>
      </w:r>
      <w:r>
        <w:t xml:space="preserve">.</w:t>
      </w:r>
    </w:p>
    <w:bookmarkStart w:id="85" w:name="inputs"/>
    <w:p>
      <w:pPr>
        <w:pStyle w:val="Heading3"/>
      </w:pPr>
      <w:r>
        <w:t xml:space="preserve">1. 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Notes</w:t>
            </w:r>
          </w:p>
        </w:tc>
      </w:tr>
      <w:tr>
        <w:tc>
          <w:tcPr/>
          <w:p>
            <w:pPr>
              <w:pStyle w:val="Compact"/>
              <w:jc w:val="left"/>
            </w:pPr>
            <w:r>
              <w:t xml:space="preserve">Apply new ETS; start and target year (ScenarioDefinition)</w:t>
            </w:r>
          </w:p>
        </w:tc>
        <w:tc>
          <w:tcPr/>
          <w:p>
            <w:pPr>
              <w:pStyle w:val="Compact"/>
            </w:pPr>
          </w:p>
        </w:tc>
      </w:tr>
      <w:tr>
        <w:tc>
          <w:tcPr/>
          <w:p>
            <w:pPr>
              <w:pStyle w:val="Compact"/>
              <w:jc w:val="left"/>
            </w:pPr>
            <w:r>
              <w:t xml:space="preserve">Cap: change against baseline covered emissions at start and target; continuation (ScenarioDefinition)</w:t>
            </w:r>
          </w:p>
        </w:tc>
        <w:tc>
          <w:tcPr/>
          <w:p>
            <w:pPr>
              <w:pStyle w:val="Compact"/>
              <w:jc w:val="left"/>
            </w:pPr>
            <w:r>
              <w:rPr>
                <w:rStyle w:val="VerbatimChar"/>
              </w:rPr>
              <w:t xml:space="preserve">Constant</w:t>
            </w:r>
            <w:r>
              <w:t xml:space="preserve"> </w:t>
            </w:r>
            <w:r>
              <w:t xml:space="preserve">keeps the cap level after the target year; any other value keeps the relative change</w:t>
            </w:r>
          </w:p>
        </w:tc>
      </w:tr>
      <w:tr>
        <w:tc>
          <w:tcPr/>
          <w:p>
            <w:pPr>
              <w:pStyle w:val="Compact"/>
              <w:jc w:val="left"/>
            </w:pPr>
            <w:r>
              <w:t xml:space="preserve">Price override switch (ScenarioDefinition)</w:t>
            </w:r>
          </w:p>
        </w:tc>
        <w:tc>
          <w:tcPr/>
          <w:p>
            <w:pPr>
              <w:pStyle w:val="Compact"/>
              <w:jc w:val="left"/>
            </w:pPr>
            <w:r>
              <w:rPr>
                <w:rStyle w:val="VerbatimChar"/>
              </w:rPr>
              <w:t xml:space="preserve">Yes</w:t>
            </w:r>
            <w:r>
              <w:t xml:space="preserve">: the permit price comes from an override row of prices</w:t>
            </w:r>
          </w:p>
        </w:tc>
      </w:tr>
      <w:tr>
        <w:tc>
          <w:tcPr/>
          <w:p>
            <w:pPr>
              <w:pStyle w:val="Compact"/>
              <w:jc w:val="left"/>
            </w:pPr>
            <w:r>
              <w:t xml:space="preserve">Volatility, impact of volatility, carbon tax policy risk (ScenarioDefinition)</w:t>
            </w:r>
          </w:p>
        </w:tc>
        <w:tc>
          <w:tcPr/>
          <w:p>
            <w:pPr>
              <w:pStyle w:val="Compact"/>
              <w:jc w:val="left"/>
            </w:pPr>
            <w:r>
              <w:t xml:space="preserve">Labels Medium / High / Low / Zero; values from legacy ETS+LTS</w:t>
            </w:r>
          </w:p>
        </w:tc>
      </w:tr>
      <w:tr>
        <w:tc>
          <w:tcPr/>
          <w:p>
            <w:pPr>
              <w:pStyle w:val="Compact"/>
              <w:jc w:val="left"/>
            </w:pPr>
            <w:r>
              <w:t xml:space="preserve">Sector coverage (ScenarioDefinition)</w:t>
            </w:r>
          </w:p>
        </w:tc>
        <w:tc>
          <w:tcPr/>
          <w:p>
            <w:pPr>
              <w:pStyle w:val="Compact"/>
              <w:jc w:val="left"/>
            </w:pPr>
            <w:r>
              <w:t xml:space="preserve">17 ETS sectors: power plus the 16 subsectors</w:t>
            </w:r>
          </w:p>
        </w:tc>
      </w:tr>
      <w:tr>
        <w:tc>
          <w:tcPr/>
          <w:p>
            <w:pPr>
              <w:pStyle w:val="Compact"/>
              <w:jc w:val="left"/>
            </w:pPr>
            <w:r>
              <w:t xml:space="preserve">Benchmarks by sector group (power, transport, residential/buildings, industry)</w:t>
            </w:r>
          </w:p>
        </w:tc>
        <w:tc>
          <w:tcPr/>
          <w:p>
            <w:pPr>
              <w:pStyle w:val="Compact"/>
              <w:jc w:val="left"/>
            </w:pPr>
            <w:r>
              <w:t xml:space="preserve">Share of a sector’s emission intensity allocated free = 1 - the auctioned proportion of ScenarioDefinition rows 90-91 (start, target year) of the scenario, the same for every group, as legacy (v4.15, issue I21). Default 1.0: nothing auctioned, the legacy default. After the target year the target share is held (legacy drops it to 0 unless the continuation is Constant: bug L78). Benchmarks by sector come later.</w:t>
            </w:r>
          </w:p>
        </w:tc>
      </w:tr>
      <w:tr>
        <w:tc>
          <w:tcPr/>
          <w:p>
            <w:pPr>
              <w:pStyle w:val="Compact"/>
              <w:jc w:val="left"/>
            </w:pPr>
            <w:r>
              <w:t xml:space="preserve">Semi-elasticities by ETS sector</w:t>
            </w:r>
          </w:p>
        </w:tc>
        <w:tc>
          <w:tcPr/>
          <w:p>
            <w:pPr>
              <w:pStyle w:val="Compact"/>
              <w:jc w:val="left"/>
            </w:pPr>
            <w:r>
              <w:t xml:space="preserve">Legacy ETS+LTS table by country and sector group (power, transport, residential, industry; food and services use industry), sheet ETSSemi, looked up by the country code (v3.3; legacy Mitigation rows 1815-1831); used only by the fast estimate</w:t>
            </w:r>
          </w:p>
        </w:tc>
      </w:tr>
      <w:tr>
        <w:tc>
          <w:tcPr/>
          <w:p>
            <w:pPr>
              <w:pStyle w:val="Compact"/>
              <w:jc w:val="left"/>
            </w:pPr>
            <w:r>
              <w:t xml:space="preserve">Baseline CO2 by ETS sector</w:t>
            </w:r>
          </w:p>
        </w:tc>
        <w:tc>
          <w:tcPr/>
          <w:p>
            <w:pPr>
              <w:pStyle w:val="Compact"/>
              <w:jc w:val="left"/>
            </w:pPr>
            <w:r>
              <w:t xml:space="preserve">Scenario-1 CO2 by ETS sector, stored as data and refreshed by the build (with a check)</w:t>
            </w:r>
          </w:p>
        </w:tc>
      </w:tr>
      <w:tr>
        <w:tc>
          <w:tcPr/>
          <w:p>
            <w:pPr>
              <w:pStyle w:val="Compact"/>
              <w:jc w:val="left"/>
            </w:pPr>
            <w:r>
              <w:t xml:space="preserve">Effectiveness of output-based allocation; convergence exponent</w:t>
            </w:r>
          </w:p>
        </w:tc>
        <w:tc>
          <w:tcPr/>
          <w:p>
            <w:pPr>
              <w:pStyle w:val="Compact"/>
              <w:jc w:val="left"/>
            </w:pPr>
            <w:r>
              <w:t xml:space="preserve">0.5 and 0.5 (legacy hardcodes)</w:t>
            </w:r>
          </w:p>
        </w:tc>
      </w:tr>
    </w:tbl>
    <w:bookmarkEnd w:id="85"/>
    <w:bookmarkStart w:id="86" w:name="price"/>
    <w:p>
      <w:pPr>
        <w:pStyle w:val="Heading3"/>
      </w:pPr>
      <w:r>
        <w:t xml:space="preserve">2. Price</w:t>
      </w:r>
    </w:p>
    <w:p>
      <w:pPr>
        <w:numPr>
          <w:ilvl w:val="0"/>
          <w:numId w:val="1044"/>
        </w:numPr>
        <w:pStyle w:val="Compact"/>
      </w:pPr>
      <w:r>
        <w:t xml:space="preserve">A covered sector counts once the ETS applies.</w:t>
      </w:r>
    </w:p>
    <w:p>
      <w:pPr>
        <w:numPr>
          <w:ilvl w:val="0"/>
          <w:numId w:val="1044"/>
        </w:numPr>
        <w:pStyle w:val="Compact"/>
      </w:pPr>
      <w:r>
        <w:t xml:space="preserve">Benchmarks run linearly from the start to the target year, flat afterwards. The output-based rebating (OBR) share of a sector = its group’s benchmark, bounded to 0-1.</w:t>
      </w:r>
    </w:p>
    <w:p>
      <w:pPr>
        <w:numPr>
          <w:ilvl w:val="0"/>
          <w:numId w:val="1044"/>
        </w:numPr>
        <w:pStyle w:val="Compact"/>
      </w:pPr>
      <w:r>
        <w:t xml:space="preserve">Volatility adjustment = (1 + carbon tax policy risk x impact) / (1 + ETS volatility x impact). At Medium: (1 + 0.2 x 0.5) / (1 + 0.42 x 0.5) = 1/1.1.</w:t>
      </w:r>
    </w:p>
    <w:p>
      <w:pPr>
        <w:numPr>
          <w:ilvl w:val="0"/>
          <w:numId w:val="1044"/>
        </w:numPr>
        <w:pStyle w:val="Compact"/>
      </w:pPr>
      <w:r>
        <w:t xml:space="preserve">Cap = baseline covered emissions x (1 + change), with the change linear from the start to the target year (after it, per the continuation input).</w:t>
      </w:r>
    </w:p>
    <w:p>
      <w:pPr>
        <w:numPr>
          <w:ilvl w:val="0"/>
          <w:numId w:val="1044"/>
        </w:numPr>
        <w:pStyle w:val="Compact"/>
      </w:pPr>
      <w:r>
        <w:t xml:space="preserve">Effective semi-elasticity = baseline-weighted average over covered sectors of semi-elasticity x (1 − (1 − OBR effectiveness) x OBR share); OBR effectiveness is a setting (Settings C14, legacy value 0.5).</w:t>
      </w:r>
    </w:p>
    <w:p>
      <w:pPr>
        <w:numPr>
          <w:ilvl w:val="0"/>
          <w:numId w:val="1044"/>
        </w:numPr>
        <w:pStyle w:val="Compact"/>
      </w:pPr>
      <w:r>
        <w:t xml:space="preserve">Fast estimate = LN(cap / baseline covered) / (effective semi-elasticity x volatility adjustment) when the cap is below the baseline; else 0.</w:t>
      </w:r>
    </w:p>
    <w:p>
      <w:pPr>
        <w:numPr>
          <w:ilvl w:val="0"/>
          <w:numId w:val="1044"/>
        </w:numPr>
        <w:pStyle w:val="Compact"/>
      </w:pPr>
      <w:r>
        <w:t xml:space="preserve">Permit price = the override prices if the override switch is Yes (a blank year takes the carbon price path), else the fast estimate; 0 before the ETS applies.</w:t>
      </w:r>
    </w:p>
    <w:p>
      <w:pPr>
        <w:numPr>
          <w:ilvl w:val="0"/>
          <w:numId w:val="1044"/>
        </w:numPr>
        <w:pStyle w:val="Compact"/>
      </w:pPr>
      <w:r>
        <w:t xml:space="preserve">Tax-equivalent price = permit price x volatility adjustment; revenue factor = 1 / volatility adjustment.</w:t>
      </w:r>
    </w:p>
    <w:bookmarkEnd w:id="86"/>
    <w:bookmarkStart w:id="87" w:name="effect-on-fuel-use-and-revenue"/>
    <w:p>
      <w:pPr>
        <w:pStyle w:val="Heading3"/>
      </w:pPr>
      <w:r>
        <w:t xml:space="preserve">3. Effect on fuel use and revenue</w:t>
      </w:r>
    </w:p>
    <w:p>
      <w:pPr>
        <w:pStyle w:val="FirstParagraph"/>
      </w:pPr>
      <w:r>
        <w:t xml:space="preserve">The ETS replaces the carbon tax in covered sectors. The tax-equivalent price splits by the OBR share:</w:t>
      </w:r>
    </w:p>
    <w:p>
      <w:pPr>
        <w:numPr>
          <w:ilvl w:val="0"/>
          <w:numId w:val="1045"/>
        </w:numPr>
        <w:pStyle w:val="Compact"/>
      </w:pPr>
      <w:r>
        <w:rPr>
          <w:bCs/>
          <w:b/>
        </w:rPr>
        <w:t xml:space="preserve">Price wedge (auctioned part)</w:t>
      </w:r>
      <w:r>
        <w:t xml:space="preserve"> </w:t>
      </w:r>
      <w:r>
        <w:t xml:space="preserve">= tax-equivalent price x EF x coverage x (1 − OBR share). It enters the after-tax fuel price, so usage and efficiency both respond, as for a carbon tax.</w:t>
      </w:r>
    </w:p>
    <w:p>
      <w:pPr>
        <w:numPr>
          <w:ilvl w:val="0"/>
          <w:numId w:val="1045"/>
        </w:numPr>
        <w:pStyle w:val="Compact"/>
      </w:pPr>
      <w:r>
        <w:rPr>
          <w:bCs/>
          <w:b/>
        </w:rPr>
        <w:t xml:space="preserve">Shadow price (OBR part)</w:t>
      </w:r>
      <w:r>
        <w:t xml:space="preserve"> </w:t>
      </w:r>
      <w:r>
        <w:t xml:space="preserve">= tax-equivalent price x EF x coverage x OBR share, added to the feebate shadow price. It acts only on the efficiency margin of fuel use, as feebates do.</w:t>
      </w:r>
    </w:p>
    <w:p>
      <w:pPr>
        <w:pStyle w:val="FirstParagraph"/>
      </w:pPr>
      <w:r>
        <w:t xml:space="preserve">New-policy revenue includes the price wedge x the revenue factor: the permit price on the auctioned part of covered emissions. The OBR part raises no revenue.</w:t>
      </w:r>
    </w:p>
    <w:bookmarkEnd w:id="87"/>
    <w:bookmarkStart w:id="88" w:name="meeting-the-cap"/>
    <w:p>
      <w:pPr>
        <w:pStyle w:val="Heading3"/>
      </w:pPr>
      <w:r>
        <w:t xml:space="preserve">4. Meeting the cap</w:t>
      </w:r>
    </w:p>
    <w:p>
      <w:pPr>
        <w:pStyle w:val="FirstParagraph"/>
      </w:pPr>
      <w:r>
        <w:t xml:space="preserve">The fast estimate uses one semi-elasticity, so the full model does not hit the cap exactly. The model reports CO2 by ETS sector, covered emissions, the cap, the gap (covered / cap − 1) and a proposed price p x (LN(cap/baseline) / LN(covered/baseline)) ^ 0.5. To meet the cap, either:</w:t>
      </w:r>
    </w:p>
    <w:p>
      <w:pPr>
        <w:numPr>
          <w:ilvl w:val="0"/>
          <w:numId w:val="1046"/>
        </w:numPr>
        <w:pStyle w:val="Compact"/>
      </w:pPr>
      <w:r>
        <w:t xml:space="preserve">paste the proposed prices into the override row (with the override switch on) and repeat; or</w:t>
      </w:r>
    </w:p>
    <w:p>
      <w:pPr>
        <w:numPr>
          <w:ilvl w:val="0"/>
          <w:numId w:val="1046"/>
        </w:numPr>
        <w:pStyle w:val="Compact"/>
      </w:pPr>
      <w:r>
        <w:t xml:space="preserve">run the goal seek: the macro</w:t>
      </w:r>
      <w:r>
        <w:t xml:space="preserve"> </w:t>
      </w:r>
      <w:r>
        <w:rPr>
          <w:rStyle w:val="VerbatimChar"/>
        </w:rPr>
        <w:t xml:space="preserve">SolveETSLive</w:t>
      </w:r>
      <w:r>
        <w:t xml:space="preserve"> </w:t>
      </w:r>
      <w:r>
        <w:t xml:space="preserve">(live scenario;</w:t>
      </w:r>
      <w:r>
        <w:t xml:space="preserve"> </w:t>
      </w:r>
      <w:r>
        <w:rPr>
          <w:rStyle w:val="VerbatimChar"/>
        </w:rPr>
        <w:t xml:space="preserve">RunAllScenarios</w:t>
      </w:r>
      <w:r>
        <w:t xml:space="preserve"> </w:t>
      </w:r>
      <w:r>
        <w:t xml:space="preserve">runs it for every definition with a new ETS and no override), or</w:t>
      </w:r>
      <w:r>
        <w:t xml:space="preserve"> </w:t>
      </w:r>
      <w:r>
        <w:rPr>
          <w:rStyle w:val="VerbatimChar"/>
        </w:rPr>
        <w:t xml:space="preserve">python ets_goalseek_v7_0.py WORKBOOK.xlsx &lt;scenario&gt;</w:t>
      </w:r>
      <w:r>
        <w:t xml:space="preserve">, which writes the prices to</w:t>
      </w:r>
      <w:r>
        <w:t xml:space="preserve"> </w:t>
      </w:r>
      <w:r>
        <w:rPr>
          <w:rStyle w:val="VerbatimChar"/>
        </w:rPr>
        <w:t xml:space="preserve">ets_override_s&lt;scenario&gt;.csv</w:t>
      </w:r>
      <w:r>
        <w:t xml:space="preserve"> </w:t>
      </w:r>
      <w:r>
        <w:t xml:space="preserve">for pasting into the override row. Both iterate with legacy’s damped log-space step (mixing, smoothing, adaptive step) and stop when the worst yearly gap |covered / cap − 1| is below the maximum error, or after the maximum number of iterations.</w:t>
      </w:r>
    </w:p>
    <w:p>
      <w:pPr>
        <w:pStyle w:val="FirstParagraph"/>
      </w:pPr>
      <w:r>
        <w:t xml:space="preserve">The goal-seek settings are on sheet</w:t>
      </w:r>
      <w:r>
        <w:t xml:space="preserve"> </w:t>
      </w:r>
      <w:r>
        <w:rPr>
          <w:rStyle w:val="VerbatimChar"/>
        </w:rPr>
        <w:t xml:space="preserve">Manual inputs</w:t>
      </w:r>
      <w:r>
        <w:t xml:space="preserve"> </w:t>
      </w:r>
      <w:r>
        <w:t xml:space="preserve">at their legacy addresses, as legacy (one value for all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Cell</w:t>
            </w:r>
          </w:p>
        </w:tc>
        <w:tc>
          <w:tcPr/>
          <w:p>
            <w:pPr>
              <w:pStyle w:val="Compact"/>
              <w:jc w:val="left"/>
            </w:pPr>
            <w:r>
              <w:t xml:space="preserve">Name</w:t>
            </w:r>
          </w:p>
        </w:tc>
        <w:tc>
          <w:tcPr/>
          <w:p>
            <w:pPr>
              <w:pStyle w:val="Compact"/>
              <w:jc w:val="left"/>
            </w:pPr>
            <w:r>
              <w:t xml:space="preserve">Setting</w:t>
            </w:r>
          </w:p>
        </w:tc>
        <w:tc>
          <w:tcPr/>
          <w:p>
            <w:pPr>
              <w:pStyle w:val="Compact"/>
              <w:jc w:val="left"/>
            </w:pPr>
            <w:r>
              <w:t xml:space="preserve">Value</w:t>
            </w:r>
          </w:p>
        </w:tc>
        <w:tc>
          <w:tcPr/>
          <w:p>
            <w:pPr>
              <w:pStyle w:val="Compact"/>
              <w:jc w:val="left"/>
            </w:pPr>
            <w:r>
              <w:t xml:space="preserve">Legacy default</w:t>
            </w:r>
          </w:p>
        </w:tc>
      </w:tr>
      <w:tr>
        <w:tc>
          <w:tcPr/>
          <w:p>
            <w:pPr>
              <w:pStyle w:val="Compact"/>
              <w:jc w:val="left"/>
            </w:pPr>
            <w:r>
              <w:t xml:space="preserve">E10</w:t>
            </w:r>
          </w:p>
        </w:tc>
        <w:tc>
          <w:tcPr/>
          <w:p>
            <w:pPr>
              <w:pStyle w:val="Compact"/>
              <w:jc w:val="left"/>
            </w:pPr>
            <w:r>
              <w:t xml:space="preserve">ETSMaxIterations</w:t>
            </w:r>
          </w:p>
        </w:tc>
        <w:tc>
          <w:tcPr/>
          <w:p>
            <w:pPr>
              <w:pStyle w:val="Compact"/>
              <w:jc w:val="left"/>
            </w:pPr>
            <w:r>
              <w:t xml:space="preserve">Maximum number of iterations</w:t>
            </w:r>
          </w:p>
        </w:tc>
        <w:tc>
          <w:tcPr/>
          <w:p>
            <w:pPr>
              <w:pStyle w:val="Compact"/>
              <w:jc w:val="left"/>
            </w:pPr>
            <w:r>
              <w:t xml:space="preserve">20</w:t>
            </w:r>
          </w:p>
        </w:tc>
        <w:tc>
          <w:tcPr/>
          <w:p>
            <w:pPr>
              <w:pStyle w:val="Compact"/>
              <w:jc w:val="left"/>
            </w:pPr>
            <w:r>
              <w:t xml:space="preserve">30</w:t>
            </w:r>
          </w:p>
        </w:tc>
      </w:tr>
      <w:tr>
        <w:tc>
          <w:tcPr/>
          <w:p>
            <w:pPr>
              <w:pStyle w:val="Compact"/>
              <w:jc w:val="left"/>
            </w:pPr>
            <w:r>
              <w:t xml:space="preserve">E11</w:t>
            </w:r>
          </w:p>
        </w:tc>
        <w:tc>
          <w:tcPr/>
          <w:p>
            <w:pPr>
              <w:pStyle w:val="Compact"/>
              <w:jc w:val="left"/>
            </w:pPr>
            <w:r>
              <w:t xml:space="preserve">ETSStartFreshContinue</w:t>
            </w:r>
          </w:p>
        </w:tc>
        <w:tc>
          <w:tcPr/>
          <w:p>
            <w:pPr>
              <w:pStyle w:val="Compact"/>
              <w:jc w:val="left"/>
            </w:pPr>
            <w:r>
              <w:t xml:space="preserve">StartFresh: start from the fast estimate (ets.est); Continue: start from the override row if it holds prices</w:t>
            </w:r>
          </w:p>
        </w:tc>
        <w:tc>
          <w:tcPr/>
          <w:p>
            <w:pPr>
              <w:pStyle w:val="Compact"/>
              <w:jc w:val="left"/>
            </w:pPr>
            <w:r>
              <w:t xml:space="preserve">Continue</w:t>
            </w:r>
          </w:p>
        </w:tc>
        <w:tc>
          <w:tcPr/>
          <w:p>
            <w:pPr>
              <w:pStyle w:val="Compact"/>
              <w:jc w:val="left"/>
            </w:pPr>
            <w:r>
              <w:t xml:space="preserve">Continue</w:t>
            </w:r>
          </w:p>
        </w:tc>
      </w:tr>
      <w:tr>
        <w:tc>
          <w:tcPr/>
          <w:p>
            <w:pPr>
              <w:pStyle w:val="Compact"/>
              <w:jc w:val="left"/>
            </w:pPr>
            <w:r>
              <w:t xml:space="preserve">E12</w:t>
            </w:r>
          </w:p>
        </w:tc>
        <w:tc>
          <w:tcPr/>
          <w:p>
            <w:pPr>
              <w:pStyle w:val="Compact"/>
              <w:jc w:val="left"/>
            </w:pPr>
            <w:r>
              <w:t xml:space="preserve">ETSErrorTolerance</w:t>
            </w:r>
          </w:p>
        </w:tc>
        <w:tc>
          <w:tcPr/>
          <w:p>
            <w:pPr>
              <w:pStyle w:val="Compact"/>
              <w:jc w:val="left"/>
            </w:pPr>
            <w:r>
              <w:t xml:space="preserve">Maximum error: the worst yearly |covered / cap − 1|</w:t>
            </w:r>
          </w:p>
        </w:tc>
        <w:tc>
          <w:tcPr/>
          <w:p>
            <w:pPr>
              <w:pStyle w:val="Compact"/>
              <w:jc w:val="left"/>
            </w:pPr>
            <w:r>
              <w:t xml:space="preserve">0.005</w:t>
            </w:r>
          </w:p>
        </w:tc>
        <w:tc>
          <w:tcPr/>
          <w:p>
            <w:pPr>
              <w:pStyle w:val="Compact"/>
              <w:jc w:val="left"/>
            </w:pPr>
            <w:r>
              <w:t xml:space="preserve">0.001</w:t>
            </w:r>
          </w:p>
        </w:tc>
      </w:tr>
    </w:tbl>
    <w:p>
      <w:pPr>
        <w:pStyle w:val="BodyText"/>
      </w:pPr>
      <w:r>
        <w:t xml:space="preserve">The values are those the goal seek has always used here; the legacy defaults are given for reference (the legacy error is measured on its own convergence criterion). A cell that is not a positive number falls back to 20 iterations and 0.005.</w:t>
      </w:r>
    </w:p>
    <w:bookmarkEnd w:id="88"/>
    <w:bookmarkStart w:id="89" w:name="limits"/>
    <w:p>
      <w:pPr>
        <w:pStyle w:val="Heading3"/>
      </w:pPr>
      <w:r>
        <w:t xml:space="preserve">5. Limits</w:t>
      </w:r>
    </w:p>
    <w:p>
      <w:pPr>
        <w:numPr>
          <w:ilvl w:val="0"/>
          <w:numId w:val="1047"/>
        </w:numPr>
        <w:pStyle w:val="Compact"/>
      </w:pPr>
      <w:r>
        <w:t xml:space="preserve">Power is covered like any other sector: the power model gives its emissions, and the ETS cost enters its generation cost.</w:t>
      </w:r>
    </w:p>
    <w:p>
      <w:pPr>
        <w:numPr>
          <w:ilvl w:val="0"/>
          <w:numId w:val="1047"/>
        </w:numPr>
        <w:pStyle w:val="Compact"/>
      </w:pPr>
      <w:r>
        <w:t xml:space="preserve">Benchmarks are relative to current emission intensity, and output is proxied by fuel use. Free allocation therefore moves with emissions, and the OBR share equals the benchmark.</w:t>
      </w:r>
    </w:p>
    <w:p>
      <w:pPr>
        <w:numPr>
          <w:ilvl w:val="0"/>
          <w:numId w:val="1047"/>
        </w:numPr>
        <w:pStyle w:val="Compact"/>
      </w:pPr>
      <w:r>
        <w:t xml:space="preserve">The volatility adjustment scales behaviour (the tax-equivalent price), not the permit price. VAT on new policies is levied on the tax-equivalent ETS cost.</w:t>
      </w:r>
    </w:p>
    <w:p>
      <w:pPr>
        <w:numPr>
          <w:ilvl w:val="0"/>
          <w:numId w:val="1047"/>
        </w:numPr>
        <w:pStyle w:val="Compact"/>
      </w:pPr>
      <w:r>
        <w:t xml:space="preserve">No banking, borrowing, price floors or ceilings, and no CBAM process emissions.</w:t>
      </w:r>
    </w:p>
    <w:bookmarkEnd w:id="89"/>
    <w:bookmarkEnd w:id="90"/>
    <w:bookmarkStart w:id="98" w:name="X558f20f5be577d91f85ab45f50339a73252707e"/>
    <w:p>
      <w:pPr>
        <w:pStyle w:val="Heading1"/>
      </w:pPr>
      <w:r>
        <w:t xml:space="preserve">Method: multiple scenarios and stored results</w:t>
      </w:r>
    </w:p>
    <w:p>
      <w:pPr>
        <w:pStyle w:val="FirstParagraph"/>
      </w:pPr>
      <w:r>
        <w:rPr>
          <w:iCs/>
          <w:i/>
        </w:rPr>
        <w:t xml:space="preserve">Source:</w:t>
      </w:r>
      <w:r>
        <w:rPr>
          <w:iCs/>
          <w:i/>
        </w:rPr>
        <w:t xml:space="preserve"> </w:t>
      </w:r>
      <w:r>
        <w:rPr>
          <w:rStyle w:val="VerbatimChar"/>
          <w:iCs/>
          <w:i/>
        </w:rPr>
        <w:t xml:space="preserve">Scenarios_Method_v7_0.md</w:t>
      </w:r>
      <w:r>
        <w:rPr>
          <w:iCs/>
          <w:i/>
        </w:rPr>
        <w:t xml:space="preserve">.</w:t>
      </w:r>
    </w:p>
    <w:p>
      <w:pPr>
        <w:pStyle w:val="BodyText"/>
      </w:pPr>
      <w:r>
        <w:t xml:space="preserve">Equations:</w:t>
      </w:r>
      <w:r>
        <w:t xml:space="preserve"> </w:t>
      </w:r>
      <w:r>
        <w:rPr>
          <w:rStyle w:val="VerbatimChar"/>
        </w:rPr>
        <w:t xml:space="preserve">Equations_v7_0.md</w:t>
      </w:r>
      <w:r>
        <w:t xml:space="preserve">; workbook formulas:</w:t>
      </w:r>
      <w:r>
        <w:t xml:space="preserve"> </w:t>
      </w:r>
      <w:r>
        <w:rPr>
          <w:rStyle w:val="VerbatimChar"/>
        </w:rPr>
        <w:t xml:space="preserve">Formulas_v7_0.md</w:t>
      </w:r>
      <w:r>
        <w:t xml:space="preserve">.</w:t>
      </w:r>
    </w:p>
    <w:p>
      <w:pPr>
        <w:pStyle w:val="BodyText"/>
      </w:pPr>
      <w:r>
        <w:t xml:space="preserve">The model calculates two scenarios at a time: the baseline and one live policy scenario. A batch macro copies each scenario definition into the live scenario, calculates it and stores its results as values, which are compared afterwards. This follows legacy CPAT, where a macro copies each scenario column into the column used for calculation and stores the outputs.</w:t>
      </w:r>
    </w:p>
    <w:bookmarkStart w:id="91" w:name="where-things-are"/>
    <w:p>
      <w:pPr>
        <w:pStyle w:val="Heading3"/>
      </w:pPr>
      <w:r>
        <w:t xml:space="preserve">1. Where things are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Place</w:t>
            </w:r>
          </w:p>
        </w:tc>
        <w:tc>
          <w:tcPr/>
          <w:p>
            <w:pPr>
              <w:pStyle w:val="Compact"/>
              <w:jc w:val="left"/>
            </w:pPr>
            <w:r>
              <w:t xml:space="preserve">What it holds</w:t>
            </w:r>
          </w:p>
        </w:tc>
      </w:tr>
      <w:tr>
        <w:tc>
          <w:tcPr/>
          <w:p>
            <w:pPr>
              <w:pStyle w:val="Compact"/>
              <w:jc w:val="left"/>
            </w:pPr>
            <w:r>
              <w:t xml:space="preserve">ScenarioDefinition, scenario 1</w:t>
            </w:r>
          </w:p>
        </w:tc>
        <w:tc>
          <w:tcPr/>
          <w:p>
            <w:pPr>
              <w:pStyle w:val="Compact"/>
              <w:jc w:val="left"/>
            </w:pPr>
            <w:r>
              <w:t xml:space="preserve">The</w:t>
            </w:r>
            <w:r>
              <w:t xml:space="preserve"> </w:t>
            </w:r>
            <w:r>
              <w:rPr>
                <w:bCs/>
                <w:b/>
              </w:rPr>
              <w:t xml:space="preserve">baseline</w:t>
            </w:r>
            <w:r>
              <w:t xml:space="preserve">, stored once.</w:t>
            </w:r>
          </w:p>
        </w:tc>
      </w:tr>
      <w:tr>
        <w:tc>
          <w:tcPr/>
          <w:p>
            <w:pPr>
              <w:pStyle w:val="Compact"/>
              <w:jc w:val="left"/>
            </w:pPr>
            <w:r>
              <w:t xml:space="preserve">ScenarioDefinition, scenario 2</w:t>
            </w:r>
          </w:p>
        </w:tc>
        <w:tc>
          <w:tcPr/>
          <w:p>
            <w:pPr>
              <w:pStyle w:val="Compact"/>
              <w:jc w:val="left"/>
            </w:pPr>
            <w:r>
              <w:t xml:space="preserve">The</w:t>
            </w:r>
            <w:r>
              <w:t xml:space="preserve"> </w:t>
            </w:r>
            <w:r>
              <w:rPr>
                <w:bCs/>
                <w:b/>
              </w:rPr>
              <w:t xml:space="preserve">live policy scenario</w:t>
            </w:r>
            <w:r>
              <w:t xml:space="preserve">. The batch run overwrites it with each definition and restores it at the end.</w:t>
            </w:r>
          </w:p>
        </w:tc>
      </w:tr>
      <w:tr>
        <w:tc>
          <w:tcPr/>
          <w:p>
            <w:pPr>
              <w:pStyle w:val="Compact"/>
              <w:jc w:val="left"/>
            </w:pPr>
            <w:r>
              <w:t xml:space="preserve">ScenarioDefinition, columns to the right</w:t>
            </w:r>
          </w:p>
        </w:tc>
        <w:tc>
          <w:tcPr/>
          <w:p>
            <w:pPr>
              <w:pStyle w:val="Compact"/>
              <w:jc w:val="left"/>
            </w:pPr>
            <w:r>
              <w:rPr>
                <w:bCs/>
                <w:b/>
              </w:rPr>
              <w:t xml:space="preserve">Scenario definitions</w:t>
            </w:r>
            <w:r>
              <w:t xml:space="preserve">, one full ScenarioDefinition column each: short name (row 2, the legend in the charts), Run? (Yes/No), number (previous + 1), name, then the inputs. Red cells differ from the template. To add one, copy the last definition one column to the right and edit it. Blank columns are grouped and collapsed.</w:t>
            </w:r>
          </w:p>
        </w:tc>
      </w:tr>
      <w:tr>
        <w:tc>
          <w:tcPr/>
          <w:p>
            <w:pPr>
              <w:pStyle w:val="Compact"/>
              <w:jc w:val="left"/>
            </w:pPr>
            <w:r>
              <w:t xml:space="preserve">Mitigation, Distribution</w:t>
            </w:r>
          </w:p>
        </w:tc>
        <w:tc>
          <w:tcPr/>
          <w:p>
            <w:pPr>
              <w:pStyle w:val="Compact"/>
              <w:jc w:val="left"/>
            </w:pPr>
            <w:r>
              <w:t xml:space="preserve">Two scenario groups: 1 = the baseline (plain formulas), 2 = the live scenario (every calculated cell calls its named LAMBDA). More live scenarios: copy group 2 to the right and set its scenario number; LiveOutputs has room for 12 scenario blocks.</w:t>
            </w:r>
          </w:p>
        </w:tc>
      </w:tr>
      <w:tr>
        <w:tc>
          <w:tcPr/>
          <w:p>
            <w:pPr>
              <w:pStyle w:val="Compact"/>
              <w:jc w:val="left"/>
            </w:pPr>
            <w:r>
              <w:t xml:space="preserve">LiveOutputs</w:t>
            </w:r>
          </w:p>
        </w:tc>
        <w:tc>
          <w:tcPr/>
          <w:p>
            <w:pPr>
              <w:pStyle w:val="Compact"/>
              <w:jc w:val="left"/>
            </w:pPr>
            <w:r>
              <w:t xml:space="preserve">The key indicators of every scenario group, one block per scenario, found on Mitigation by output code.</w:t>
            </w:r>
          </w:p>
        </w:tc>
      </w:tr>
      <w:tr>
        <w:tc>
          <w:tcPr/>
          <w:p>
            <w:pPr>
              <w:pStyle w:val="Compact"/>
              <w:jc w:val="left"/>
            </w:pPr>
            <w:r>
              <w:t xml:space="preserve">StoredOutputs</w:t>
            </w:r>
          </w:p>
        </w:tc>
        <w:tc>
          <w:tcPr/>
          <w:p>
            <w:pPr>
              <w:pStyle w:val="Compact"/>
              <w:jc w:val="left"/>
            </w:pPr>
            <w:r>
              <w:t xml:space="preserve">Results as</w:t>
            </w:r>
            <w:r>
              <w:t xml:space="preserve"> </w:t>
            </w:r>
            <w:r>
              <w:rPr>
                <w:bCs/>
                <w:b/>
              </w:rPr>
              <w:t xml:space="preserve">values only</w:t>
            </w:r>
            <w:r>
              <w:t xml:space="preserve">: the LiveOutputs indicators of each scenario, under its ID and output code (country.stem.ID). ID 1 is the baseline; a definition keeps its ScenarioDefinition number. Sorted by indicator, then ID (like variables together); every lookup matches the output code, so any order works.</w:t>
            </w:r>
          </w:p>
        </w:tc>
      </w:tr>
      <w:tr>
        <w:tc>
          <w:tcPr/>
          <w:p>
            <w:pPr>
              <w:pStyle w:val="Compact"/>
              <w:jc w:val="left"/>
            </w:pPr>
            <w:r>
              <w:t xml:space="preserve">ScenarioCompare</w:t>
            </w:r>
          </w:p>
        </w:tc>
        <w:tc>
          <w:tcPr/>
          <w:p>
            <w:pPr>
              <w:pStyle w:val="Compact"/>
              <w:jc w:val="left"/>
            </w:pPr>
            <w:r>
              <w:t xml:space="preserve">The</w:t>
            </w:r>
            <w:r>
              <w:t xml:space="preserve"> </w:t>
            </w:r>
            <w:r>
              <w:rPr>
                <w:bCs/>
                <w:b/>
              </w:rPr>
              <w:t xml:space="preserve">dashboard</w:t>
            </w:r>
            <w:r>
              <w:t xml:space="preserve"> </w:t>
            </w:r>
            <w:r>
              <w:t xml:space="preserve">and every user entry of the front: results from Live (LiveOutputs) or Stored (StoredOutputs), the year, the data source of the linked tables. Core buttons (green) and the others (grey); key results for one year of up to 10 scenarios against the baseline; a bar chart; time series with their chart beside them.</w:t>
            </w:r>
          </w:p>
        </w:tc>
      </w:tr>
      <w:tr>
        <w:tc>
          <w:tcPr/>
          <w:p>
            <w:pPr>
              <w:pStyle w:val="Compact"/>
              <w:jc w:val="left"/>
            </w:pPr>
            <w:r>
              <w:t xml:space="preserve">VBA module CPATScenarios</w:t>
            </w:r>
          </w:p>
        </w:tc>
        <w:tc>
          <w:tcPr/>
          <w:p>
            <w:pPr>
              <w:pStyle w:val="Compact"/>
              <w:jc w:val="left"/>
            </w:pPr>
            <w:r>
              <w:t xml:space="preserve">The macros below. The workbook is an .xlsm; the source is also in</w:t>
            </w:r>
            <w:r>
              <w:t xml:space="preserve"> </w:t>
            </w:r>
            <w:r>
              <w:rPr>
                <w:rStyle w:val="VerbatimChar"/>
              </w:rPr>
              <w:t xml:space="preserve">CPATScenarios_v7_0.bas</w:t>
            </w:r>
            <w:r>
              <w:t xml:space="preserve">.</w:t>
            </w:r>
          </w:p>
        </w:tc>
      </w:tr>
      <w:tr>
        <w:tc>
          <w:tcPr/>
          <w:p>
            <w:pPr>
              <w:pStyle w:val="Compact"/>
              <w:jc w:val="left"/>
            </w:pPr>
            <w:r>
              <w:t xml:space="preserve">MacroCheck</w:t>
            </w:r>
          </w:p>
        </w:tc>
        <w:tc>
          <w:tcPr/>
          <w:p>
            <w:pPr>
              <w:pStyle w:val="Compact"/>
              <w:jc w:val="left"/>
            </w:pPr>
            <w:r>
              <w:t xml:space="preserve">Report of the first-run test macro CheckBatchRun.</w:t>
            </w:r>
          </w:p>
        </w:tc>
      </w:tr>
    </w:tbl>
    <w:bookmarkEnd w:id="91"/>
    <w:bookmarkStart w:id="92" w:name="shipped-definitions"/>
    <w:p>
      <w:pPr>
        <w:pStyle w:val="Heading3"/>
      </w:pPr>
      <w:r>
        <w:t xml:space="preserve">2. Shipped definitions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Name</w:t>
            </w:r>
          </w:p>
        </w:tc>
        <w:tc>
          <w:tcPr/>
          <w:p>
            <w:pPr>
              <w:pStyle w:val="Compact"/>
              <w:jc w:val="left"/>
            </w:pPr>
            <w:r>
              <w:t xml:space="preserve">Inputs changed from the template</w:t>
            </w:r>
          </w:p>
        </w:tc>
      </w:tr>
      <w:tr>
        <w:tc>
          <w:tcPr/>
          <w:p>
            <w:pPr>
              <w:pStyle w:val="Compact"/>
              <w:jc w:val="left"/>
            </w:pPr>
            <w:r>
              <w:t xml:space="preserve">3</w:t>
            </w:r>
          </w:p>
        </w:tc>
        <w:tc>
          <w:tcPr/>
          <w:p>
            <w:pPr>
              <w:pStyle w:val="Compact"/>
              <w:jc w:val="left"/>
            </w:pPr>
            <w:r>
              <w:t xml:space="preserve">Carbon price $20/tCO2 from 2027</w:t>
            </w:r>
          </w:p>
        </w:tc>
        <w:tc>
          <w:tcPr/>
          <w:p>
            <w:pPr>
              <w:pStyle w:val="Compact"/>
              <w:jc w:val="left"/>
            </w:pPr>
            <w:r>
              <w:t xml:space="preserve">The live scenario’s settings</w:t>
            </w:r>
          </w:p>
        </w:tc>
      </w:tr>
      <w:tr>
        <w:tc>
          <w:tcPr/>
          <w:p>
            <w:pPr>
              <w:pStyle w:val="Compact"/>
              <w:jc w:val="left"/>
            </w:pPr>
            <w:r>
              <w:t xml:space="preserve">4</w:t>
            </w:r>
          </w:p>
        </w:tc>
        <w:tc>
          <w:tcPr/>
          <w:p>
            <w:pPr>
              <w:pStyle w:val="Compact"/>
              <w:jc w:val="left"/>
            </w:pPr>
            <w:r>
              <w:t xml:space="preserve">Package A: carbon tax to $50 by 2030 + feebates (transport, industry)</w:t>
            </w:r>
          </w:p>
        </w:tc>
        <w:tc>
          <w:tcPr/>
          <w:p>
            <w:pPr>
              <w:pStyle w:val="Compact"/>
              <w:jc w:val="left"/>
            </w:pPr>
            <w:r>
              <w:t xml:space="preserve">Carbon tax $10 (2027) to $50 (2030). Feebates 2027-2030: transport $10 → $50, industry $5 → $25. Feebate coverage adds road, mining &amp; chemicals, and iron &amp; steel</w:t>
            </w:r>
          </w:p>
        </w:tc>
      </w:tr>
      <w:tr>
        <w:tc>
          <w:tcPr/>
          <w:p>
            <w:pPr>
              <w:pStyle w:val="Compact"/>
              <w:jc w:val="left"/>
            </w:pPr>
            <w:r>
              <w:t xml:space="preserve">5</w:t>
            </w:r>
          </w:p>
        </w:tc>
        <w:tc>
          <w:tcPr/>
          <w:p>
            <w:pPr>
              <w:pStyle w:val="Compact"/>
              <w:jc w:val="left"/>
            </w:pPr>
            <w:r>
              <w:t xml:space="preserve">Package B: ETS on power and industry + carbon tax $25 elsewhere</w:t>
            </w:r>
          </w:p>
        </w:tc>
        <w:tc>
          <w:tcPr/>
          <w:p>
            <w:pPr>
              <w:pStyle w:val="Compact"/>
              <w:jc w:val="left"/>
            </w:pPr>
            <w:r>
              <w:t xml:space="preserve">Carbon tax $25 from 2027. New ETS from 2027: cap −5% (2027) to −20% (2035) of baseline covered emissions, constant afterwards. Template ETS coverage (power, mining &amp; chemicals, iron &amp; steel, non-ferrous metals, cement), default benchmarks and volatility</w:t>
            </w:r>
          </w:p>
        </w:tc>
      </w:tr>
    </w:tbl>
    <w:p>
      <w:pPr>
        <w:pStyle w:val="BodyText"/>
      </w:pPr>
      <w:r>
        <w:t xml:space="preserve">Paths continue after their target year as set in the model: the carbon price follows its ScenarioDefinition switch, and feebates continue linearly.</w:t>
      </w:r>
    </w:p>
    <w:bookmarkEnd w:id="92"/>
    <w:bookmarkStart w:id="93" w:name="X9eb81c30e0da18543d2c9dbbd950114a172541b"/>
    <w:p>
      <w:pPr>
        <w:pStyle w:val="Heading3"/>
      </w:pPr>
      <w:r>
        <w:t xml:space="preserve">2b. Main scenario choice and regulations as shadow prices (v4.16, LD9)</w:t>
      </w:r>
    </w:p>
    <w:p>
      <w:pPr>
        <w:pStyle w:val="FirstParagraph"/>
      </w:pPr>
      <w:r>
        <w:t xml:space="preserve">ScenarioDefinition row 13 (</w:t>
      </w:r>
      <w:r>
        <w:rPr>
          <w:rStyle w:val="VerbatimChar"/>
        </w:rPr>
        <w:t xml:space="preserve">ScenarioSelected</w:t>
      </w:r>
      <w:r>
        <w:t xml:space="preserve">, ” - Carbon tax” in every shipped scenario) picks a row of the legacy scenario table (legacy Mitigation rows 222-262, columns N:AC; sheet Mapping, block</w:t>
      </w:r>
      <w:r>
        <w:t xml:space="preserve"> </w:t>
      </w:r>
      <w:r>
        <w:t xml:space="preserve">“</w:t>
      </w:r>
      <w:r>
        <w:t xml:space="preserve">Main scenarios</w:t>
      </w:r>
      <w:r>
        <w:t xml:space="preserve">”</w:t>
      </w:r>
      <w:r>
        <w:t xml:space="preserve">): whether the scenario prices carbon explicitly (legacy row 259), its efficiency adjustment (ScenarioDefinition rows 247-251) and the sectors its shadow price covers (rows 240-257).</w:t>
      </w:r>
    </w:p>
    <w:p>
      <w:pPr>
        <w:numPr>
          <w:ilvl w:val="0"/>
          <w:numId w:val="1048"/>
        </w:numPr>
        <w:pStyle w:val="Compact"/>
      </w:pPr>
      <w:r>
        <w:t xml:space="preserve">Explicit scenarios (carbon tax, total carbon price, coal excise, road fuel tax, electricity emissions tax and excise): the carbon price path of ScenarioDefinition rows 18-21 is the carbon tax (</w:t>
      </w:r>
      <w:r>
        <w:rPr>
          <w:rStyle w:val="VerbatimChar"/>
        </w:rPr>
        <w:t xml:space="preserve">cpx</w:t>
      </w:r>
      <w:r>
        <w:t xml:space="preserve"> </w:t>
      </w:r>
      <w:r>
        <w:t xml:space="preserve">=</w:t>
      </w:r>
      <w:r>
        <w:t xml:space="preserve"> </w:t>
      </w:r>
      <w:r>
        <w:rPr>
          <w:rStyle w:val="VerbatimChar"/>
        </w:rPr>
        <w:t xml:space="preserve">cptraj</w:t>
      </w:r>
      <w:r>
        <w:t xml:space="preserve">), as before.</w:t>
      </w:r>
    </w:p>
    <w:p>
      <w:pPr>
        <w:numPr>
          <w:ilvl w:val="0"/>
          <w:numId w:val="1048"/>
        </w:numPr>
        <w:pStyle w:val="Compact"/>
      </w:pPr>
      <w:r>
        <w:t xml:space="preserve">Shadow-pricing scenarios (feebates, power supply feebates, energy efficiency regulations, power feebate, vehicle fuel economy, residential and industrial efficiency regulations; and</w:t>
      </w:r>
      <w:r>
        <w:t xml:space="preserve"> </w:t>
      </w:r>
      <w:r>
        <w:t xml:space="preserve">“</w:t>
      </w:r>
      <w:r>
        <w:t xml:space="preserve">Baseline</w:t>
      </w:r>
      <w:r>
        <w:t xml:space="preserve">”</w:t>
      </w:r>
      <w:r>
        <w:t xml:space="preserve">): no explicit carbon tax (</w:t>
      </w:r>
      <w:r>
        <w:rPr>
          <w:rStyle w:val="VerbatimChar"/>
        </w:rPr>
        <w:t xml:space="preserve">cpx</w:t>
      </w:r>
      <w:r>
        <w:t xml:space="preserve"> </w:t>
      </w:r>
      <w:r>
        <w:t xml:space="preserve">= 0); the carbon price path becomes a shadow price on the efficiency margin,</w:t>
      </w:r>
      <w:r>
        <w:t xml:space="preserve"> </w:t>
      </w:r>
      <w:r>
        <w:rPr>
          <w:rStyle w:val="VerbatimChar"/>
        </w:rPr>
        <w:t xml:space="preserve">reg.&lt;sector&gt;</w:t>
      </w:r>
      <w:r>
        <w:t xml:space="preserve"> </w:t>
      </w:r>
      <w:r>
        <w:t xml:space="preserve">=</w:t>
      </w:r>
      <w:r>
        <w:t xml:space="preserve"> </w:t>
      </w:r>
      <w:r>
        <w:rPr>
          <w:rStyle w:val="VerbatimChar"/>
        </w:rPr>
        <w:t xml:space="preserve">cp.shd</w:t>
      </w:r>
      <w:r>
        <w:t xml:space="preserve"> </w:t>
      </w:r>
      <w:r>
        <w:t xml:space="preserve">x the scenario’s adjustment (energy efficiency 247, vehicle fuel economy 248, residential 249, industrial 250, feebates 251; Egypt 0.7, feebates 1) x 1 if the scenario covers the sector. It enters</w:t>
      </w:r>
      <w:r>
        <w:t xml:space="preserve"> </w:t>
      </w:r>
      <w:r>
        <w:rPr>
          <w:rStyle w:val="VerbatimChar"/>
        </w:rPr>
        <w:t xml:space="preserve">shpx</w:t>
      </w:r>
      <w:r>
        <w:t xml:space="preserve"> </w:t>
      </w:r>
      <w:r>
        <w:t xml:space="preserve">(with the feebate part, now x row 251, and the ETS benchmark part), so fuel use responds through efficiency only, and power through</w:t>
      </w:r>
      <w:r>
        <w:t xml:space="preserve"> </w:t>
      </w:r>
      <w:r>
        <w:rPr>
          <w:rStyle w:val="VerbatimChar"/>
        </w:rPr>
        <w:t xml:space="preserve">shk</w:t>
      </w:r>
      <w:r>
        <w:t xml:space="preserve"> </w:t>
      </w:r>
      <w:r>
        <w:t xml:space="preserve">(legacy bugs L87, L88 fixed: legacy’s regulation share is 0 and never reaches power).</w:t>
      </w:r>
    </w:p>
    <w:p>
      <w:pPr>
        <w:numPr>
          <w:ilvl w:val="0"/>
          <w:numId w:val="1048"/>
        </w:numPr>
        <w:pStyle w:val="Compact"/>
      </w:pPr>
      <w:r>
        <w:t xml:space="preserve">The road vehicle feebate of the engineer road model adds</w:t>
      </w:r>
      <w:r>
        <w:t xml:space="preserve"> </w:t>
      </w:r>
      <w:r>
        <w:rPr>
          <w:rStyle w:val="VerbatimChar"/>
        </w:rPr>
        <w:t xml:space="preserve">reg.rod</w:t>
      </w:r>
      <w:r>
        <w:t xml:space="preserve"> </w:t>
      </w:r>
      <w:r>
        <w:t xml:space="preserve">(the road regulation shadow price) instead of the carbon price, which is in the fuel price already (prototype bug M13).</w:t>
      </w:r>
    </w:p>
    <w:p>
      <w:pPr>
        <w:numPr>
          <w:ilvl w:val="0"/>
          <w:numId w:val="1048"/>
        </w:numPr>
        <w:pStyle w:val="Compact"/>
      </w:pPr>
      <w:r>
        <w:t xml:space="preserve">A text that is not in the table counts as explicit pricing (as the shipped ” - Carbon tax”).</w:t>
      </w:r>
    </w:p>
    <w:bookmarkEnd w:id="93"/>
    <w:bookmarkStart w:id="94" w:name="macros"/>
    <w:p>
      <w:pPr>
        <w:pStyle w:val="Heading3"/>
      </w:pPr>
      <w:r>
        <w:t xml:space="preserve">3. Macros</w:t>
      </w:r>
    </w:p>
    <w:p>
      <w:pPr>
        <w:pStyle w:val="FirstParagraph"/>
      </w:pPr>
      <w:r>
        <w:t xml:space="preserve">Core buttons (green, on ScenarioCompare):</w:t>
      </w:r>
      <w:r>
        <w:t xml:space="preserve"> </w:t>
      </w:r>
      <w:r>
        <w:rPr>
          <w:bCs/>
          <w:b/>
        </w:rPr>
        <w:t xml:space="preserve">Recalculate now</w:t>
      </w:r>
      <w:r>
        <w:t xml:space="preserve">,</w:t>
      </w:r>
      <w:r>
        <w:t xml:space="preserve"> </w:t>
      </w:r>
      <w:r>
        <w:rPr>
          <w:bCs/>
          <w:b/>
        </w:rPr>
        <w:t xml:space="preserve">Recalculation on/off</w:t>
      </w:r>
      <w:r>
        <w:t xml:space="preserve">,</w:t>
      </w:r>
      <w:r>
        <w:t xml:space="preserve"> </w:t>
      </w:r>
      <w:r>
        <w:rPr>
          <w:bCs/>
          <w:b/>
        </w:rPr>
        <w:t xml:space="preserve">Run stored scenarios</w:t>
      </w:r>
      <w:r>
        <w:t xml:space="preserve">,</w:t>
      </w:r>
      <w:r>
        <w:t xml:space="preserve"> </w:t>
      </w:r>
      <w:r>
        <w:rPr>
          <w:bCs/>
          <w:b/>
        </w:rPr>
        <w:t xml:space="preserve">Update data tables</w:t>
      </w:r>
      <w:r>
        <w:t xml:space="preserve">. The others are grey, below them.</w:t>
      </w:r>
    </w:p>
    <w:p>
      <w:pPr>
        <w:numPr>
          <w:ilvl w:val="0"/>
          <w:numId w:val="1049"/>
        </w:numPr>
        <w:pStyle w:val="Compact"/>
      </w:pPr>
      <w:r>
        <w:rPr>
          <w:bCs/>
          <w:b/>
        </w:rPr>
        <w:t xml:space="preserve">RunAllScenarios</w:t>
      </w:r>
      <w:r>
        <w:t xml:space="preserve"> </w:t>
      </w:r>
      <w:r>
        <w:t xml:space="preserve">(button Run stored scenarios): stores the baseline under ID 1 if none is stored yet. Then, for every definition with Run? = Yes, it copies the definition’s inputs and name into the live scenario (skipping two formula rows), clears the ETS price override and recalculates, runs the ETS goal seek if the definition applies a new ETS without</w:t>
      </w:r>
      <w:r>
        <w:t xml:space="preserve"> </w:t>
      </w:r>
      <w:r>
        <w:t xml:space="preserve">“</w:t>
      </w:r>
      <w:r>
        <w:t xml:space="preserve">Override ETS price</w:t>
      </w:r>
      <w:r>
        <w:t xml:space="preserve">”</w:t>
      </w:r>
      <w:r>
        <w:t xml:space="preserve"> </w:t>
      </w:r>
      <w:r>
        <w:t xml:space="preserve">= Yes, and stores the live scenario’s outputs as values under the definition’s number and name (replacing that ID’s rows wherever they are). At the end it restores the live scenario, the override and the calculation mode it found, sorts StoredOutputs, groups the blank scenario columns and refreshes the dashboard charts.</w:t>
      </w:r>
    </w:p>
    <w:p>
      <w:pPr>
        <w:numPr>
          <w:ilvl w:val="0"/>
          <w:numId w:val="1049"/>
        </w:numPr>
        <w:pStyle w:val="Compact"/>
      </w:pPr>
      <w:r>
        <w:rPr>
          <w:bCs/>
          <w:b/>
        </w:rPr>
        <w:t xml:space="preserve">RecalculateNow</w:t>
      </w:r>
      <w:r>
        <w:t xml:space="preserve">: full recalculation (timed), then the dashboard charts. The workbook ships with its values in manual calculation;</w:t>
      </w:r>
      <w:r>
        <w:t xml:space="preserve"> </w:t>
      </w:r>
      <w:r>
        <w:rPr>
          <w:bCs/>
          <w:b/>
        </w:rPr>
        <w:t xml:space="preserve">ToggleRecalculation</w:t>
      </w:r>
      <w:r>
        <w:t xml:space="preserve"> </w:t>
      </w:r>
      <w:r>
        <w:t xml:space="preserve">switches automatic calculation on or off (for every open workbook, as Excel does).</w:t>
      </w:r>
    </w:p>
    <w:p>
      <w:pPr>
        <w:numPr>
          <w:ilvl w:val="0"/>
          <w:numId w:val="1049"/>
        </w:numPr>
        <w:pStyle w:val="Compact"/>
      </w:pPr>
      <w:r>
        <w:rPr>
          <w:bCs/>
          <w:b/>
        </w:rPr>
        <w:t xml:space="preserve">StoreBaseline</w:t>
      </w:r>
      <w:r>
        <w:t xml:space="preserve">: replaces the stored baseline with the current scenario-1 results, after a confirmation.</w:t>
      </w:r>
    </w:p>
    <w:p>
      <w:pPr>
        <w:numPr>
          <w:ilvl w:val="0"/>
          <w:numId w:val="1049"/>
        </w:numPr>
        <w:pStyle w:val="Compact"/>
      </w:pPr>
      <w:r>
        <w:rPr>
          <w:bCs/>
          <w:b/>
        </w:rPr>
        <w:t xml:space="preserve">StoreLiveScenario</w:t>
      </w:r>
      <w:r>
        <w:t xml:space="preserve">: stores the live scenario as it stands, under an ID you choose (default: the next free ID from 100).</w:t>
      </w:r>
    </w:p>
    <w:p>
      <w:pPr>
        <w:numPr>
          <w:ilvl w:val="0"/>
          <w:numId w:val="1049"/>
        </w:numPr>
        <w:pStyle w:val="Compact"/>
      </w:pPr>
      <w:r>
        <w:rPr>
          <w:bCs/>
          <w:b/>
        </w:rPr>
        <w:t xml:space="preserve">SolveETSLive</w:t>
      </w:r>
      <w:r>
        <w:t xml:space="preserve">: ETS goal seek for the live scenario only. It fills the override prices and switches the override on.</w:t>
      </w:r>
    </w:p>
    <w:p>
      <w:pPr>
        <w:numPr>
          <w:ilvl w:val="0"/>
          <w:numId w:val="1049"/>
        </w:numPr>
        <w:pStyle w:val="Compact"/>
      </w:pPr>
      <w:r>
        <w:rPr>
          <w:bCs/>
          <w:b/>
        </w:rPr>
        <w:t xml:space="preserve">ClearStoredScenarios</w:t>
      </w:r>
      <w:r>
        <w:t xml:space="preserve">: deletes every stored scenario except the baseline.</w:t>
      </w:r>
    </w:p>
    <w:p>
      <w:pPr>
        <w:numPr>
          <w:ilvl w:val="0"/>
          <w:numId w:val="1049"/>
        </w:numPr>
        <w:pStyle w:val="Compact"/>
      </w:pPr>
      <w:r>
        <w:rPr>
          <w:bCs/>
          <w:b/>
        </w:rPr>
        <w:t xml:space="preserve">SortStoredOutputs</w:t>
      </w:r>
      <w:r>
        <w:t xml:space="preserve">: sorts StoredOutputs by code stem, then ID.</w:t>
      </w:r>
    </w:p>
    <w:p>
      <w:pPr>
        <w:numPr>
          <w:ilvl w:val="0"/>
          <w:numId w:val="1049"/>
        </w:numPr>
        <w:pStyle w:val="Compact"/>
      </w:pPr>
      <w:r>
        <w:rPr>
          <w:bCs/>
          <w:b/>
        </w:rPr>
        <w:t xml:space="preserve">GroupBlankScenarios</w:t>
      </w:r>
      <w:r>
        <w:t xml:space="preserve">: groups and collapses the scenario columns of ScenarioDefinition that have no name.</w:t>
      </w:r>
    </w:p>
    <w:p>
      <w:pPr>
        <w:numPr>
          <w:ilvl w:val="0"/>
          <w:numId w:val="1049"/>
        </w:numPr>
        <w:pStyle w:val="Compact"/>
      </w:pPr>
      <w:r>
        <w:rPr>
          <w:bCs/>
          <w:b/>
        </w:rPr>
        <w:t xml:space="preserve">RefreshDashboard</w:t>
      </w:r>
      <w:r>
        <w:t xml:space="preserve">: rebuilds the series of the dashboard charts from the scenarios with results in the chosen source (short names in the legend, baseline dashed grey, one colour per scenario slot) and hides the table rows of the others.</w:t>
      </w:r>
    </w:p>
    <w:p>
      <w:pPr>
        <w:numPr>
          <w:ilvl w:val="0"/>
          <w:numId w:val="1049"/>
        </w:numPr>
        <w:pStyle w:val="Compact"/>
      </w:pPr>
      <w:r>
        <w:rPr>
          <w:bCs/>
          <w:b/>
        </w:rPr>
        <w:t xml:space="preserve">CheckBatchRun</w:t>
      </w:r>
      <w:r>
        <w:t xml:space="preserve">: the first-run test (section 4). It reruns the batch, so the stored scenarios are recalculated by the application that runs it.</w:t>
      </w:r>
    </w:p>
    <w:p>
      <w:pPr>
        <w:pStyle w:val="FirstParagraph"/>
      </w:pPr>
      <w:r>
        <w:t xml:space="preserve">The ETS goal seek is legacy’s damped log-space iteration, as in</w:t>
      </w:r>
      <w:r>
        <w:t xml:space="preserve"> </w:t>
      </w:r>
      <w:r>
        <w:rPr>
          <w:rStyle w:val="VerbatimChar"/>
        </w:rPr>
        <w:t xml:space="preserve">ets_goalseek_v7_0.py</w:t>
      </w:r>
      <w:r>
        <w:t xml:space="preserve">. It starts from the override prices, or from the fast estimate if there are none. Each step is p × (proposed price / p) ^ alpha, mixed 0.3 with the previous iterate, with 5% smoothing. Alpha halves when the error grows (minimum 0.0625) and rises ×1.2 when the error more than halves (maximum 1). It stops when the worst |covered / cap − 1| is below 0.5%, or after 20 iterations.</w:t>
      </w:r>
    </w:p>
    <w:bookmarkEnd w:id="94"/>
    <w:bookmarkStart w:id="95" w:name="first-run-in-excel"/>
    <w:p>
      <w:pPr>
        <w:pStyle w:val="Heading3"/>
      </w:pPr>
      <w:r>
        <w:t xml:space="preserve">4. First run in Excel</w:t>
      </w:r>
    </w:p>
    <w:p>
      <w:pPr>
        <w:pStyle w:val="FirstParagraph"/>
      </w:pPr>
      <w:r>
        <w:t xml:space="preserve">The VBA project (written by</w:t>
      </w:r>
      <w:r>
        <w:t xml:space="preserve"> </w:t>
      </w:r>
      <w:r>
        <w:rPr>
          <w:rStyle w:val="VerbatimChar"/>
        </w:rPr>
        <w:t xml:space="preserve">vba_project_v7_0.py</w:t>
      </w:r>
      <w:r>
        <w:t xml:space="preserve">) and the stored results were produced without Excel. They are tested in LibreOffice: the module loads, the macros reproduce the Python emulation, and CheckBatchRun passes. To confirm the same in Excel:</w:t>
      </w:r>
    </w:p>
    <w:p>
      <w:pPr>
        <w:numPr>
          <w:ilvl w:val="0"/>
          <w:numId w:val="1050"/>
        </w:numPr>
        <w:pStyle w:val="Compact"/>
      </w:pPr>
      <w:r>
        <w:t xml:space="preserve">If the file was downloaded, unblock it first (file Properties &gt; Unblock), or Excel opens it with macros disabled.</w:t>
      </w:r>
    </w:p>
    <w:p>
      <w:pPr>
        <w:numPr>
          <w:ilvl w:val="0"/>
          <w:numId w:val="1050"/>
        </w:numPr>
        <w:pStyle w:val="Compact"/>
      </w:pPr>
      <w:r>
        <w:t xml:space="preserve">Open it and choose Enable Content.</w:t>
      </w:r>
    </w:p>
    <w:p>
      <w:pPr>
        <w:numPr>
          <w:ilvl w:val="0"/>
          <w:numId w:val="1050"/>
        </w:numPr>
        <w:pStyle w:val="Compact"/>
      </w:pPr>
      <w:r>
        <w:t xml:space="preserve">Run</w:t>
      </w:r>
      <w:r>
        <w:t xml:space="preserve"> </w:t>
      </w:r>
      <w:r>
        <w:rPr>
          <w:bCs/>
          <w:b/>
        </w:rPr>
        <w:t xml:space="preserve">CheckBatchRun</w:t>
      </w:r>
      <w:r>
        <w:t xml:space="preserve"> </w:t>
      </w:r>
      <w:r>
        <w:t xml:space="preserve">(Alt+F8); it takes a minute or two. It checks the 12 lookups the macros rely on (sheets, rows by code, scenario columns, LiveOutputs blocks); compares Excel’s own recalculation of the baseline with the stored baseline (plain formulas only, so Excel and LibreOffice calculate it the same way); and reruns RunAllScenarios, ETS goal seek included, comparing every stored value with the value stored before.</w:t>
      </w:r>
    </w:p>
    <w:p>
      <w:pPr>
        <w:numPr>
          <w:ilvl w:val="0"/>
          <w:numId w:val="1050"/>
        </w:numPr>
        <w:pStyle w:val="Compact"/>
      </w:pPr>
      <w:r>
        <w:t xml:space="preserve">MacroCheck shows</w:t>
      </w:r>
      <w:r>
        <w:t xml:space="preserve"> </w:t>
      </w:r>
      <w:r>
        <w:rPr>
          <w:bCs/>
          <w:b/>
        </w:rPr>
        <w:t xml:space="preserve">Result PASS</w:t>
      </w:r>
      <w:r>
        <w:t xml:space="preserve"> </w:t>
      </w:r>
      <w:r>
        <w:t xml:space="preserve">when no value differs by more than 1e-6 (relative). CHECK lists how many values differ; FAIL names the lookup that was not found.</w:t>
      </w:r>
    </w:p>
    <w:p>
      <w:pPr>
        <w:numPr>
          <w:ilvl w:val="0"/>
          <w:numId w:val="1050"/>
        </w:numPr>
        <w:pStyle w:val="Compact"/>
      </w:pPr>
      <w:r>
        <w:t xml:space="preserve">If Excel cannot load the VBA project, or Alt+F8 lists no macros: remove the project if one is listed, import</w:t>
      </w:r>
      <w:r>
        <w:t xml:space="preserve"> </w:t>
      </w:r>
      <w:r>
        <w:rPr>
          <w:rStyle w:val="VerbatimChar"/>
        </w:rPr>
        <w:t xml:space="preserve">CPATScenarios_v7_0.bas</w:t>
      </w:r>
      <w:r>
        <w:t xml:space="preserve"> </w:t>
      </w:r>
      <w:r>
        <w:t xml:space="preserve">(Alt+F11 &gt; File &gt; Import), save as .xlsm and run CheckBatchRun again.</w:t>
      </w:r>
    </w:p>
    <w:bookmarkEnd w:id="95"/>
    <w:bookmarkStart w:id="96" w:name="comparing-and-keeping-results"/>
    <w:p>
      <w:pPr>
        <w:pStyle w:val="Heading3"/>
      </w:pPr>
      <w:r>
        <w:t xml:space="preserve">5. Comparing and keeping results</w:t>
      </w:r>
    </w:p>
    <w:p>
      <w:pPr>
        <w:numPr>
          <w:ilvl w:val="0"/>
          <w:numId w:val="1051"/>
        </w:numPr>
        <w:pStyle w:val="Compact"/>
      </w:pPr>
      <w:r>
        <w:rPr>
          <w:bCs/>
          <w:b/>
        </w:rPr>
        <w:t xml:space="preserve">Source and year.</w:t>
      </w:r>
      <w:r>
        <w:t xml:space="preserve"> </w:t>
      </w:r>
      <w:r>
        <w:t xml:space="preserve">On ScenarioCompare choose Results from (Stored or Live) and the year, then Recalculate now. Stored reads StoredOutputs (every stored scenario); Live reads LiveOutputs (the scenario groups of Mitigation: the baseline and the live scenario, and any group added by copy-paste). The names SCVal, SCCode and SCYear choose the range with CHOOSE; every value is</w:t>
      </w:r>
      <w:r>
        <w:t xml:space="preserve"> </w:t>
      </w:r>
      <w:r>
        <w:rPr>
          <w:rStyle w:val="VerbatimChar"/>
        </w:rPr>
        <w:t xml:space="preserve">INDEX(SCVal, MATCH(country.stem.ID, SCCode, 0), year column)</w:t>
      </w:r>
      <w:r>
        <w:t xml:space="preserve">, so the order of the rows never matters.</w:t>
      </w:r>
    </w:p>
    <w:p>
      <w:pPr>
        <w:numPr>
          <w:ilvl w:val="0"/>
          <w:numId w:val="1051"/>
        </w:numPr>
        <w:pStyle w:val="Compact"/>
      </w:pPr>
      <w:r>
        <w:rPr>
          <w:bCs/>
          <w:b/>
        </w:rPr>
        <w:t xml:space="preserve">Scenario slots.</w:t>
      </w:r>
      <w:r>
        <w:t xml:space="preserve"> </w:t>
      </w:r>
      <w:r>
        <w:t xml:space="preserve">Up to 10, in ScenarioDefinition order: ID, short name (the legend), name. A scenario with no result in the chosen source shows blank (key table) or #N/A (time series, hidden by a conditional format, a gap in the charts); the charts leave it out.</w:t>
      </w:r>
    </w:p>
    <w:p>
      <w:pPr>
        <w:numPr>
          <w:ilvl w:val="0"/>
          <w:numId w:val="1051"/>
        </w:numPr>
        <w:pStyle w:val="Compact"/>
      </w:pPr>
      <w:r>
        <w:rPr>
          <w:bCs/>
          <w:b/>
        </w:rPr>
        <w:t xml:space="preserve">Key table.</w:t>
      </w:r>
      <w:r>
        <w:t xml:space="preserve"> </w:t>
      </w:r>
      <w:r>
        <w:t xml:space="preserve">Energy CO2 emissions, GHG emissions excluding LULUCF, revenue as a share of GDP, the GDP effect of the revenue use and the net welfare effect: level, difference from the baseline, and % difference for the two emission levels. The bar chart beside it shows the % difference of energy CO2 by scenario.</w:t>
      </w:r>
    </w:p>
    <w:p>
      <w:pPr>
        <w:numPr>
          <w:ilvl w:val="0"/>
          <w:numId w:val="1051"/>
        </w:numPr>
        <w:pStyle w:val="Compact"/>
      </w:pPr>
      <w:r>
        <w:rPr>
          <w:bCs/>
          <w:b/>
        </w:rPr>
        <w:t xml:space="preserve">Time series.</w:t>
      </w:r>
      <w:r>
        <w:t xml:space="preserve"> </w:t>
      </w:r>
      <w:r>
        <w:t xml:space="preserve">Four tables (default: energy CO2, GHGs, revenue, GDP effect), scenarios down and years across, each with its line chart beside it. The title of each table is a dropdown of the indicator list at the bottom of the tab: every LiveOutputs indicator except the price and Kaya indices.</w:t>
      </w:r>
    </w:p>
    <w:p>
      <w:pPr>
        <w:numPr>
          <w:ilvl w:val="0"/>
          <w:numId w:val="1051"/>
        </w:numPr>
        <w:pStyle w:val="Compact"/>
      </w:pPr>
      <w:r>
        <w:t xml:space="preserve">StoredOutputs holds values only, so results from other files can be pasted in as values under new IDs, as long as its column layout is kept (output code in column D).</w:t>
      </w:r>
    </w:p>
    <w:p>
      <w:pPr>
        <w:numPr>
          <w:ilvl w:val="0"/>
          <w:numId w:val="1051"/>
        </w:numPr>
        <w:pStyle w:val="Compact"/>
      </w:pPr>
      <w:r>
        <w:t xml:space="preserve">The baseline changes only when StoreBaseline is run.</w:t>
      </w:r>
    </w:p>
    <w:bookmarkEnd w:id="96"/>
    <w:bookmarkStart w:id="97" w:name="limits-1"/>
    <w:p>
      <w:pPr>
        <w:pStyle w:val="Heading3"/>
      </w:pPr>
      <w:r>
        <w:t xml:space="preserve">6. Limits</w:t>
      </w:r>
    </w:p>
    <w:p>
      <w:pPr>
        <w:numPr>
          <w:ilvl w:val="0"/>
          <w:numId w:val="1052"/>
        </w:numPr>
        <w:pStyle w:val="Compact"/>
      </w:pPr>
      <w:r>
        <w:t xml:space="preserve">The batch run calculates one policy scenario at a time. Further Mitigation scenario groups (copies of group 2) show on the dashboard under Live; the batch macros use the live scenario (group 2) only.</w:t>
      </w:r>
    </w:p>
    <w:p>
      <w:pPr>
        <w:numPr>
          <w:ilvl w:val="0"/>
          <w:numId w:val="1052"/>
        </w:numPr>
        <w:pStyle w:val="Compact"/>
      </w:pPr>
      <w:r>
        <w:t xml:space="preserve">LiveOutputs (123 indicators, incl. power, fuel use and revenues with power, existing carbon pricing, GHGs, GDP effects) defines what is stored. To store more, add rows to the LiveOutputs blocks first.</w:t>
      </w:r>
    </w:p>
    <w:bookmarkEnd w:id="97"/>
    <w:bookmarkEnd w:id="98"/>
    <w:bookmarkStart w:id="107" w:name="method-non-co2-ghgs-and-methane"/>
    <w:p>
      <w:pPr>
        <w:pStyle w:val="Heading1"/>
      </w:pPr>
      <w:r>
        <w:t xml:space="preserve">Method: non-CO2 GHGs and methane</w:t>
      </w:r>
    </w:p>
    <w:p>
      <w:pPr>
        <w:pStyle w:val="FirstParagraph"/>
      </w:pPr>
      <w:r>
        <w:rPr>
          <w:iCs/>
          <w:i/>
        </w:rPr>
        <w:t xml:space="preserve">Source:</w:t>
      </w:r>
      <w:r>
        <w:rPr>
          <w:iCs/>
          <w:i/>
        </w:rPr>
        <w:t xml:space="preserve"> </w:t>
      </w:r>
      <w:r>
        <w:rPr>
          <w:rStyle w:val="VerbatimChar"/>
          <w:iCs/>
          <w:i/>
        </w:rPr>
        <w:t xml:space="preserve">GHG_Method_v7_0.md</w:t>
      </w:r>
      <w:r>
        <w:rPr>
          <w:iCs/>
          <w:i/>
        </w:rPr>
        <w:t xml:space="preserve">.</w:t>
      </w:r>
    </w:p>
    <w:p>
      <w:pPr>
        <w:pStyle w:val="BodyText"/>
      </w:pPr>
      <w:r>
        <w:t xml:space="preserve">Equations:</w:t>
      </w:r>
      <w:r>
        <w:t xml:space="preserve"> </w:t>
      </w:r>
      <w:r>
        <w:rPr>
          <w:rStyle w:val="VerbatimChar"/>
        </w:rPr>
        <w:t xml:space="preserve">Equations_v7_0.md</w:t>
      </w:r>
      <w:r>
        <w:t xml:space="preserve">; workbook formulas:</w:t>
      </w:r>
      <w:r>
        <w:t xml:space="preserve"> </w:t>
      </w:r>
      <w:r>
        <w:rPr>
          <w:rStyle w:val="VerbatimChar"/>
        </w:rPr>
        <w:t xml:space="preserve">Formulas_v7_0.md</w:t>
      </w:r>
      <w:r>
        <w:t xml:space="preserve">.</w:t>
      </w:r>
    </w:p>
    <w:p>
      <w:pPr>
        <w:pStyle w:val="BodyText"/>
      </w:pPr>
      <w:r>
        <w:t xml:space="preserve">The model adds methane, nitrous oxide and F-gases to energy CO2 and covers every UNFCCC inventory category, so it reports total GHG emissions. It includes a methane fee, its revenue, and combustion methane for every sector.</w:t>
      </w:r>
    </w:p>
    <w:p>
      <w:pPr>
        <w:pStyle w:val="BodyText"/>
      </w:pPr>
      <w:r>
        <w:t xml:space="preserve">Units: methane in kt CH4 where it is a physical quantity, otherwise Mt CO2e with IPCC AR6 GWP100 (fossil methane 29.8, non-fossil 27.2). GHGYear is the last year the country has in the inventory (Egypt: 2024).</w:t>
      </w:r>
    </w:p>
    <w:bookmarkStart w:id="99" w:name="data"/>
    <w:p>
      <w:pPr>
        <w:pStyle w:val="Heading3"/>
      </w:pPr>
      <w:r>
        <w:t xml:space="preserve">1. Data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Sheet</w:t>
            </w:r>
          </w:p>
        </w:tc>
        <w:tc>
          <w:tcPr/>
          <w:p>
            <w:pPr>
              <w:pStyle w:val="Compact"/>
              <w:jc w:val="left"/>
            </w:pPr>
            <w:r>
              <w:t xml:space="preserve">Content</w:t>
            </w:r>
          </w:p>
        </w:tc>
        <w:tc>
          <w:tcPr/>
          <w:p>
            <w:pPr>
              <w:pStyle w:val="Compact"/>
              <w:jc w:val="left"/>
            </w:pPr>
            <w:r>
              <w:t xml:space="preserve">Source</w:t>
            </w:r>
          </w:p>
        </w:tc>
      </w:tr>
      <w:tr>
        <w:tc>
          <w:tcPr/>
          <w:p>
            <w:pPr>
              <w:pStyle w:val="Compact"/>
              <w:jc w:val="left"/>
            </w:pPr>
            <w:r>
              <w:t xml:space="preserve">GHGs</w:t>
            </w:r>
          </w:p>
        </w:tc>
        <w:tc>
          <w:tcPr/>
          <w:p>
            <w:pPr>
              <w:pStyle w:val="Compact"/>
              <w:jc w:val="left"/>
            </w:pPr>
            <w:r>
              <w:t xml:space="preserve">Inventory by country, year, category (energy, industrial processes, agriculture, LULUCF, waste, other) and gas (CO2, CH4, N2O, F-gases), Mt CO2e</w:t>
            </w:r>
          </w:p>
        </w:tc>
        <w:tc>
          <w:tcPr/>
          <w:p>
            <w:pPr>
              <w:pStyle w:val="Compact"/>
              <w:jc w:val="left"/>
            </w:pPr>
            <w:r>
              <w:t xml:space="preserve">Legacy sheet GHGs</w:t>
            </w:r>
          </w:p>
        </w:tc>
      </w:tr>
      <w:tr>
        <w:tc>
          <w:tcPr/>
          <w:p>
            <w:pPr>
              <w:pStyle w:val="Compact"/>
              <w:jc w:val="left"/>
            </w:pPr>
            <w:r>
              <w:t xml:space="preserve">CH4Inputs</w:t>
            </w:r>
          </w:p>
        </w:tc>
        <w:tc>
          <w:tcPr/>
          <w:p>
            <w:pPr>
              <w:pStyle w:val="Compact"/>
              <w:jc w:val="left"/>
            </w:pPr>
            <w:r>
              <w:t xml:space="preserve">Methane abatement curves (a, b) by country and source; shares that split inventory methane by source; flared share</w:t>
            </w:r>
          </w:p>
        </w:tc>
        <w:tc>
          <w:tcPr/>
          <w:p>
            <w:pPr>
              <w:pStyle w:val="Compact"/>
              <w:jc w:val="left"/>
            </w:pPr>
            <w:r>
              <w:t xml:space="preserve">Legacy sheet CH4Inputs</w:t>
            </w:r>
          </w:p>
        </w:tc>
      </w:tr>
      <w:tr>
        <w:tc>
          <w:tcPr/>
          <w:p>
            <w:pPr>
              <w:pStyle w:val="Compact"/>
              <w:jc w:val="left"/>
            </w:pPr>
            <w:r>
              <w:t xml:space="preserve">EF_NonCO2</w:t>
            </w:r>
          </w:p>
        </w:tc>
        <w:tc>
          <w:tcPr/>
          <w:p>
            <w:pPr>
              <w:pStyle w:val="Compact"/>
              <w:jc w:val="left"/>
            </w:pPr>
            <w:r>
              <w:t xml:space="preserve">Combustion emission factors (kt per PJ) by subsector, fuel and pollutant, base year and final</w:t>
            </w:r>
          </w:p>
        </w:tc>
        <w:tc>
          <w:tcPr/>
          <w:p>
            <w:pPr>
              <w:pStyle w:val="Compact"/>
              <w:jc w:val="left"/>
            </w:pPr>
            <w:r>
              <w:t xml:space="preserve">Legacy sheet EF_PM (GAINS)</w:t>
            </w:r>
          </w:p>
        </w:tc>
      </w:tr>
      <w:tr>
        <w:tc>
          <w:tcPr/>
          <w:p>
            <w:pPr>
              <w:pStyle w:val="Compact"/>
              <w:jc w:val="left"/>
            </w:pPr>
            <w:r>
              <w:t xml:space="preserve">UNPop</w:t>
            </w:r>
          </w:p>
        </w:tc>
        <w:tc>
          <w:tcPr/>
          <w:p>
            <w:pPr>
              <w:pStyle w:val="Compact"/>
              <w:jc w:val="left"/>
            </w:pPr>
            <w:r>
              <w:t xml:space="preserve">Population by country and year (thousands)</w:t>
            </w:r>
          </w:p>
        </w:tc>
        <w:tc>
          <w:tcPr/>
          <w:p>
            <w:pPr>
              <w:pStyle w:val="Compact"/>
              <w:jc w:val="left"/>
            </w:pPr>
            <w:r>
              <w:t xml:space="preserve">Legacy sheet UNPop (UN WPP)</w:t>
            </w:r>
          </w:p>
        </w:tc>
      </w:tr>
      <w:tr>
        <w:tc>
          <w:tcPr/>
          <w:p>
            <w:pPr>
              <w:pStyle w:val="Compact"/>
              <w:jc w:val="left"/>
            </w:pPr>
            <w:r>
              <w:t xml:space="preserve">Balances</w:t>
            </w:r>
          </w:p>
        </w:tc>
        <w:tc>
          <w:tcPr/>
          <w:p>
            <w:pPr>
              <w:pStyle w:val="Compact"/>
              <w:jc w:val="left"/>
            </w:pPr>
            <w:r>
              <w:t xml:space="preserve">Base-year production of gas, oil, coal</w:t>
            </w:r>
          </w:p>
        </w:tc>
        <w:tc>
          <w:tcPr/>
          <w:p>
            <w:pPr>
              <w:pStyle w:val="Compact"/>
              <w:jc w:val="left"/>
            </w:pPr>
            <w:r>
              <w:t xml:space="preserve">Legacy Mitigation rows 503-509</w:t>
            </w:r>
          </w:p>
        </w:tc>
      </w:tr>
    </w:tbl>
    <w:p>
      <w:pPr>
        <w:pStyle w:val="BodyText"/>
      </w:pPr>
      <w:r>
        <w:t xml:space="preserve">The non-energy elasticities (section 4) are on sheet</w:t>
      </w:r>
      <w:r>
        <w:t xml:space="preserve"> </w:t>
      </w:r>
      <w:r>
        <w:rPr>
          <w:rStyle w:val="VerbatimChar"/>
        </w:rPr>
        <w:t xml:space="preserve">Manual inputs</w:t>
      </w:r>
      <w:r>
        <w:t xml:space="preserve"> </w:t>
      </w:r>
      <w:r>
        <w:t xml:space="preserve">K325:M327, the legacy addresses (agriculture, waste, other: population elasticity row 326, per capita income elasticity row 327; a text entry such as</w:t>
      </w:r>
      <w:r>
        <w:t xml:space="preserve"> </w:t>
      </w:r>
      <w:r>
        <w:t xml:space="preserve">“</w:t>
      </w:r>
      <w:r>
        <w:t xml:space="preserve">na</w:t>
      </w:r>
      <w:r>
        <w:t xml:space="preserve">”</w:t>
      </w:r>
      <w:r>
        <w:t xml:space="preserve"> </w:t>
      </w:r>
      <w:r>
        <w:t xml:space="preserve">counts as 0). Their values reproduce the cached results of the legacy run exactly: legacy Mitigation uses the same values (it never reads the manual cells: their formula is broken,</w:t>
      </w:r>
      <w:r>
        <w:t xml:space="preserve"> </w:t>
      </w:r>
      <w:r>
        <w:rPr>
          <w:rStyle w:val="VerbatimChar"/>
        </w:rPr>
        <w:t xml:space="preserve">#REF!</w:t>
      </w:r>
      <w:r>
        <w:t xml:space="preserve">).</w:t>
      </w:r>
    </w:p>
    <w:bookmarkEnd w:id="99"/>
    <w:bookmarkStart w:id="100" w:name="methane-by-source"/>
    <w:p>
      <w:pPr>
        <w:pStyle w:val="Heading3"/>
      </w:pPr>
      <w:r>
        <w:t xml:space="preserve">2. Methane by source</w:t>
      </w:r>
    </w:p>
    <w:p>
      <w:pPr>
        <w:pStyle w:val="FirstParagraph"/>
      </w:pPr>
      <w:r>
        <w:t xml:space="preserve">Seven sources: oil and gas extraction, downstream gas, coal mining and biomass use (fossil methane, part of energy); livestock and rice (agriculture); waste.</w:t>
      </w:r>
    </w:p>
    <w:p>
      <w:pPr>
        <w:numPr>
          <w:ilvl w:val="0"/>
          <w:numId w:val="1053"/>
        </w:numPr>
        <w:pStyle w:val="Compact"/>
      </w:pPr>
      <w:r>
        <w:rPr>
          <w:bCs/>
          <w:b/>
        </w:rPr>
        <w:t xml:space="preserve">Allocation.</w:t>
      </w:r>
      <w:r>
        <w:t xml:space="preserve"> </w:t>
      </w:r>
      <w:r>
        <w:t xml:space="preserve">Inventory methane of each category in GHGYear is split between its sources. Fossil sources: weight = MIN(10 x the source’s share of the four activities, the country’s input share), normalized to sum to 1. Livestock and rice take their input shares; waste takes all waste methane.</w:t>
      </w:r>
    </w:p>
    <w:p>
      <w:pPr>
        <w:numPr>
          <w:ilvl w:val="0"/>
          <w:numId w:val="1053"/>
        </w:numPr>
        <w:pStyle w:val="Compact"/>
      </w:pPr>
      <w:r>
        <w:rPr>
          <w:bCs/>
          <w:b/>
        </w:rPr>
        <w:t xml:space="preserve">Activity.</w:t>
      </w:r>
      <w:r>
        <w:t xml:space="preserve"> </w:t>
      </w:r>
      <w:r>
        <w:t xml:space="preserve">Oil and gas: gas and oil production; coal: coal production (both held at the base-year balance). Downstream gas and biomass: total gas and biomass use of the scenario, power included. Livestock, rice, waste: an index (1 in the base year) that grows with income and population.</w:t>
      </w:r>
    </w:p>
    <w:p>
      <w:pPr>
        <w:numPr>
          <w:ilvl w:val="0"/>
          <w:numId w:val="1053"/>
        </w:numPr>
        <w:pStyle w:val="Compact"/>
      </w:pPr>
      <w:r>
        <w:rPr>
          <w:bCs/>
          <w:b/>
        </w:rPr>
        <w:t xml:space="preserve">Abatement.</w:t>
      </w:r>
      <w:r>
        <w:t xml:space="preserve"> </w:t>
      </w:r>
      <w:r>
        <w:t xml:space="preserve">Fee per tonne CH4 = methane fee (USD per t CO2e) x GWP x 1 if the fee applies to the source (below), else 0. Abatement share = MIN(1, MAX(0, a x fee^b)) on the source’s curve. Biomass and downstream gas use the oil-and-gas curve, as legacy.</w:t>
      </w:r>
    </w:p>
    <w:p>
      <w:pPr>
        <w:numPr>
          <w:ilvl w:val="0"/>
          <w:numId w:val="1053"/>
        </w:numPr>
        <w:pStyle w:val="Compact"/>
      </w:pPr>
      <w:r>
        <w:rPr>
          <w:bCs/>
          <w:b/>
        </w:rPr>
        <w:t xml:space="preserve">Emissions</w:t>
      </w:r>
      <w:r>
        <w:t xml:space="preserve"> </w:t>
      </w:r>
      <w:r>
        <w:t xml:space="preserve">= the source’s inventory methane x activity / activity in GHGYear x (1 - abatement). Shares and GHGYear activity are from scenario 1: the calibration is to the observed (baseline) inventory.</w:t>
      </w:r>
    </w:p>
    <w:p>
      <w:pPr>
        <w:numPr>
          <w:ilvl w:val="0"/>
          <w:numId w:val="1053"/>
        </w:numPr>
        <w:pStyle w:val="Compact"/>
      </w:pPr>
      <w:r>
        <w:rPr>
          <w:bCs/>
          <w:b/>
        </w:rPr>
        <w:t xml:space="preserve">Flaring.</w:t>
      </w:r>
      <w:r>
        <w:t xml:space="preserve"> </w:t>
      </w:r>
      <w:r>
        <w:t xml:space="preserve">The flared share of abated oil and gas methane burns to CO2 (44/16 t CO2 per t CH4), reported as energy CO2.</w:t>
      </w:r>
    </w:p>
    <w:p>
      <w:pPr>
        <w:numPr>
          <w:ilvl w:val="0"/>
          <w:numId w:val="1053"/>
        </w:numPr>
        <w:pStyle w:val="Compact"/>
      </w:pPr>
      <w:r>
        <w:rPr>
          <w:bCs/>
          <w:b/>
        </w:rPr>
        <w:t xml:space="preserve">Revenue</w:t>
      </w:r>
      <w:r>
        <w:t xml:space="preserve"> </w:t>
      </w:r>
      <w:r>
        <w:t xml:space="preserve">= fee x the sum over the sources the fee applies to of CH4 x GWP (fossil or non-fossil), USD million, part of total revenue.</w:t>
      </w:r>
    </w:p>
    <w:p>
      <w:pPr>
        <w:numPr>
          <w:ilvl w:val="0"/>
          <w:numId w:val="1053"/>
        </w:numPr>
        <w:pStyle w:val="Compact"/>
      </w:pPr>
      <w:r>
        <w:rPr>
          <w:bCs/>
          <w:b/>
        </w:rPr>
        <w:t xml:space="preserve">Fiscal space (v6.2, I47; user 2026-10-20: as close to legacy as possible with no vulnerability to circular references).</w:t>
      </w:r>
      <w:r>
        <w:t xml:space="preserve"> </w:t>
      </w:r>
      <w:r>
        <w:t xml:space="preserve">The GDP feedback counts the fee revenue as legacy (row 8024) through</w:t>
      </w:r>
      <w:r>
        <w:t xml:space="preserve"> </w:t>
      </w:r>
      <w:r>
        <w:rPr>
          <w:rStyle w:val="VerbatimChar"/>
        </w:rPr>
        <w:t xml:space="preserve">ch4.revf</w:t>
      </w:r>
      <w:r>
        <w:t xml:space="preserve">: the same sum over</w:t>
      </w:r>
      <w:r>
        <w:t xml:space="preserve"> </w:t>
      </w:r>
      <w:r>
        <w:rPr>
          <w:rStyle w:val="VerbatimChar"/>
        </w:rPr>
        <w:t xml:space="preserve">ch4.emf</w:t>
      </w:r>
      <w:r>
        <w:t xml:space="preserve">, which equals</w:t>
      </w:r>
      <w:r>
        <w:t xml:space="preserve"> </w:t>
      </w:r>
      <w:r>
        <w:rPr>
          <w:rStyle w:val="VerbatimChar"/>
        </w:rPr>
        <w:t xml:space="preserve">ch4.em</w:t>
      </w:r>
      <w:r>
        <w:t xml:space="preserve"> </w:t>
      </w:r>
      <w:r>
        <w:t xml:space="preserve">except for downstream gas and biomass use. Those two read the stored scenario-1 activity (sheet BaselineCO2 rows dg, bm, refreshed by the build; check row</w:t>
      </w:r>
      <w:r>
        <w:t xml:space="preserve"> </w:t>
      </w:r>
      <w:r>
        <w:rPr>
          <w:rStyle w:val="VerbatimChar"/>
        </w:rPr>
        <w:t xml:space="preserve">ch4bs.chk</w:t>
      </w:r>
      <w:r>
        <w:t xml:space="preserve"> </w:t>
      </w:r>
      <w:r>
        <w:t xml:space="preserve">= 0 in scenario 1), so the fiscal space reads no fuel use and no later change to the demand or power blocks can close a loop through it. Fee, abatement and the other sources are the scenario’s own. The reported revenue (rmf, rtot, block 12e) keeps the own activity. (The v6.0 loop came from price-block average ranges that ran into section 11, fixed in v6.2.)</w:t>
      </w:r>
    </w:p>
    <w:p>
      <w:pPr>
        <w:pStyle w:val="FirstParagraph"/>
      </w:pPr>
      <w:r>
        <w:t xml:space="preserve">The methane fee (ScenarioDefinition) runs linearly from</w:t>
      </w:r>
      <w:r>
        <w:t xml:space="preserve"> </w:t>
      </w:r>
      <w:r>
        <w:rPr>
          <w:rStyle w:val="VerbatimChar"/>
        </w:rPr>
        <w:t xml:space="preserve">MPLevelStart</w:t>
      </w:r>
      <w:r>
        <w:t xml:space="preserve"> </w:t>
      </w:r>
      <w:r>
        <w:t xml:space="preserve">in</w:t>
      </w:r>
      <w:r>
        <w:t xml:space="preserve"> </w:t>
      </w:r>
      <w:r>
        <w:rPr>
          <w:rStyle w:val="VerbatimChar"/>
        </w:rPr>
        <w:t xml:space="preserve">MPIntro</w:t>
      </w:r>
      <w:r>
        <w:t xml:space="preserve"> </w:t>
      </w:r>
      <w:r>
        <w:t xml:space="preserve">to</w:t>
      </w:r>
      <w:r>
        <w:t xml:space="preserve"> </w:t>
      </w:r>
      <w:r>
        <w:rPr>
          <w:rStyle w:val="VerbatimChar"/>
        </w:rPr>
        <w:t xml:space="preserve">MPLevelTarget</w:t>
      </w:r>
      <w:r>
        <w:t xml:space="preserve"> </w:t>
      </w:r>
      <w:r>
        <w:t xml:space="preserve">in</w:t>
      </w:r>
      <w:r>
        <w:t xml:space="preserve"> </w:t>
      </w:r>
      <w:r>
        <w:rPr>
          <w:rStyle w:val="VerbatimChar"/>
        </w:rPr>
        <w:t xml:space="preserve">MPOutro</w:t>
      </w:r>
      <w:r>
        <w:t xml:space="preserve"> </w:t>
      </w:r>
      <w:r>
        <w:t xml:space="preserve">and keeps its slope after the target year (as legacy). It adds the carbon price when</w:t>
      </w:r>
      <w:r>
        <w:t xml:space="preserve"> </w:t>
      </w:r>
      <w:r>
        <w:rPr>
          <w:rStyle w:val="VerbatimChar"/>
        </w:rPr>
        <w:t xml:space="preserve">CTforMethane</w:t>
      </w:r>
      <w:r>
        <w:t xml:space="preserve"> </w:t>
      </w:r>
      <w:r>
        <w:t xml:space="preserve">= Yes. As legacy (v4.12, user decision 2026-10-18; LD46):</w:t>
      </w:r>
    </w:p>
    <w:p>
      <w:pPr>
        <w:numPr>
          <w:ilvl w:val="0"/>
          <w:numId w:val="1054"/>
        </w:numPr>
        <w:pStyle w:val="Compact"/>
      </w:pPr>
      <w:r>
        <w:t xml:space="preserve">the fee path applies only in policy scenarios (scenario number above 1, legacy row 2238); the carbon price part has no such condition, as legacy row 2239;</w:t>
      </w:r>
    </w:p>
    <w:p>
      <w:pPr>
        <w:numPr>
          <w:ilvl w:val="0"/>
          <w:numId w:val="1054"/>
        </w:numPr>
        <w:pStyle w:val="Compact"/>
      </w:pPr>
      <w:r>
        <w:t xml:space="preserve">a switch per source on sheet</w:t>
      </w:r>
      <w:r>
        <w:t xml:space="preserve"> </w:t>
      </w:r>
      <w:r>
        <w:rPr>
          <w:rStyle w:val="VerbatimChar"/>
        </w:rPr>
        <w:t xml:space="preserve">Manual inputs</w:t>
      </w:r>
      <w:r>
        <w:t xml:space="preserve"> </w:t>
      </w:r>
      <w:r>
        <w:t xml:space="preserve">J196:J200, the legacy addresses (names MFeeBio, MFeeDG, MFeeFF, MFeeAgr, MFeeWst; shown on Settings rows 47-51): biomass (No), downstream gas, fossil fuel production (oil, gas and coal), agriculture (livestock, rice), waste (all Yes). The switches are legacy inputs outside ScenarioDefinition (NORMS 4: main inputs on ScenarioDefinition,</w:t>
      </w:r>
      <w:r>
        <w:t xml:space="preserve"> </w:t>
      </w:r>
      <w:r>
        <w:t xml:space="preserve">‘</w:t>
      </w:r>
      <w:r>
        <w:t xml:space="preserve">Manual inputs</w:t>
      </w:r>
      <w:r>
        <w:t xml:space="preserve">’</w:t>
      </w:r>
      <w:r>
        <w:t xml:space="preserve"> </w:t>
      </w:r>
      <w:r>
        <w:t xml:space="preserve">the second source).</w:t>
      </w:r>
    </w:p>
    <w:bookmarkEnd w:id="100"/>
    <w:bookmarkStart w:id="101" w:name="energy-methane-and-n2o"/>
    <w:p>
      <w:pPr>
        <w:pStyle w:val="Heading3"/>
      </w:pPr>
      <w:r>
        <w:t xml:space="preserve">3. Energy methane and N2O</w:t>
      </w:r>
    </w:p>
    <w:p>
      <w:pPr>
        <w:numPr>
          <w:ilvl w:val="0"/>
          <w:numId w:val="1055"/>
        </w:numPr>
        <w:pStyle w:val="Compact"/>
      </w:pPr>
      <w:r>
        <w:t xml:space="preserve">Combustion methane = fuel use x emission factor, by subsector and fuel, and for power by generation type. A fuel that its GAINS subsector has no factor for takes the nearest GAINS match (v4.12, legacy bug L59, as the local pollutants:</w:t>
      </w:r>
      <w:r>
        <w:t xml:space="preserve"> </w:t>
      </w:r>
      <w:r>
        <w:rPr>
          <w:rStyle w:val="VerbatimChar"/>
        </w:rPr>
        <w:t xml:space="preserve">AirPollutants_Method_v7_0.md</w:t>
      </w:r>
      <w:r>
        <w:t xml:space="preserve">). The factor moves linearly from its base-year value to its final value in 2039 (</w:t>
      </w:r>
      <w:r>
        <w:rPr>
          <w:rStyle w:val="VerbatimChar"/>
        </w:rPr>
        <w:t xml:space="preserve">EFEndYear</w:t>
      </w:r>
      <w:r>
        <w:t xml:space="preserve">, the legacy column), flat after.</w:t>
      </w:r>
    </w:p>
    <w:p>
      <w:pPr>
        <w:numPr>
          <w:ilvl w:val="0"/>
          <w:numId w:val="1055"/>
        </w:numPr>
        <w:pStyle w:val="Compact"/>
      </w:pPr>
      <w:r>
        <w:t xml:space="preserve">Energy methane = calibration factor x (combustion + fossil supply methane) x fossil GWP. The factor = inventory energy methane / modelled energy methane in GHGYear (scenario 1). Energy methane thus equals the inventory in GHGYear and later moves with fuel use, supply activity and abatement. v6.2: the modelled GHGYear combustion and supply methane of scenario 1 are stored on sheet BaselineCO2 (rows ch4c, ch4sup, refreshed by the build), so the factor, used in every year, reads no later model year (circular-reference rule, user 2026-10-20).</w:t>
      </w:r>
    </w:p>
    <w:p>
      <w:pPr>
        <w:numPr>
          <w:ilvl w:val="0"/>
          <w:numId w:val="1055"/>
        </w:numPr>
        <w:pStyle w:val="Compact"/>
      </w:pPr>
      <w:r>
        <w:t xml:space="preserve">Energy N2O and F-gases: the inventory while it has the year; then N2O moves with energy CO2 and F-gases are held.</w:t>
      </w:r>
    </w:p>
    <w:p>
      <w:pPr>
        <w:numPr>
          <w:ilvl w:val="0"/>
          <w:numId w:val="1055"/>
        </w:numPr>
        <w:pStyle w:val="Compact"/>
      </w:pPr>
      <w:r>
        <w:t xml:space="preserve">Energy CO2 = fuel combustion (power included) + flaring.</w:t>
      </w:r>
    </w:p>
    <w:bookmarkEnd w:id="101"/>
    <w:bookmarkStart w:id="102" w:name="other-inventory-categories"/>
    <w:p>
      <w:pPr>
        <w:pStyle w:val="Heading3"/>
      </w:pPr>
      <w:r>
        <w:t xml:space="preserve">4. Other inventory categories</w:t>
      </w:r>
    </w:p>
    <w:p>
      <w:pPr>
        <w:pStyle w:val="FirstParagraph"/>
      </w:pPr>
      <w:r>
        <w:t xml:space="preserve">Each category and gas takes the inventory value while the inventory has the year. After that it grows with a growth factor = (1 + GDP per capita growth)^income elasticity x (1 + population growth)^population elasticity x the change in mitigation effort. GDP per capita growth = (1 + real GDP growth) / (1 + population growth) - 1. Effort is 1, or, if ScenarioDefinition</w:t>
      </w:r>
      <w:r>
        <w:t xml:space="preserve"> </w:t>
      </w:r>
      <w:r>
        <w:rPr>
          <w:rStyle w:val="VerbatimChar"/>
        </w:rPr>
        <w:t xml:space="preserve">AdditionMitigationPoliciesNonEnergy</w:t>
      </w:r>
      <w:r>
        <w:t xml:space="preserve"> </w:t>
      </w:r>
      <w:r>
        <w:t xml:space="preserve">= Yes, the scenario’s energy CO2 divided by scenario 1’s.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Projection</w:t>
            </w:r>
          </w:p>
        </w:tc>
      </w:tr>
      <w:tr>
        <w:tc>
          <w:tcPr/>
          <w:p>
            <w:pPr>
              <w:pStyle w:val="Compact"/>
              <w:jc w:val="left"/>
            </w:pPr>
            <w:r>
              <w:t xml:space="preserve">Industrial processes (all gases)</w:t>
            </w:r>
          </w:p>
        </w:tc>
        <w:tc>
          <w:tcPr/>
          <w:p>
            <w:pPr>
              <w:pStyle w:val="Compact"/>
              <w:jc w:val="left"/>
            </w:pPr>
            <w:r>
              <w:t xml:space="preserve">grows with industrial energy CO2 year on year (it may decline, as legacy rows 7553 and 7566-7569; v5.6) if</w:t>
            </w:r>
            <w:r>
              <w:t xml:space="preserve"> </w:t>
            </w:r>
            <w:r>
              <w:rPr>
                <w:rStyle w:val="VerbatimChar"/>
              </w:rPr>
              <w:t xml:space="preserve">IndustrialProcessEmissionsScaleEner</w:t>
            </w:r>
            <w:r>
              <w:t xml:space="preserve"> </w:t>
            </w:r>
            <w:r>
              <w:t xml:space="preserve">= Yes, else held</w:t>
            </w:r>
          </w:p>
        </w:tc>
      </w:tr>
      <w:tr>
        <w:tc>
          <w:tcPr/>
          <w:p>
            <w:pPr>
              <w:pStyle w:val="Compact"/>
              <w:jc w:val="left"/>
            </w:pPr>
            <w:r>
              <w:t xml:space="preserve">Agriculture CO2, N2O, F-gases</w:t>
            </w:r>
          </w:p>
        </w:tc>
        <w:tc>
          <w:tcPr/>
          <w:p>
            <w:pPr>
              <w:pStyle w:val="Compact"/>
              <w:jc w:val="left"/>
            </w:pPr>
            <w:r>
              <w:t xml:space="preserve">growth factor (income 0.15, population 0.9)</w:t>
            </w:r>
          </w:p>
        </w:tc>
      </w:tr>
      <w:tr>
        <w:tc>
          <w:tcPr/>
          <w:p>
            <w:pPr>
              <w:pStyle w:val="Compact"/>
              <w:jc w:val="left"/>
            </w:pPr>
            <w:r>
              <w:t xml:space="preserve">Agriculture CH4</w:t>
            </w:r>
          </w:p>
        </w:tc>
        <w:tc>
          <w:tcPr/>
          <w:p>
            <w:pPr>
              <w:pStyle w:val="Compact"/>
              <w:jc w:val="left"/>
            </w:pPr>
            <w:r>
              <w:t xml:space="preserve">livestock + rice methane</w:t>
            </w:r>
          </w:p>
        </w:tc>
      </w:tr>
      <w:tr>
        <w:tc>
          <w:tcPr/>
          <w:p>
            <w:pPr>
              <w:pStyle w:val="Compact"/>
              <w:jc w:val="left"/>
            </w:pPr>
            <w:r>
              <w:t xml:space="preserve">Waste CO2, N2O, F-gases; other</w:t>
            </w:r>
          </w:p>
        </w:tc>
        <w:tc>
          <w:tcPr/>
          <w:p>
            <w:pPr>
              <w:pStyle w:val="Compact"/>
              <w:jc w:val="left"/>
            </w:pPr>
            <w:r>
              <w:t xml:space="preserve">growth factor (population 1)</w:t>
            </w:r>
          </w:p>
        </w:tc>
      </w:tr>
      <w:tr>
        <w:tc>
          <w:tcPr/>
          <w:p>
            <w:pPr>
              <w:pStyle w:val="Compact"/>
              <w:jc w:val="left"/>
            </w:pPr>
            <w:r>
              <w:t xml:space="preserve">Waste CH4</w:t>
            </w:r>
          </w:p>
        </w:tc>
        <w:tc>
          <w:tcPr/>
          <w:p>
            <w:pPr>
              <w:pStyle w:val="Compact"/>
              <w:jc w:val="left"/>
            </w:pPr>
            <w:r>
              <w:t xml:space="preserve">waste methane</w:t>
            </w:r>
          </w:p>
        </w:tc>
      </w:tr>
      <w:tr>
        <w:tc>
          <w:tcPr/>
          <w:p>
            <w:pPr>
              <w:pStyle w:val="Compact"/>
              <w:jc w:val="left"/>
            </w:pPr>
            <w:r>
              <w:t xml:space="preserve">LULUCF CO2</w:t>
            </w:r>
          </w:p>
        </w:tc>
        <w:tc>
          <w:tcPr/>
          <w:p>
            <w:pPr>
              <w:pStyle w:val="Compact"/>
              <w:jc w:val="left"/>
            </w:pPr>
            <w:r>
              <w:t xml:space="preserve">if positive: previous x effort change -</w:t>
            </w:r>
            <w:r>
              <w:t xml:space="preserve"> </w:t>
            </w:r>
            <w:r>
              <w:rPr>
                <w:rStyle w:val="VerbatimChar"/>
              </w:rPr>
              <w:t xml:space="preserve">LULUCFAnnualEmissionsDecline</w:t>
            </w:r>
            <w:r>
              <w:t xml:space="preserve"> </w:t>
            </w:r>
            <w:r>
              <w:t xml:space="preserve">x the last inventory value; sinks (negative values) held</w:t>
            </w:r>
          </w:p>
        </w:tc>
      </w:tr>
      <w:tr>
        <w:tc>
          <w:tcPr/>
          <w:p>
            <w:pPr>
              <w:pStyle w:val="Compact"/>
              <w:jc w:val="left"/>
            </w:pPr>
            <w:r>
              <w:t xml:space="preserve">LULUCF CH4, N2O, F-gases</w:t>
            </w:r>
          </w:p>
        </w:tc>
        <w:tc>
          <w:tcPr/>
          <w:p>
            <w:pPr>
              <w:pStyle w:val="Compact"/>
              <w:jc w:val="left"/>
            </w:pPr>
            <w:r>
              <w:t xml:space="preserve">held</w:t>
            </w:r>
          </w:p>
        </w:tc>
      </w:tr>
    </w:tbl>
    <w:p>
      <w:pPr>
        <w:pStyle w:val="BodyText"/>
      </w:pPr>
      <w:r>
        <w:t xml:space="preserve">Totals by gas and by category; total GHGs excluding and including LULUCF; the change against scenario 1.</w:t>
      </w:r>
    </w:p>
    <w:bookmarkEnd w:id="102"/>
    <w:bookmarkStart w:id="103" w:name="validation-and-differences-with-legacy"/>
    <w:p>
      <w:pPr>
        <w:pStyle w:val="Heading3"/>
      </w:pPr>
      <w:r>
        <w:t xml:space="preserve">5. Validation and differences with legacy</w:t>
      </w:r>
    </w:p>
    <w:p>
      <w:pPr>
        <w:numPr>
          <w:ilvl w:val="0"/>
          <w:numId w:val="1056"/>
        </w:numPr>
        <w:pStyle w:val="Compact"/>
      </w:pPr>
      <w:r>
        <w:rPr>
          <w:rStyle w:val="VerbatimChar"/>
        </w:rPr>
        <w:t xml:space="preserve">check_v7_0.py</w:t>
      </w:r>
      <w:r>
        <w:t xml:space="preserve"> </w:t>
      </w:r>
      <w:r>
        <w:t xml:space="preserve">recomputes every GHG and combustion-methane row in Python from the data files (scenarios 1 and 2, every year).</w:t>
      </w:r>
    </w:p>
    <w:p>
      <w:pPr>
        <w:numPr>
          <w:ilvl w:val="0"/>
          <w:numId w:val="1056"/>
        </w:numPr>
        <w:pStyle w:val="Compact"/>
      </w:pPr>
      <w:r>
        <w:t xml:space="preserve">When introduced (v2.8), every earlier output was unchanged (the methane fee is 0 in the shipped scenarios).</w:t>
      </w:r>
    </w:p>
    <w:p>
      <w:pPr>
        <w:numPr>
          <w:ilvl w:val="0"/>
          <w:numId w:val="1056"/>
        </w:numPr>
        <w:pStyle w:val="Compact"/>
      </w:pPr>
      <w:r>
        <w:t xml:space="preserve">The non-energy elasticities reproduce the legacy run exactly where the legacy method is kept.</w:t>
      </w:r>
    </w:p>
    <w:p>
      <w:pPr>
        <w:numPr>
          <w:ilvl w:val="0"/>
          <w:numId w:val="1056"/>
        </w:numPr>
        <w:pStyle w:val="Compact"/>
      </w:pPr>
      <w:r>
        <w:t xml:space="preserve">Sheet LegacyDiff lists the differences with legacy; the register of bugs, issues and upgrades describes the legacy bugs fixed: L18 (non-energy methane constant, abatement not applied), L19 (flaring CO2 counted as methane), L20 (population growth path), L21 (waste abated with the livestock curve). Local air pollutants:</w:t>
      </w:r>
      <w:r>
        <w:t xml:space="preserve"> </w:t>
      </w:r>
      <w:r>
        <w:rPr>
          <w:rStyle w:val="VerbatimChar"/>
        </w:rPr>
        <w:t xml:space="preserve">AirPollutants_Method_v7_0.md</w:t>
      </w:r>
      <w:r>
        <w:t xml:space="preserve">.</w:t>
      </w:r>
    </w:p>
    <w:bookmarkEnd w:id="103"/>
    <w:bookmarkStart w:id="104" w:name="open-issues"/>
    <w:p>
      <w:pPr>
        <w:pStyle w:val="Heading3"/>
      </w:pPr>
      <w:r>
        <w:t xml:space="preserve">6. Open issues</w:t>
      </w:r>
    </w:p>
    <w:p>
      <w:pPr>
        <w:numPr>
          <w:ilvl w:val="0"/>
          <w:numId w:val="1057"/>
        </w:numPr>
        <w:pStyle w:val="Compact"/>
      </w:pPr>
      <w:r>
        <w:rPr>
          <w:bCs/>
          <w:b/>
        </w:rPr>
        <w:t xml:space="preserve">Egypt’s inventory breaks after 2021</w:t>
      </w:r>
      <w:r>
        <w:t xml:space="preserve"> </w:t>
      </w:r>
      <w:r>
        <w:t xml:space="preserve">(I17): energy CH4 is 21.9 Mt CO2e in 2021 and 1.9-2.0 in 2022-2024, while the fugitive-emissions memo alone is 20.3 in 2023. Calibrating to 2024 (as legacy) may understate energy methane by about 19 Mt CO2e.</w:t>
      </w:r>
    </w:p>
    <w:p>
      <w:pPr>
        <w:numPr>
          <w:ilvl w:val="0"/>
          <w:numId w:val="1057"/>
        </w:numPr>
        <w:pStyle w:val="Compact"/>
      </w:pPr>
      <w:r>
        <w:rPr>
          <w:bCs/>
          <w:b/>
        </w:rPr>
        <w:t xml:space="preserve">Energy CO2 calibration to the inventory (as legacy since v4.11; switch on)</w:t>
      </w:r>
      <w:r>
        <w:t xml:space="preserve">: every CO2 emission factor is scaled by the 2021 inventory over the 2022 estimate (Egypt 0.930;</w:t>
      </w:r>
      <w:r>
        <w:t xml:space="preserve"> </w:t>
      </w:r>
      <w:r>
        <w:rPr>
          <w:rStyle w:val="VerbatimChar"/>
        </w:rPr>
        <w:t xml:space="preserve">CO2Calibration_Method_v7_0.md</w:t>
      </w:r>
      <w:r>
        <w:t xml:space="preserve">); the 2021-2022 inventory break (I17) carries into every year, as legacy.</w:t>
      </w:r>
    </w:p>
    <w:p>
      <w:pPr>
        <w:numPr>
          <w:ilvl w:val="0"/>
          <w:numId w:val="1057"/>
        </w:numPr>
        <w:pStyle w:val="Compact"/>
      </w:pPr>
      <w:r>
        <w:rPr>
          <w:bCs/>
          <w:b/>
        </w:rPr>
        <w:t xml:space="preserve">Combustion factors</w:t>
      </w:r>
      <w:r>
        <w:t xml:space="preserve"> </w:t>
      </w:r>
      <w:r>
        <w:t xml:space="preserve">use only the GAINS base and final values (the yearly paths are proprietary). Combustion methane exceeds inventory energy methane, so the calibration factor is about 0.25 for Egypt.</w:t>
      </w:r>
    </w:p>
    <w:p>
      <w:pPr>
        <w:numPr>
          <w:ilvl w:val="0"/>
          <w:numId w:val="1057"/>
        </w:numPr>
        <w:pStyle w:val="Compact"/>
      </w:pPr>
      <w:r>
        <w:rPr>
          <w:bCs/>
          <w:b/>
        </w:rPr>
        <w:t xml:space="preserve">Oil, gas and coal production</w:t>
      </w:r>
      <w:r>
        <w:t xml:space="preserve"> </w:t>
      </w:r>
      <w:r>
        <w:t xml:space="preserve">is held at the base year (no production model).</w:t>
      </w:r>
    </w:p>
    <w:bookmarkEnd w:id="104"/>
    <w:bookmarkStart w:id="105" w:name="X2b436f3c6ad7936d10a6bd1d76c1918d5aae6da"/>
    <w:p>
      <w:pPr>
        <w:pStyle w:val="Heading3"/>
      </w:pPr>
      <w:r>
        <w:t xml:space="preserve">Fuel production for supply methane (v5.6, I66)</w:t>
      </w:r>
    </w:p>
    <w:p>
      <w:pPr>
        <w:pStyle w:val="FirstParagraph"/>
      </w:pPr>
      <w:r>
        <w:t xml:space="preserve">Oil, gas and coal production (rows ch4.prd) start from Balances and hold in the base year and the next, then grow with the producer-price response to the methane fee (ch4.pi = 1 + change of the fee per unit / international price x pass-through, Manual inputs J194; elasticities J190:J192) and the growth of world demand of the global demand scenario a year earlier (ch4.wd, Prices_int rows 323-333), as legacy rows 6132-6149. The methane source shares use base production as the inventory-year activity (no loop).</w:t>
      </w:r>
    </w:p>
    <w:bookmarkEnd w:id="105"/>
    <w:bookmarkStart w:id="106" w:name="Xc5089baab3a50f5dc2d588867538f0f337558c3"/>
    <w:p>
      <w:pPr>
        <w:pStyle w:val="Heading3"/>
      </w:pPr>
      <w:r>
        <w:t xml:space="preserve">NDC comparison (v5.7, section 14c; legacy F12 rows 18403-18518)</w:t>
      </w:r>
    </w:p>
    <w:p>
      <w:pPr>
        <w:pStyle w:val="FirstParagraph"/>
      </w:pPr>
      <w:r>
        <w:t xml:space="preserve">Data: sheet NDCs (legacy NDCs rows 48-242 latest, 250-444 second, 451-644 first round, columns C-P, stacked with a round</w:t>
      </w:r>
      <w:r>
        <w:t xml:space="preserve"> </w:t>
      </w:r>
      <w:r>
        <w:t xml:space="preserve">column; key ISO|round) and sheet GHGHist (legacy GHGs rows 954-1189: GHGs excl./incl. LULUCF, CO2 excl. LULUCF, energy</w:t>
      </w:r>
      <w:r>
        <w:t xml:space="preserve"> </w:t>
      </w:r>
      <w:r>
        <w:t xml:space="preserve">CO2 by year; header group|year). Both from</w:t>
      </w:r>
      <w:r>
        <w:t xml:space="preserve"> </w:t>
      </w:r>
      <w:r>
        <w:rPr>
          <w:rStyle w:val="VerbatimChar"/>
        </w:rPr>
        <w:t xml:space="preserve">extract_legacy_tables_v7_0.py ndc</w:t>
      </w:r>
      <w:r>
        <w:t xml:space="preserve">.</w:t>
      </w:r>
    </w:p>
    <w:p>
      <w:pPr>
        <w:pStyle w:val="BodyText"/>
      </w:pPr>
      <w:r>
        <w:t xml:space="preserve">Choice (ScenarioDefinition scenario 1, as legacy): NDCs (First round, Second round, else the latest), NDCTargetYear (Main* = first</w:t>
      </w:r>
      <w:r>
        <w:t xml:space="preserve"> </w:t>
      </w:r>
      <w:r>
        <w:t xml:space="preserve">target year, else the second where given), Conditionality (Unconditional, Conditional, else the average). Target year</w:t>
      </w:r>
      <w:r>
        <w:t xml:space="preserve"> </w:t>
      </w:r>
      <w:r>
        <w:t xml:space="preserve">at most NDCYrCap (2035).</w:t>
      </w:r>
    </w:p>
    <w:p>
      <w:pPr>
        <w:pStyle w:val="BodyText"/>
      </w:pPr>
      <w:r>
        <w:t xml:space="preserve">Target on the NDC’s own basis (gases CO2 or GHGs; LULUCF included or excluded), against the modelled BAU = scenario 1</w:t>
      </w:r>
      <w:r>
        <w:t xml:space="preserve"> </w:t>
      </w:r>
      <w:r>
        <w:t xml:space="preserve">in the target year: BAU: BAU x (1 + x) (x the reduction as given, negative); Fixed: x (Mt CO2e); Historical: emissions</w:t>
      </w:r>
      <w:r>
        <w:t xml:space="preserve"> </w:t>
      </w:r>
      <w:r>
        <w:t xml:space="preserve">of the reference year (scenario 1 where modelled, from 2022; else the GHGs inventory, 2021-2024, rows ndc.hc and ndc.hv, v6.1; else GHGHist) x (1 + x); Intensity: reference-year emissions x real</w:t>
      </w:r>
      <w:r>
        <w:t xml:space="preserve"> </w:t>
      </w:r>
      <w:r>
        <w:t xml:space="preserve">GDP of the target year / real GDP of the reference year x (1 + x); Unquantifiable: BAU. Reduction = 1 - target / BAU,</w:t>
      </w:r>
      <w:r>
        <w:t xml:space="preserve"> </w:t>
      </w:r>
      <w:r>
        <w:t xml:space="preserve">for the unconditional (u) and conditional (c) targets; a = their average (the one given if only one; 0 if none);</w:t>
      </w:r>
      <w:r>
        <w:t xml:space="preserve"> </w:t>
      </w:r>
      <w:r>
        <w:t xml:space="preserve">sel = the Conditionality choice (a if the chosen one is not given). Target GHGs incl. LULUCF = MIN(BAU incl. LULUCF,</w:t>
      </w:r>
      <w:r>
        <w:t xml:space="preserve"> </w:t>
      </w:r>
      <w:r>
        <w:t xml:space="preserve">BAU incl. LULUCF x (1 - reduction)), as legacy rows 18494-18496. Per scenario and year: reduction of GHGs incl. LULUCF</w:t>
      </w:r>
      <w:r>
        <w:t xml:space="preserve"> </w:t>
      </w:r>
      <w:r>
        <w:t xml:space="preserve">against scenario 1 (ndc.red), share of the NDC reduction achieved (ndc.gap = ndc.red / ndc.r.sel, legacy</w:t>
      </w:r>
      <w:r>
        <w:t xml:space="preserve"> </w:t>
      </w:r>
      <w:r>
        <w:t xml:space="preserve">“</w:t>
      </w:r>
      <w:r>
        <w:t xml:space="preserve">Gap to NDC</w:t>
      </w:r>
      <w:r>
        <w:t xml:space="preserve">”</w:t>
      </w:r>
      <w:r>
        <w:t xml:space="preserve">),</w:t>
      </w:r>
      <w:r>
        <w:t xml:space="preserve"> </w:t>
      </w:r>
      <w:r>
        <w:t xml:space="preserve">GHGs above the chosen target (ndc.over; in the target year the legacy goal-seek difference, G18501). No goal seek (user</w:t>
      </w:r>
      <w:r>
        <w:t xml:space="preserve"> </w:t>
      </w:r>
      <w:r>
        <w:t xml:space="preserve">2026-10-19: comparison only).</w:t>
      </w:r>
    </w:p>
    <w:p>
      <w:pPr>
        <w:pStyle w:val="BodyText"/>
      </w:pPr>
      <w:r>
        <w:t xml:space="preserve">Legacy bugs fixed: L119 (year adjustment applied twice for BAU, never for Fixed or Historical: the MVP compares in the</w:t>
      </w:r>
      <w:r>
        <w:t xml:space="preserve"> </w:t>
      </w:r>
      <w:r>
        <w:t xml:space="preserve">target year), L120 (index ratios inverted), L121 (Historical</w:t>
      </w:r>
      <w:r>
        <w:t xml:space="preserve"> </w:t>
      </w:r>
      <w:r>
        <w:t xml:space="preserve">“</w:t>
      </w:r>
      <w:r>
        <w:t xml:space="preserve">level</w:t>
      </w:r>
      <w:r>
        <w:t xml:space="preserve">”</w:t>
      </w:r>
      <w:r>
        <w:t xml:space="preserve"> </w:t>
      </w:r>
      <w:r>
        <w:t xml:space="preserve">is the cut), L122 (Intensity adds a blank cell</w:t>
      </w:r>
      <w:r>
        <w:t xml:space="preserve"> </w:t>
      </w:r>
      <w:r>
        <w:t xml:space="preserve">for LULUCF), L123 (Intensity reference GDP from a fixed cell). Issues: I67 (China CO2 hard-coded in legacy: not</w:t>
      </w:r>
      <w:r>
        <w:t xml:space="preserve"> </w:t>
      </w:r>
      <w:r>
        <w:t xml:space="preserve">replicated), I68 (reference years outside the data: N/A; v6.1 reads 2021-2024 from the GHGs inventory; 2018-2020 need data).</w:t>
      </w:r>
    </w:p>
    <w:p>
      <w:pPr>
        <w:pStyle w:val="BodyText"/>
      </w:pPr>
      <w:r>
        <w:t xml:space="preserve">Egypt (latest NDC: BAU, 2030, -27% unconditional, GHGs excl. LULUCF): target 344.3 Mt CO2e (legacy 355.7 = its BAU</w:t>
      </w:r>
      <w:r>
        <w:t xml:space="preserve"> </w:t>
      </w:r>
      <w:r>
        <w:t xml:space="preserve">487.2 x 0.73; the MVP BAU is 471.7, the known baseline GHG difference); scenario 2 achieves 21% of the required</w:t>
      </w:r>
      <w:r>
        <w:t xml:space="preserve"> </w:t>
      </w:r>
      <w:r>
        <w:t xml:space="preserve">reduction in 2030 (legacy 51% for its cached policy scenario, which is not the MVP’s scenario 2).</w:t>
      </w:r>
    </w:p>
    <w:bookmarkEnd w:id="106"/>
    <w:bookmarkEnd w:id="107"/>
    <w:bookmarkStart w:id="112" w:name="method-local-air-pollutants"/>
    <w:p>
      <w:pPr>
        <w:pStyle w:val="Heading1"/>
      </w:pPr>
      <w:r>
        <w:t xml:space="preserve">Method: local air pollutants</w:t>
      </w:r>
    </w:p>
    <w:p>
      <w:pPr>
        <w:pStyle w:val="FirstParagraph"/>
      </w:pPr>
      <w:r>
        <w:rPr>
          <w:iCs/>
          <w:i/>
        </w:rPr>
        <w:t xml:space="preserve">Source:</w:t>
      </w:r>
      <w:r>
        <w:rPr>
          <w:iCs/>
          <w:i/>
        </w:rPr>
        <w:t xml:space="preserve"> </w:t>
      </w:r>
      <w:r>
        <w:rPr>
          <w:rStyle w:val="VerbatimChar"/>
          <w:iCs/>
          <w:i/>
        </w:rPr>
        <w:t xml:space="preserve">AirPollutants_Method_v7_0.md</w:t>
      </w:r>
      <w:r>
        <w:rPr>
          <w:iCs/>
          <w:i/>
        </w:rPr>
        <w:t xml:space="preserve">.</w:t>
      </w:r>
    </w:p>
    <w:p>
      <w:pPr>
        <w:pStyle w:val="BodyText"/>
      </w:pPr>
      <w:r>
        <w:t xml:space="preserve">Equations:</w:t>
      </w:r>
      <w:r>
        <w:t xml:space="preserve"> </w:t>
      </w:r>
      <w:r>
        <w:rPr>
          <w:rStyle w:val="VerbatimChar"/>
        </w:rPr>
        <w:t xml:space="preserve">Equations_v7_0.md</w:t>
      </w:r>
      <w:r>
        <w:t xml:space="preserve">; workbook formulas:</w:t>
      </w:r>
      <w:r>
        <w:t xml:space="preserve"> </w:t>
      </w:r>
      <w:r>
        <w:rPr>
          <w:rStyle w:val="VerbatimChar"/>
        </w:rPr>
        <w:t xml:space="preserve">Formulas_v7_0.md</w:t>
      </w:r>
      <w:r>
        <w:t xml:space="preserve">.</w:t>
      </w:r>
    </w:p>
    <w:p>
      <w:pPr>
        <w:pStyle w:val="BodyText"/>
      </w:pPr>
      <w:r>
        <w:t xml:space="preserve">The model computes emissions of seven local air pollutants from the fuel use of every subsector and of power generation: fine particulate matter (PM2.5), nitrogen oxides (NOx), sulphur dioxide (SO2), volatile organic compounds (VOC), black carbon (BC), organic carbon (OC) and carbon monoxide (CO). A memo converts them into CO2 equivalents (forcing). The emissions are also grouped into the sectors of the legacy air-pollution module, with primary organic matter and other PM2.5, its inputs. The pollutants are not part of the GHG totals. LiveOutputs reports total PM2.5, NOx, SO2, black carbon and the forcing for every scenario; the Charts sheet plots PM2.5 and SO2.</w:t>
      </w:r>
    </w:p>
    <w:p>
      <w:pPr>
        <w:pStyle w:val="BodyText"/>
      </w:pPr>
      <w:r>
        <w:t xml:space="preserve">Units: emissions in kt; factors in t per ktoe; forcing in Mt CO2e (GWP100).</w:t>
      </w:r>
    </w:p>
    <w:bookmarkStart w:id="108" w:name="data-1"/>
    <w:p>
      <w:pPr>
        <w:pStyle w:val="Heading3"/>
      </w:pPr>
      <w:r>
        <w:t xml:space="preserve">1. Data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Sheet</w:t>
            </w:r>
          </w:p>
        </w:tc>
        <w:tc>
          <w:tcPr/>
          <w:p>
            <w:pPr>
              <w:pStyle w:val="Compact"/>
              <w:jc w:val="left"/>
            </w:pPr>
            <w:r>
              <w:t xml:space="preserve">Content</w:t>
            </w:r>
          </w:p>
        </w:tc>
        <w:tc>
          <w:tcPr/>
          <w:p>
            <w:pPr>
              <w:pStyle w:val="Compact"/>
              <w:jc w:val="left"/>
            </w:pPr>
            <w:r>
              <w:t xml:space="preserve">Source</w:t>
            </w:r>
          </w:p>
        </w:tc>
      </w:tr>
      <w:tr>
        <w:tc>
          <w:tcPr/>
          <w:p>
            <w:pPr>
              <w:pStyle w:val="Compact"/>
              <w:jc w:val="left"/>
            </w:pPr>
            <w:r>
              <w:t xml:space="preserve">EF_NonCO2</w:t>
            </w:r>
          </w:p>
        </w:tc>
        <w:tc>
          <w:tcPr/>
          <w:p>
            <w:pPr>
              <w:pStyle w:val="Compact"/>
              <w:jc w:val="left"/>
            </w:pPr>
            <w:r>
              <w:t xml:space="preserve">Combustion emission factors by GAINS subsector, fuel and pollutant, base year and final, kt per PJ</w:t>
            </w:r>
          </w:p>
        </w:tc>
        <w:tc>
          <w:tcPr/>
          <w:p>
            <w:pPr>
              <w:pStyle w:val="Compact"/>
              <w:jc w:val="left"/>
            </w:pPr>
            <w:r>
              <w:t xml:space="preserve">Legacy sheet EF_PM (GAINS); also used for combustion CH4</w:t>
            </w:r>
          </w:p>
        </w:tc>
      </w:tr>
      <w:tr>
        <w:tc>
          <w:tcPr/>
          <w:p>
            <w:pPr>
              <w:pStyle w:val="Compact"/>
              <w:jc w:val="left"/>
            </w:pPr>
            <w:r>
              <w:t xml:space="preserve">GWP_AP</w:t>
            </w:r>
          </w:p>
        </w:tc>
        <w:tc>
          <w:tcPr/>
          <w:p>
            <w:pPr>
              <w:pStyle w:val="Compact"/>
              <w:jc w:val="left"/>
            </w:pPr>
            <w:r>
              <w:t xml:space="preserve">GWP100 of the pollutants by GAINS region</w:t>
            </w:r>
          </w:p>
        </w:tc>
        <w:tc>
          <w:tcPr/>
          <w:p>
            <w:pPr>
              <w:pStyle w:val="Compact"/>
              <w:jc w:val="left"/>
            </w:pPr>
            <w:r>
              <w:t xml:space="preserve">Legacy GWP table of the pollutant forcing</w:t>
            </w:r>
          </w:p>
        </w:tc>
      </w:tr>
      <w:tr>
        <w:tc>
          <w:tcPr/>
          <w:p>
            <w:pPr>
              <w:pStyle w:val="Compact"/>
              <w:jc w:val="left"/>
            </w:pPr>
            <w:r>
              <w:t xml:space="preserve">Countries (column O)</w:t>
            </w:r>
          </w:p>
        </w:tc>
        <w:tc>
          <w:tcPr/>
          <w:p>
            <w:pPr>
              <w:pStyle w:val="Compact"/>
              <w:jc w:val="left"/>
            </w:pPr>
            <w:r>
              <w:t xml:space="preserve">GAINS region of every country (Egypt:</w:t>
            </w:r>
            <w:r>
              <w:t xml:space="preserve"> </w:t>
            </w:r>
            <w:r>
              <w:rPr>
                <w:rStyle w:val="VerbatimChar"/>
              </w:rPr>
              <w:t xml:space="preserve">afr</w:t>
            </w:r>
            <w:r>
              <w:t xml:space="preserve">)</w:t>
            </w:r>
          </w:p>
        </w:tc>
        <w:tc>
          <w:tcPr/>
          <w:p>
            <w:pPr>
              <w:pStyle w:val="Compact"/>
              <w:jc w:val="left"/>
            </w:pPr>
            <w:r>
              <w:t xml:space="preserve">Legacy Countries tab</w:t>
            </w:r>
          </w:p>
        </w:tc>
      </w:tr>
    </w:tbl>
    <w:p>
      <w:pPr>
        <w:pStyle w:val="BodyText"/>
      </w:pPr>
      <w:r>
        <w:t xml:space="preserve">Each subsector takes the GAINS subsector of its CH4 factor: services use the residential factors, rail the road factors, and industry and other energy use the manufacturing factors (legacy bug L58). Power uses factors by generation type.</w:t>
      </w:r>
    </w:p>
    <w:p>
      <w:pPr>
        <w:pStyle w:val="BodyText"/>
      </w:pPr>
      <w:r>
        <w:t xml:space="preserve">A fuel that its GAINS subsector has no factor for takes the nearest GAINS match (v4.12, legacy bug L59, user decision 2026-10-18; was issue I35; Inputs columns</w:t>
      </w:r>
      <w:r>
        <w:t xml:space="preserve"> </w:t>
      </w:r>
      <w:r>
        <w:rPr>
          <w:rStyle w:val="VerbatimChar"/>
        </w:rPr>
        <w:t xml:space="preserve">efxs</w:t>
      </w:r>
      <w:r>
        <w:t xml:space="preserve"> </w:t>
      </w:r>
      <w:r>
        <w:t xml:space="preserve">to</w:t>
      </w:r>
      <w:r>
        <w:t xml:space="preserve"> </w:t>
      </w:r>
      <w:r>
        <w:rPr>
          <w:rStyle w:val="VerbatimChar"/>
        </w:rPr>
        <w:t xml:space="preserve">eff</w:t>
      </w:r>
      <w:r>
        <w:t xml:space="preserve">):</w:t>
      </w:r>
    </w:p>
    <w:p>
      <w:pPr>
        <w:numPr>
          <w:ilvl w:val="0"/>
          <w:numId w:val="1058"/>
        </w:numPr>
        <w:pStyle w:val="Compact"/>
      </w:pPr>
      <w:r>
        <w:t xml:space="preserve">LPG takes natural gas of the same GAINS subsector (both are gaseous fuels burnt in similar appliances; the only LPG factors in the data are for construction, i.e. off-road engines, with a CO factor about 300 times that of a gas stove);</w:t>
      </w:r>
    </w:p>
    <w:p>
      <w:pPr>
        <w:numPr>
          <w:ilvl w:val="0"/>
          <w:numId w:val="1058"/>
        </w:numPr>
        <w:pStyle w:val="Compact"/>
      </w:pPr>
      <w:r>
        <w:t xml:space="preserve">food &amp; forestry takes construction (off-road machinery);</w:t>
      </w:r>
    </w:p>
    <w:p>
      <w:pPr>
        <w:numPr>
          <w:ilvl w:val="0"/>
          <w:numId w:val="1058"/>
        </w:numPr>
        <w:pStyle w:val="Compact"/>
      </w:pPr>
      <w:r>
        <w:t xml:space="preserve">biomass takes residential;</w:t>
      </w:r>
    </w:p>
    <w:p>
      <w:pPr>
        <w:numPr>
          <w:ilvl w:val="0"/>
          <w:numId w:val="1058"/>
        </w:numPr>
        <w:pStyle w:val="Compact"/>
      </w:pPr>
      <w:r>
        <w:t xml:space="preserve">any other fuel takes manufacturing (construction for manufacturing itself).</w:t>
      </w:r>
    </w:p>
    <w:p>
      <w:pPr>
        <w:pStyle w:val="FirstParagraph"/>
      </w:pPr>
      <w:r>
        <w:t xml:space="preserve">Egypt 2022: residential LPG (3,182 ktoe) takes residential gas, other mining diesel (3,819) and fuel transformation LPG (2,466; manufacturing gas) the manufacturing factors, food &amp; forestry diesel (927) construction diesel. A pollutant missing for a fuel that the subsector does have factors for (for example organic carbon of manufacturing coal) stays 0: GAINS lists no zero factors.</w:t>
      </w:r>
    </w:p>
    <w:bookmarkEnd w:id="108"/>
    <w:bookmarkStart w:id="109" w:name="method"/>
    <w:p>
      <w:pPr>
        <w:pStyle w:val="Heading3"/>
      </w:pPr>
      <w:r>
        <w:t xml:space="preserve">2. Method</w:t>
      </w:r>
    </w:p>
    <w:p>
      <w:pPr>
        <w:numPr>
          <w:ilvl w:val="0"/>
          <w:numId w:val="1059"/>
        </w:numPr>
        <w:pStyle w:val="Compact"/>
      </w:pPr>
      <w:r>
        <w:rPr>
          <w:bCs/>
          <w:b/>
        </w:rPr>
        <w:t xml:space="preserve">Factor path</w:t>
      </w:r>
      <w:r>
        <w:t xml:space="preserve">: the weight of the final factor rises linearly from 0 in the base year to 1 in 2039 (</w:t>
      </w:r>
      <w:r>
        <w:rPr>
          <w:rStyle w:val="VerbatimChar"/>
        </w:rPr>
        <w:t xml:space="preserve">EFEndYear</w:t>
      </w:r>
      <w:r>
        <w:t xml:space="preserve">) and stays at 1, as for combustion CH4.</w:t>
      </w:r>
    </w:p>
    <w:p>
      <w:pPr>
        <w:numPr>
          <w:ilvl w:val="0"/>
          <w:numId w:val="1059"/>
        </w:numPr>
        <w:pStyle w:val="Compact"/>
      </w:pPr>
      <w:r>
        <w:rPr>
          <w:bCs/>
          <w:b/>
        </w:rPr>
        <w:t xml:space="preserve">Emissions</w:t>
      </w:r>
      <w:r>
        <w:t xml:space="preserve">: for each subsector and pollutant, the sum over the eight fuels of fuel use x the weighted factor. Fuel use is the modelled one, so prices, policies and scenarios carry through. Power uses the same equation over the nine generation types.</w:t>
      </w:r>
    </w:p>
    <w:p>
      <w:pPr>
        <w:numPr>
          <w:ilvl w:val="0"/>
          <w:numId w:val="1059"/>
        </w:numPr>
        <w:pStyle w:val="Compact"/>
      </w:pPr>
      <w:r>
        <w:rPr>
          <w:bCs/>
          <w:b/>
        </w:rPr>
        <w:t xml:space="preserve">Totals</w:t>
      </w:r>
      <w:r>
        <w:t xml:space="preserve">: transport, buildings and industry sum their subsectors, navigation included. A pollutant’s total is the subsectors plus power.</w:t>
      </w:r>
    </w:p>
    <w:p>
      <w:pPr>
        <w:numPr>
          <w:ilvl w:val="0"/>
          <w:numId w:val="1059"/>
        </w:numPr>
        <w:pStyle w:val="Compact"/>
      </w:pPr>
      <w:r>
        <w:rPr>
          <w:bCs/>
          <w:b/>
        </w:rPr>
        <w:t xml:space="preserve">Forcing (memo)</w:t>
      </w:r>
      <w:r>
        <w:t xml:space="preserve">: emissions x the region’s GWP100 for BC, OC, NOx, SO2, VOC and CO, and their sum. Cooling pollutants (OC, SO2, NOx) have a negative GWP, so the net forcing can be negative: about -17.5 Mt CO2e for Egypt in 2022.</w:t>
      </w:r>
    </w:p>
    <w:p>
      <w:pPr>
        <w:numPr>
          <w:ilvl w:val="0"/>
          <w:numId w:val="1059"/>
        </w:numPr>
        <w:pStyle w:val="Compact"/>
      </w:pPr>
      <w:r>
        <w:rPr>
          <w:bCs/>
          <w:b/>
        </w:rPr>
        <w:t xml:space="preserve">Air-pollution module sectors</w:t>
      </w:r>
      <w:r>
        <w:t xml:space="preserve">: coal power plants and gas power plants (fuel use of the type x the power factors); other power plants (power less coal and gas); ground level road (road); ground level other (residential, services, construction); other (rail, aviation, navigation, industry without construction, other energy use); food &amp; forestry. The seven sectors add up to the pollutant’s total.</w:t>
      </w:r>
    </w:p>
    <w:p>
      <w:pPr>
        <w:numPr>
          <w:ilvl w:val="0"/>
          <w:numId w:val="1059"/>
        </w:numPr>
        <w:pStyle w:val="Compact"/>
      </w:pPr>
      <w:r>
        <w:rPr>
          <w:bCs/>
          <w:b/>
        </w:rPr>
        <w:t xml:space="preserve">Primary organic matter (POM) and other PM2.5</w:t>
      </w:r>
      <w:r>
        <w:t xml:space="preserve">, per sector: POM = 1.3 x organic carbon; other PM2.5 = MAX(0, PM2.5 - black carbon - POM).</w:t>
      </w:r>
    </w:p>
    <w:p>
      <w:pPr>
        <w:numPr>
          <w:ilvl w:val="0"/>
          <w:numId w:val="1059"/>
        </w:numPr>
        <w:pStyle w:val="Compact"/>
      </w:pPr>
      <w:r>
        <w:rPr>
          <w:bCs/>
          <w:b/>
        </w:rPr>
        <w:t xml:space="preserve">The module’s input table (v3.12)</w:t>
      </w:r>
      <w:r>
        <w:t xml:space="preserve">: the block takes the layout of the legacy input table (Mitigation rows 15859-15961):</w:t>
      </w:r>
    </w:p>
    <w:p>
      <w:pPr>
        <w:numPr>
          <w:ilvl w:val="1"/>
          <w:numId w:val="1060"/>
        </w:numPr>
        <w:pStyle w:val="Compact"/>
      </w:pPr>
      <w:r>
        <w:t xml:space="preserve">one block per module sector (coal, gas and other power plants, ground level road, ground level other, other, food &amp; forestry) and one for all sectors;</w:t>
      </w:r>
    </w:p>
    <w:p>
      <w:pPr>
        <w:numPr>
          <w:ilvl w:val="1"/>
          <w:numId w:val="1060"/>
        </w:numPr>
        <w:pStyle w:val="Compact"/>
      </w:pPr>
      <w:r>
        <w:t xml:space="preserve">in each block the ten pollutants in legacy order: NOx, SO2, BC, POM, other PM2.5, VOC, CH4, CO, PM2.5, OC;</w:t>
      </w:r>
    </w:p>
    <w:p>
      <w:pPr>
        <w:numPr>
          <w:ilvl w:val="1"/>
          <w:numId w:val="1060"/>
        </w:numPr>
        <w:pStyle w:val="Compact"/>
      </w:pPr>
      <w:r>
        <w:t xml:space="preserve">codes</w:t>
      </w:r>
      <w:r>
        <w:t xml:space="preserve"> </w:t>
      </w:r>
      <w:r>
        <w:rPr>
          <w:rStyle w:val="VerbatimChar"/>
        </w:rPr>
        <w:t xml:space="preserve">aps.&lt;pollutant&gt;.&lt;sector&gt;</w:t>
      </w:r>
      <w:r>
        <w:t xml:space="preserve">, in kt (legacy: tonnes).</w:t>
      </w:r>
    </w:p>
    <w:p>
      <w:pPr>
        <w:numPr>
          <w:ilvl w:val="0"/>
          <w:numId w:val="1000"/>
        </w:numPr>
        <w:pStyle w:val="Compact"/>
      </w:pPr>
      <w:r>
        <w:t xml:space="preserve">The air-pollution module reads these rows directly (NORMS 3c).</w:t>
      </w:r>
    </w:p>
    <w:p>
      <w:pPr>
        <w:numPr>
          <w:ilvl w:val="0"/>
          <w:numId w:val="1059"/>
        </w:numPr>
        <w:pStyle w:val="Compact"/>
      </w:pPr>
      <w:r>
        <w:rPr>
          <w:bCs/>
          <w:b/>
        </w:rPr>
        <w:t xml:space="preserve">CH4 in the table, as legacy (issue I34)</w:t>
      </w:r>
      <w:r>
        <w:t xml:space="preserve">:</w:t>
      </w:r>
    </w:p>
    <w:p>
      <w:pPr>
        <w:numPr>
          <w:ilvl w:val="1"/>
          <w:numId w:val="1061"/>
        </w:numPr>
        <w:pStyle w:val="Compact"/>
      </w:pPr>
      <w:r>
        <w:t xml:space="preserve">coal, gas and other power plants: combustion CH4 of the generation types (section 14);</w:t>
      </w:r>
    </w:p>
    <w:p>
      <w:pPr>
        <w:numPr>
          <w:ilvl w:val="1"/>
          <w:numId w:val="1061"/>
        </w:numPr>
        <w:pStyle w:val="Compact"/>
      </w:pPr>
      <w:r>
        <w:t xml:space="preserve">road, ground level other: combustion CH4 of their subsectors (</w:t>
      </w:r>
      <w:r>
        <w:rPr>
          <w:rStyle w:val="VerbatimChar"/>
        </w:rPr>
        <w:t xml:space="preserve">ch4</w:t>
      </w:r>
      <w:r>
        <w:t xml:space="preserve"> </w:t>
      </w:r>
      <w:r>
        <w:t xml:space="preserve">rows of sections 5-8);</w:t>
      </w:r>
    </w:p>
    <w:p>
      <w:pPr>
        <w:numPr>
          <w:ilvl w:val="1"/>
          <w:numId w:val="1061"/>
        </w:numPr>
        <w:pStyle w:val="Compact"/>
      </w:pPr>
      <w:r>
        <w:t xml:space="preserve">other: combustion CH4 of its subsectors plus fossil fuel supply methane (</w:t>
      </w:r>
      <w:r>
        <w:rPr>
          <w:rStyle w:val="VerbatimChar"/>
        </w:rPr>
        <w:t xml:space="preserve">ch4.sup</w:t>
      </w:r>
      <w:r>
        <w:t xml:space="preserve">; legacy has oil and gas extraction only);</w:t>
      </w:r>
    </w:p>
    <w:p>
      <w:pPr>
        <w:numPr>
          <w:ilvl w:val="1"/>
          <w:numId w:val="1061"/>
        </w:numPr>
        <w:pStyle w:val="Compact"/>
      </w:pPr>
      <w:r>
        <w:t xml:space="preserve">food &amp; forestry: combustion CH4 plus agriculture (livestock, rice) and waste methane, as legacy.</w:t>
      </w:r>
    </w:p>
    <w:p>
      <w:pPr>
        <w:numPr>
          <w:ilvl w:val="0"/>
          <w:numId w:val="1000"/>
        </w:numPr>
        <w:pStyle w:val="Compact"/>
      </w:pPr>
      <w:r>
        <w:t xml:space="preserve">Legacy has no combustion CH4 factors, so its combustion part is zero. CH4 here is uncalibrated: it is not scaled to the inventory (</w:t>
      </w:r>
      <w:r>
        <w:rPr>
          <w:rStyle w:val="VerbatimChar"/>
        </w:rPr>
        <w:t xml:space="preserve">ghg.k</w:t>
      </w:r>
      <w:r>
        <w:t xml:space="preserve">).</w:t>
      </w:r>
    </w:p>
    <w:bookmarkEnd w:id="109"/>
    <w:bookmarkStart w:id="110" w:name="results-for-egypt-scenario-1"/>
    <w:p>
      <w:pPr>
        <w:pStyle w:val="Heading3"/>
      </w:pPr>
      <w:r>
        <w:t xml:space="preserve">3. Results for Egypt (scenario 1)</w:t>
      </w:r>
    </w:p>
    <w:p>
      <w:pPr>
        <w:pStyle w:val="FirstParagraph"/>
      </w:pPr>
      <w:r>
        <w:t xml:space="preserve">v4.12 (with the nearest GAINS factors, bug L59): PM2.5 is 95.6 kt in 2022 and 94.8 kt in 2040; NOx 886 kt in 2022. The check recomputes all rows of the block in Python for scenarios 1 and 2.</w:t>
      </w:r>
    </w:p>
    <w:p>
      <w:pPr>
        <w:pStyle w:val="BodyText"/>
      </w:pPr>
      <w:r>
        <w:t xml:space="preserve">The module’s input table in 2022 (kt): NOx 886, SO2 317, BC 33.2, POM 48.3, other PM2.5 14.1, VOC 377, CH4 2,150, CO 2,473, PM2.5 95.6, OC 37.2. Sectors without the fuels of bug L59 match the legacy input table (rows 15861-15948, in tonnes): gas power plants’ NOx is 104,502 t and road NOx 569,560 t in both. Before v4.12 (fuels without a factor at 0, as legacy) the totals were NOx 801, SO2 300, PM2.5 90.8: the fix adds residential LPG (as gas), mining and food &amp; forestry diesel and fuel transformation LPG. CH4 is above legacy’s 1,936 kt also because the MVP adds combustion CH4 and all fuel-supply methane, while legacy has extraction only (I34).</w:t>
      </w:r>
    </w:p>
    <w:p>
      <w:pPr>
        <w:pStyle w:val="BodyText"/>
      </w:pPr>
      <w:r>
        <w:t xml:space="preserve">Forcing in 2022: total -18.6 Mt CO2e (v4.11: -17.5; legacy cached -16.3); black carbon 11.9, CO 4.9, VOC 2.3, organic carbon -4.5, NOx -6.3, SO2 -27.0. The legacy values differ by the fuels of bug L59, and by 2040 also because fuel use and the factor paths differ.</w:t>
      </w:r>
    </w:p>
    <w:bookmarkEnd w:id="110"/>
    <w:bookmarkStart w:id="111" w:name="X632b2697a9bf68d5aea98ce8726acd1220bdc9e"/>
    <w:p>
      <w:pPr>
        <w:pStyle w:val="Heading3"/>
      </w:pPr>
      <w:r>
        <w:t xml:space="preserve">4. Differences with legacy CPAT (sheet LegacyDiff)</w:t>
      </w:r>
    </w:p>
    <w:p>
      <w:pPr>
        <w:numPr>
          <w:ilvl w:val="0"/>
          <w:numId w:val="1062"/>
        </w:numPr>
        <w:pStyle w:val="Compact"/>
      </w:pPr>
      <w:r>
        <w:t xml:space="preserve">Legacy omits navigation from the pollutant totals (bug L22). It is included here.</w:t>
      </w:r>
    </w:p>
    <w:p>
      <w:pPr>
        <w:numPr>
          <w:ilvl w:val="0"/>
          <w:numId w:val="1062"/>
        </w:numPr>
        <w:pStyle w:val="Compact"/>
      </w:pPr>
      <w:r>
        <w:t xml:space="preserve">Legacy leaves services and food &amp; forestry out of each pollutant’s total (bug L23), although its air-pollution sectors include them. Here the total is the sum of the sectors.</w:t>
      </w:r>
    </w:p>
    <w:p>
      <w:pPr>
        <w:numPr>
          <w:ilvl w:val="0"/>
          <w:numId w:val="1062"/>
        </w:numPr>
        <w:pStyle w:val="Compact"/>
      </w:pPr>
      <w:r>
        <w:t xml:space="preserve">Legacy gives fuels with no GAINS factor zero emissions (legacy bug L59, user decision 2026-10-18; was issue I35). Egypt 2022: residential LPG, mining diesel, food &amp; forestry diesel and fuel transformation LPG, about 10 Mtoe in all; food &amp; forestry shows about 1 t of NOx in legacy (row 15939). Here they take the nearest GAINS match (section 1).</w:t>
      </w:r>
    </w:p>
    <w:p>
      <w:pPr>
        <w:numPr>
          <w:ilvl w:val="0"/>
          <w:numId w:val="1062"/>
        </w:numPr>
        <w:pStyle w:val="Compact"/>
      </w:pPr>
      <w:r>
        <w:t xml:space="preserve">Legacy gives a zero factor to subsectors with no GAINS match (legacy bug L58, user decision 2026-10-18; was issue I27). Here every subsector is mapped to a GAINS subsector.</w:t>
      </w:r>
    </w:p>
    <w:p>
      <w:pPr>
        <w:numPr>
          <w:ilvl w:val="0"/>
          <w:numId w:val="1062"/>
        </w:numPr>
        <w:pStyle w:val="Compact"/>
      </w:pPr>
      <w:r>
        <w:t xml:space="preserve">Food &amp; forestry is split into food and forestry/agriculture as legacy (v4.11, LD53): the food share of each fuel is info_food over the four info_ flows of the processed Balances (legacy rows 501-504, 1666-1673); rows apfd (food fuel use) and ap.</w:t>
      </w:r>
      <w:r>
        <w:t xml:space="preserve">.fod / .fag (memo rows, not in the totals). The share is 0 for Egypt.</w:t>
      </w:r>
    </w:p>
    <w:p>
      <w:pPr>
        <w:numPr>
          <w:ilvl w:val="0"/>
          <w:numId w:val="1062"/>
        </w:numPr>
        <w:pStyle w:val="Compact"/>
      </w:pPr>
      <w:r>
        <w:t xml:space="preserve">Legacy has no ammonia (NH3) from fuel combustion, so neither does the MVP.</w:t>
      </w:r>
    </w:p>
    <w:p>
      <w:pPr>
        <w:numPr>
          <w:ilvl w:val="0"/>
          <w:numId w:val="1062"/>
        </w:numPr>
        <w:pStyle w:val="Compact"/>
      </w:pPr>
      <w:r>
        <w:t xml:space="preserve">Legacy reads factor paths by year, which are proprietary and empty in the NoPropData file. The MVP draws a linear path between the base and final factors (simplification, as for CH4).</w:t>
      </w:r>
    </w:p>
    <w:p>
      <w:pPr>
        <w:numPr>
          <w:ilvl w:val="0"/>
          <w:numId w:val="1062"/>
        </w:numPr>
        <w:pStyle w:val="Compact"/>
      </w:pPr>
      <w:r>
        <w:t xml:space="preserve">Not built yet: the air-pollution (health) module that would use these sectors.</w:t>
      </w:r>
    </w:p>
    <w:bookmarkEnd w:id="111"/>
    <w:bookmarkEnd w:id="112"/>
    <w:bookmarkStart w:id="119" w:name="method-gdp-effects"/>
    <w:p>
      <w:pPr>
        <w:pStyle w:val="Heading1"/>
      </w:pPr>
      <w:r>
        <w:t xml:space="preserve">Method: GDP effects</w:t>
      </w:r>
    </w:p>
    <w:p>
      <w:pPr>
        <w:pStyle w:val="FirstParagraph"/>
      </w:pPr>
      <w:r>
        <w:rPr>
          <w:iCs/>
          <w:i/>
        </w:rPr>
        <w:t xml:space="preserve">Source:</w:t>
      </w:r>
      <w:r>
        <w:rPr>
          <w:iCs/>
          <w:i/>
        </w:rPr>
        <w:t xml:space="preserve"> </w:t>
      </w:r>
      <w:r>
        <w:rPr>
          <w:rStyle w:val="VerbatimChar"/>
          <w:iCs/>
          <w:i/>
        </w:rPr>
        <w:t xml:space="preserve">GDP_Method_v7_0.md</w:t>
      </w:r>
      <w:r>
        <w:rPr>
          <w:iCs/>
          <w:i/>
        </w:rPr>
        <w:t xml:space="preserve">.</w:t>
      </w:r>
    </w:p>
    <w:p>
      <w:pPr>
        <w:pStyle w:val="BodyText"/>
      </w:pPr>
      <w:r>
        <w:t xml:space="preserve">Equations:</w:t>
      </w:r>
      <w:r>
        <w:t xml:space="preserve"> </w:t>
      </w:r>
      <w:r>
        <w:rPr>
          <w:rStyle w:val="VerbatimChar"/>
        </w:rPr>
        <w:t xml:space="preserve">Equations_v7_0.md</w:t>
      </w:r>
      <w:r>
        <w:t xml:space="preserve">; workbook formulas:</w:t>
      </w:r>
      <w:r>
        <w:t xml:space="preserve"> </w:t>
      </w:r>
      <w:r>
        <w:rPr>
          <w:rStyle w:val="VerbatimChar"/>
        </w:rPr>
        <w:t xml:space="preserve">Formulas_v7_0.md</w:t>
      </w:r>
      <w:r>
        <w:t xml:space="preserve">. Decisions:</w:t>
      </w:r>
      <w:r>
        <w:t xml:space="preserve"> </w:t>
      </w:r>
      <w:r>
        <w:rPr>
          <w:rStyle w:val="VerbatimChar"/>
        </w:rPr>
        <w:t xml:space="preserve">Old/GDP_Plan_v3_6.md</w:t>
      </w:r>
      <w:r>
        <w:t xml:space="preserve">.</w:t>
      </w:r>
    </w:p>
    <w:p>
      <w:pPr>
        <w:pStyle w:val="BodyText"/>
      </w:pPr>
      <w:r>
        <w:t xml:space="preserve">The model estimates how spending the revenue gained by the policies changes GDP. The change feeds back into GDP growth, which drives fuel use, power demand and the non-energy GHG drivers. The method follows legacy CPAT section 17, with legacy bug L24 fixed.</w:t>
      </w:r>
    </w:p>
    <w:bookmarkStart w:id="113" w:name="inputs-egypt-defaults"/>
    <w:p>
      <w:pPr>
        <w:pStyle w:val="Heading3"/>
      </w:pPr>
      <w:r>
        <w:t xml:space="preserve">1. Inputs (Egypt defaults)</w:t>
      </w:r>
    </w:p>
    <w:p>
      <w:pPr>
        <w:numPr>
          <w:ilvl w:val="0"/>
          <w:numId w:val="1063"/>
        </w:numPr>
        <w:pStyle w:val="Compact"/>
      </w:pPr>
      <w:r>
        <w:t xml:space="preserve">Revenue use, % of revenue (ScenarioDefinition): labour tax cuts 30, corporate tax cuts 0, public investment 50, current spending 0, targeted transfers 20.</w:t>
      </w:r>
    </w:p>
    <w:p>
      <w:pPr>
        <w:numPr>
          <w:ilvl w:val="0"/>
          <w:numId w:val="1063"/>
        </w:numPr>
        <w:pStyle w:val="Compact"/>
      </w:pPr>
      <w:r>
        <w:t xml:space="preserve">Multiplier source (ScenarioDefinition row 226): Global, income group, Estimated or Manual; Egypt: income group (LMIC). Range Base/Low/High (row 263): Base. Start year for GDP calculations (row 236, GDPStartYear): 2025. Endogenous GDP effects: Yes.</w:t>
      </w:r>
    </w:p>
    <w:p>
      <w:pPr>
        <w:numPr>
          <w:ilvl w:val="0"/>
          <w:numId w:val="1063"/>
        </w:numPr>
        <w:pStyle w:val="Compact"/>
      </w:pPr>
      <w:r>
        <w:t xml:space="preserve">Fiscal multipliers by group, instrument and lag 0-19 (sheet Multipliers, from the legacy sheet: MFMod medians). Low and high are the median minus and plus one standard deviation. Lags 12-19 hold the lag-11 value, as in legacy. v4.15 (LD56):</w:t>
      </w:r>
      <w:r>
        <w:t xml:space="preserve"> </w:t>
      </w:r>
      <w:r>
        <w:t xml:space="preserve">“</w:t>
      </w:r>
      <w:r>
        <w:t xml:space="preserve">Estimated</w:t>
      </w:r>
      <w:r>
        <w:t xml:space="preserve">”</w:t>
      </w:r>
      <w:r>
        <w:t xml:space="preserve"> </w:t>
      </w:r>
      <w:r>
        <w:t xml:space="preserve">takes the country’s table of the legacy Multipliers tab (rows 210-1620, exact match of the country code; the income group where the country is missing, and for CIT and WAGE, whose legacy tables are empty or wrong: bug L76);</w:t>
      </w:r>
      <w:r>
        <w:t xml:space="preserve"> </w:t>
      </w:r>
      <w:r>
        <w:t xml:space="preserve">“</w:t>
      </w:r>
      <w:r>
        <w:t xml:space="preserve">Manual</w:t>
      </w:r>
      <w:r>
        <w:t xml:space="preserve">”</w:t>
      </w:r>
      <w:r>
        <w:t xml:space="preserve"> </w:t>
      </w:r>
      <w:r>
        <w:t xml:space="preserve">takes sheet Manual inputs J261:U268 (legacy addresses, lags 0-11, blank = 0). Low and high add -/+ the income group’s standard deviation to these too, as legacy (issue I44). Any other source text means the income group.</w:t>
      </w:r>
    </w:p>
    <w:p>
      <w:pPr>
        <w:numPr>
          <w:ilvl w:val="0"/>
          <w:numId w:val="1063"/>
        </w:numPr>
        <w:pStyle w:val="Compact"/>
      </w:pPr>
      <w:r>
        <w:t xml:space="preserve">Baseline real GDP (sheet WEO): 547 USD bn in 2022.</w:t>
      </w:r>
    </w:p>
    <w:bookmarkEnd w:id="113"/>
    <w:bookmarkStart w:id="114" w:name="method-1"/>
    <w:p>
      <w:pPr>
        <w:pStyle w:val="Heading3"/>
      </w:pPr>
      <w:r>
        <w:t xml:space="preserve">2. Method</w:t>
      </w:r>
    </w:p>
    <w:p>
      <w:pPr>
        <w:numPr>
          <w:ilvl w:val="0"/>
          <w:numId w:val="1064"/>
        </w:numPr>
        <w:pStyle w:val="Compact"/>
      </w:pPr>
      <w:r>
        <w:rPr>
          <w:bCs/>
          <w:b/>
        </w:rPr>
        <w:t xml:space="preserve">Fiscal space</w:t>
      </w:r>
      <w:r>
        <w:t xml:space="preserve"> </w:t>
      </w:r>
      <w:r>
        <w:t xml:space="preserve">(v4.15, LD55): total revenue of the scenario (existing taxes net of subsidies plus new policies, power included: rnet + rnew, v4.16 + subsidy reform rsr and producer subsidies rpsu, as legacy’s rev.new.usd = row 8026, the total of all instruments) minus that of scenario 1, as a share of GDP. Lower fuel use also lowers the cost of existing subsidies (base erosion), and that counts. Scenario 1 has no GDP effect.</w:t>
      </w:r>
    </w:p>
    <w:p>
      <w:pPr>
        <w:numPr>
          <w:ilvl w:val="0"/>
          <w:numId w:val="1064"/>
        </w:numPr>
        <w:pStyle w:val="Compact"/>
      </w:pPr>
      <w:r>
        <w:rPr>
          <w:bCs/>
          <w:b/>
        </w:rPr>
        <w:t xml:space="preserve">Impulse</w:t>
      </w:r>
      <w:r>
        <w:t xml:space="preserve"> </w:t>
      </w:r>
      <w:r>
        <w:t xml:space="preserve">(v4.15, as legacy row 14356): the change of that revenue gain in USD over this year’s GDP, 0 before GDPStartYear (issues I41, I42). Each impulse starts a cohort that acts for 20 years (lags 0-19), lag 0 in the impulse year (legacy applies lag 1 there: bug L68).</w:t>
      </w:r>
    </w:p>
    <w:p>
      <w:pPr>
        <w:numPr>
          <w:ilvl w:val="0"/>
          <w:numId w:val="1064"/>
        </w:numPr>
        <w:pStyle w:val="Compact"/>
      </w:pPr>
      <w:r>
        <w:rPr>
          <w:bCs/>
          <w:b/>
        </w:rPr>
        <w:t xml:space="preserve">Effect of each use</w:t>
      </w:r>
      <w:r>
        <w:t xml:space="preserve">: its share x the sum of impulse x multiplier over the lags. The revenue itself counts as an energy-tax increase (instrument</w:t>
      </w:r>
      <w:r>
        <w:t xml:space="preserve"> </w:t>
      </w:r>
      <w:r>
        <w:rPr>
          <w:rStyle w:val="VerbatimChar"/>
        </w:rPr>
        <w:t xml:space="preserve">exc</w:t>
      </w:r>
      <w:r>
        <w:t xml:space="preserve">, share -1). The uses map to labour tax (</w:t>
      </w:r>
      <w:r>
        <w:rPr>
          <w:rStyle w:val="VerbatimChar"/>
        </w:rPr>
        <w:t xml:space="preserve">pit</w:t>
      </w:r>
      <w:r>
        <w:t xml:space="preserve">), corporate tax (</w:t>
      </w:r>
      <w:r>
        <w:rPr>
          <w:rStyle w:val="VerbatimChar"/>
        </w:rPr>
        <w:t xml:space="preserve">cit</w:t>
      </w:r>
      <w:r>
        <w:t xml:space="preserve">), public investment (</w:t>
      </w:r>
      <w:r>
        <w:rPr>
          <w:rStyle w:val="VerbatimChar"/>
        </w:rPr>
        <w:t xml:space="preserve">capt</w:t>
      </w:r>
      <w:r>
        <w:t xml:space="preserve">), current spending (</w:t>
      </w:r>
      <w:r>
        <w:rPr>
          <w:rStyle w:val="VerbatimChar"/>
        </w:rPr>
        <w:t xml:space="preserve">gnfs</w:t>
      </w:r>
      <w:r>
        <w:t xml:space="preserve">) and transfers (</w:t>
      </w:r>
      <w:r>
        <w:rPr>
          <w:rStyle w:val="VerbatimChar"/>
        </w:rPr>
        <w:t xml:space="preserve">trns</w:t>
      </w:r>
      <w:r>
        <w:t xml:space="preserve">).</w:t>
      </w:r>
    </w:p>
    <w:p>
      <w:pPr>
        <w:numPr>
          <w:ilvl w:val="0"/>
          <w:numId w:val="1064"/>
        </w:numPr>
        <w:pStyle w:val="Compact"/>
      </w:pPr>
      <w:r>
        <w:rPr>
          <w:bCs/>
          <w:b/>
        </w:rPr>
        <w:t xml:space="preserve">GDP effect</w:t>
      </w:r>
      <w:r>
        <w:t xml:space="preserve">: the sum over uses (0 if endogenous effects are off): the change of the GDP level against the baseline, as a share of GDP.</w:t>
      </w:r>
    </w:p>
    <w:p>
      <w:pPr>
        <w:numPr>
          <w:ilvl w:val="0"/>
          <w:numId w:val="1064"/>
        </w:numPr>
        <w:pStyle w:val="Compact"/>
      </w:pPr>
      <w:r>
        <w:rPr>
          <w:bCs/>
          <w:b/>
        </w:rPr>
        <w:t xml:space="preserve">Feedback</w:t>
      </w:r>
      <w:r>
        <w:t xml:space="preserve">: the GDP level is 1 + last year’s GDP effect, and growth follows from the baseline growth and the change in that level. The one-year lag avoids a circular reference (revenue depends on fuel use, which depends on growth). Legacy instead adds the effect to the growth rate every year, so a steady effect compounds (L24).</w:t>
      </w:r>
    </w:p>
    <w:bookmarkEnd w:id="114"/>
    <w:bookmarkStart w:id="115" w:name="X8e08f547e6bcd3d4cfd8ffea8e832bbbfe9176d"/>
    <w:p>
      <w:pPr>
        <w:pStyle w:val="Heading3"/>
      </w:pPr>
      <w:r>
        <w:t xml:space="preserve">2b. Timing rule (stated v6.2, issue I72; user 2026-10-20)</w:t>
      </w:r>
    </w:p>
    <w:p>
      <w:pPr>
        <w:pStyle w:val="FirstParagraph"/>
      </w:pPr>
      <w:r>
        <w:rPr>
          <w:bCs/>
          <w:b/>
        </w:rPr>
        <w:t xml:space="preserve">Revenue of year t changes GDP only from year t+1.</w:t>
      </w:r>
      <w:r>
        <w:t xml:space="preserve"> </w:t>
      </w:r>
      <w:r>
        <w:rPr>
          <w:rStyle w:val="VerbatimChar"/>
        </w:rPr>
        <w:t xml:space="preserve">gdp.lvl</w:t>
      </w:r>
      <w:r>
        <w:t xml:space="preserve">(t+1) = 1 +</w:t>
      </w:r>
      <w:r>
        <w:t xml:space="preserve"> </w:t>
      </w:r>
      <w:r>
        <w:rPr>
          <w:rStyle w:val="VerbatimChar"/>
        </w:rPr>
        <w:t xml:space="preserve">gdp.eff</w:t>
      </w:r>
      <w:r>
        <w:t xml:space="preserve">(t), and GDP growth after the feedback reads that level (as legacy row 8776, which reads the previous column). Three consequences, kept as rules:</w:t>
      </w:r>
    </w:p>
    <w:p>
      <w:pPr>
        <w:numPr>
          <w:ilvl w:val="0"/>
          <w:numId w:val="1065"/>
        </w:numPr>
        <w:pStyle w:val="Compact"/>
      </w:pPr>
      <w:r>
        <w:t xml:space="preserve">The fiscal space of year t reads revenue of year t only (no later year, no whole-row lookup).</w:t>
      </w:r>
    </w:p>
    <w:p>
      <w:pPr>
        <w:numPr>
          <w:ilvl w:val="0"/>
          <w:numId w:val="1065"/>
        </w:numPr>
        <w:pStyle w:val="Compact"/>
      </w:pPr>
      <w:r>
        <w:t xml:space="preserve">A same-year GDP effect never reaches same-year demand: the impulse of year t counts at lag 0 in</w:t>
      </w:r>
      <w:r>
        <w:t xml:space="preserve"> </w:t>
      </w:r>
      <w:r>
        <w:rPr>
          <w:rStyle w:val="VerbatimChar"/>
        </w:rPr>
        <w:t xml:space="preserve">gdp.eff</w:t>
      </w:r>
      <w:r>
        <w:t xml:space="preserve">(t), which acts on GDP from t+1.</w:t>
      </w:r>
    </w:p>
    <w:p>
      <w:pPr>
        <w:numPr>
          <w:ilvl w:val="0"/>
          <w:numId w:val="1065"/>
        </w:numPr>
        <w:pStyle w:val="Compact"/>
      </w:pPr>
      <w:r>
        <w:t xml:space="preserve">Every other block must not read a later year (NORMS, circular references). With this lag, no revenue line can then close a circular reference, whatever it reads (fuel use, power, methane).</w:t>
      </w:r>
    </w:p>
    <w:p>
      <w:pPr>
        <w:pStyle w:val="FirstParagraph"/>
      </w:pPr>
      <w:r>
        <w:t xml:space="preserve">The quick check tests the reads of later years; a change that breaks the lag must restate this rule and pass the full recalculation (Err:522).</w:t>
      </w:r>
    </w:p>
    <w:bookmarkEnd w:id="115"/>
    <w:bookmarkStart w:id="116" w:name="X19123d384d6aeee1e3ac175e814d235423bd51f"/>
    <w:p>
      <w:pPr>
        <w:pStyle w:val="Heading3"/>
      </w:pPr>
      <w:r>
        <w:t xml:space="preserve">3. Results for Egypt (scenario 2 of the shipped file)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2027</w:t>
            </w:r>
          </w:p>
        </w:tc>
        <w:tc>
          <w:tcPr/>
          <w:p>
            <w:pPr>
              <w:pStyle w:val="Compact"/>
              <w:jc w:val="left"/>
            </w:pPr>
            <w:r>
              <w:t xml:space="preserve">2030</w:t>
            </w:r>
          </w:p>
        </w:tc>
        <w:tc>
          <w:tcPr/>
          <w:p>
            <w:pPr>
              <w:pStyle w:val="Compact"/>
              <w:jc w:val="left"/>
            </w:pPr>
            <w:r>
              <w:t xml:space="preserve">2035</w:t>
            </w:r>
          </w:p>
        </w:tc>
        <w:tc>
          <w:tcPr/>
          <w:p>
            <w:pPr>
              <w:pStyle w:val="Compact"/>
              <w:jc w:val="left"/>
            </w:pPr>
            <w:r>
              <w:t xml:space="preserve">2040</w:t>
            </w:r>
          </w:p>
        </w:tc>
      </w:tr>
      <w:tr>
        <w:tc>
          <w:tcPr/>
          <w:p>
            <w:pPr>
              <w:pStyle w:val="Compact"/>
              <w:jc w:val="left"/>
            </w:pPr>
            <w:r>
              <w:t xml:space="preserve">Fiscal space (share of GDP)</w:t>
            </w:r>
          </w:p>
        </w:tc>
        <w:tc>
          <w:tcPr/>
          <w:p>
            <w:pPr>
              <w:pStyle w:val="Compact"/>
              <w:jc w:val="left"/>
            </w:pPr>
            <w:r>
              <w:t xml:space="preserve">0.74%</w:t>
            </w:r>
          </w:p>
        </w:tc>
        <w:tc>
          <w:tcPr/>
          <w:p>
            <w:pPr>
              <w:pStyle w:val="Compact"/>
              <w:jc w:val="left"/>
            </w:pPr>
            <w:r>
              <w:t xml:space="preserve">0.75%</w:t>
            </w:r>
          </w:p>
        </w:tc>
        <w:tc>
          <w:tcPr/>
          <w:p>
            <w:pPr>
              <w:pStyle w:val="Compact"/>
              <w:jc w:val="left"/>
            </w:pPr>
            <w:r>
              <w:t xml:space="preserve">0.65%</w:t>
            </w:r>
          </w:p>
        </w:tc>
        <w:tc>
          <w:tcPr/>
          <w:p>
            <w:pPr>
              <w:pStyle w:val="Compact"/>
              <w:jc w:val="left"/>
            </w:pPr>
            <w:r>
              <w:t xml:space="preserve">0.57%</w:t>
            </w:r>
          </w:p>
        </w:tc>
      </w:tr>
      <w:tr>
        <w:tc>
          <w:tcPr/>
          <w:p>
            <w:pPr>
              <w:pStyle w:val="Compact"/>
              <w:jc w:val="left"/>
            </w:pPr>
            <w:r>
              <w:t xml:space="preserve">GDP effect (level)</w:t>
            </w:r>
          </w:p>
        </w:tc>
        <w:tc>
          <w:tcPr/>
          <w:p>
            <w:pPr>
              <w:pStyle w:val="Compact"/>
              <w:jc w:val="left"/>
            </w:pPr>
            <w:r>
              <w:t xml:space="preserve">0.00%</w:t>
            </w:r>
          </w:p>
        </w:tc>
        <w:tc>
          <w:tcPr/>
          <w:p>
            <w:pPr>
              <w:pStyle w:val="Compact"/>
              <w:jc w:val="left"/>
            </w:pPr>
            <w:r>
              <w:t xml:space="preserve">-0.02%</w:t>
            </w:r>
          </w:p>
        </w:tc>
        <w:tc>
          <w:tcPr/>
          <w:p>
            <w:pPr>
              <w:pStyle w:val="Compact"/>
              <w:jc w:val="left"/>
            </w:pPr>
            <w:r>
              <w:t xml:space="preserve">0.17%</w:t>
            </w:r>
          </w:p>
        </w:tc>
        <w:tc>
          <w:tcPr/>
          <w:p>
            <w:pPr>
              <w:pStyle w:val="Compact"/>
              <w:jc w:val="left"/>
            </w:pPr>
            <w:r>
              <w:t xml:space="preserve">0.39%</w:t>
            </w:r>
          </w:p>
        </w:tc>
      </w:tr>
    </w:tbl>
    <w:p>
      <w:pPr>
        <w:pStyle w:val="BodyText"/>
      </w:pPr>
      <w:r>
        <w:t xml:space="preserve">Fiscal space jumps to about 0.75% of GDP when the policies start (v4.15: total revenue; v4.14, new-policy revenue only: 0.55% in 2030). The revenue first lowers GDP: the excise multiplier peaks two years after the impulse. From the early 2030s public investment and transfers outweigh it, and GDP ends about 0.4% above the baseline. The effect raises fuel use a little through the income elasticities.</w:t>
      </w:r>
    </w:p>
    <w:bookmarkEnd w:id="116"/>
    <w:bookmarkStart w:id="117" w:name="Xcb9e626649d2bf4f450d6439d9477ee1bb11088"/>
    <w:p>
      <w:pPr>
        <w:pStyle w:val="Heading3"/>
      </w:pPr>
      <w:r>
        <w:t xml:space="preserve">4. Choices and differences with legacy (sheet LegacyDiff)</w:t>
      </w:r>
    </w:p>
    <w:p>
      <w:pPr>
        <w:numPr>
          <w:ilvl w:val="0"/>
          <w:numId w:val="1066"/>
        </w:numPr>
        <w:pStyle w:val="Compact"/>
      </w:pPr>
      <w:r>
        <w:rPr>
          <w:bCs/>
          <w:b/>
        </w:rPr>
        <w:t xml:space="preserve">L24 fixed</w:t>
      </w:r>
      <w:r>
        <w:t xml:space="preserve">: the effect raises the GDP level, not the growth rate every year.</w:t>
      </w:r>
    </w:p>
    <w:p>
      <w:pPr>
        <w:numPr>
          <w:ilvl w:val="0"/>
          <w:numId w:val="1066"/>
        </w:numPr>
        <w:pStyle w:val="Compact"/>
      </w:pPr>
      <w:r>
        <w:rPr>
          <w:bCs/>
          <w:b/>
        </w:rPr>
        <w:t xml:space="preserve">Revenue</w:t>
      </w:r>
      <w:r>
        <w:t xml:space="preserve"> </w:t>
      </w:r>
      <w:r>
        <w:t xml:space="preserve">(v4.15): total revenue, as legacy (the v3.1 reading</w:t>
      </w:r>
      <w:r>
        <w:t xml:space="preserve"> </w:t>
      </w:r>
      <w:r>
        <w:t xml:space="preserve">“</w:t>
      </w:r>
      <w:r>
        <w:t xml:space="preserve">new-policy revenue only</w:t>
      </w:r>
      <w:r>
        <w:t xml:space="preserve">”</w:t>
      </w:r>
      <w:r>
        <w:t xml:space="preserve"> </w:t>
      </w:r>
      <w:r>
        <w:t xml:space="preserve">misread legacy’s code rev.new.usd, which is the total). v6.2: the methane fee revenue is included as legacy, on the stored scenario-1 activity of downstream gas and biomass use (</w:t>
      </w:r>
      <w:r>
        <w:rPr>
          <w:rStyle w:val="VerbatimChar"/>
        </w:rPr>
        <w:t xml:space="preserve">ch4.revf</w:t>
      </w:r>
      <w:r>
        <w:t xml:space="preserve">, issue I47: no vulnerability to circular references; none for Egypt). v4.16: fis.rev adds its parts (rnet + rnew + rsr + rpsu); the v4.15 form rtot - rmf still referenced the methane fee and LibreOffice reported a circular reference (Err:522) on a full recalculation (found by the paste test’s batch emulation).</w:t>
      </w:r>
    </w:p>
    <w:p>
      <w:pPr>
        <w:numPr>
          <w:ilvl w:val="0"/>
          <w:numId w:val="1066"/>
        </w:numPr>
        <w:pStyle w:val="Compact"/>
      </w:pPr>
      <w:r>
        <w:rPr>
          <w:bCs/>
          <w:b/>
        </w:rPr>
        <w:t xml:space="preserve">Impulse and start year</w:t>
      </w:r>
      <w:r>
        <w:t xml:space="preserve"> </w:t>
      </w:r>
      <w:r>
        <w:t xml:space="preserve">(v4.15): as legacy (I41, I42). Not replicated: legacy sets the revenue-use shares to 0 before CPIntro, so earlier impulses count only as an excise drag (I43, tiny for Egypt).</w:t>
      </w:r>
    </w:p>
    <w:p>
      <w:pPr>
        <w:numPr>
          <w:ilvl w:val="0"/>
          <w:numId w:val="1066"/>
        </w:numPr>
        <w:pStyle w:val="Compact"/>
      </w:pPr>
      <w:r>
        <w:rPr>
          <w:bCs/>
          <w:b/>
        </w:rPr>
        <w:t xml:space="preserve">Legacy bugs fixed</w:t>
      </w:r>
      <w:r>
        <w:t xml:space="preserve">: L68 (lag 1 in the impulse year), L69 (first cohort’s excise drag lost), L76 (Estimated multipliers).</w:t>
      </w:r>
    </w:p>
    <w:p>
      <w:pPr>
        <w:numPr>
          <w:ilvl w:val="0"/>
          <w:numId w:val="1066"/>
        </w:numPr>
        <w:pStyle w:val="Compact"/>
      </w:pPr>
      <w:r>
        <w:rPr>
          <w:bCs/>
          <w:b/>
        </w:rPr>
        <w:t xml:space="preserve">Scenario-1 lookups stop at the current year</w:t>
      </w:r>
      <w:r>
        <w:t xml:space="preserve">, which avoids a circular reference with the GDP feedback. Values are unchanged.</w:t>
      </w:r>
    </w:p>
    <w:p>
      <w:pPr>
        <w:numPr>
          <w:ilvl w:val="0"/>
          <w:numId w:val="1066"/>
        </w:numPr>
        <w:pStyle w:val="Compact"/>
      </w:pPr>
      <w:r>
        <w:rPr>
          <w:bCs/>
          <w:b/>
        </w:rPr>
        <w:t xml:space="preserve">Legacy benchmark</w:t>
      </w:r>
      <w:r>
        <w:t xml:space="preserve">: the NoPropData file strips the baseline GDP-effect rows to 0, but the policy rows 14584-14607 hold the cached values of its carbon-tax run (GDP effect 2030 -0.07%, 2035 +0.34%, 2040 +1.22%; its carbon price rises to about 175 $/t in 2041, so it is not the MVP scenario). The check compares the workbook with an independent Python recomputation that iterates the whole model on the growth path until it converges (growth depends only on earlier years).</w:t>
      </w:r>
    </w:p>
    <w:bookmarkEnd w:id="117"/>
    <w:bookmarkStart w:id="118" w:name="Xbeb510be05f5f6a1de9f6420c55e6669a3f447f"/>
    <w:p>
      <w:pPr>
        <w:pStyle w:val="Heading3"/>
      </w:pPr>
      <w:r>
        <w:t xml:space="preserve">5. Memo rows (v5.7; legacy F4 rows 16163-16201)</w:t>
      </w:r>
    </w:p>
    <w:p>
      <w:pPr>
        <w:numPr>
          <w:ilvl w:val="0"/>
          <w:numId w:val="1067"/>
        </w:numPr>
        <w:pStyle w:val="Compact"/>
      </w:pPr>
      <w:r>
        <w:t xml:space="preserve">gdpg.</w:t>
      </w:r>
      <w:r>
        <w:t xml:space="preserve">: contribution of each revenue use to real GDP growth: (1 + baseline growth) x (fis.eff(t-1) - fis.eff(t-2))</w:t>
      </w:r>
      <w:r>
        <w:t xml:space="preserve"> </w:t>
      </w:r>
      <w:r>
        <w:t xml:space="preserve">/ gdp.lvl(t-1) when GDPEndogenous = Yes; gdpg.all, from gdp.eff, equals gdp.pos.pct - gdp.base (the channels sum to</w:t>
      </w:r>
      <w:r>
        <w:t xml:space="preserve"> </w:t>
      </w:r>
      <w:r>
        <w:t xml:space="preserve">it). Legacy rows 16166-16175 add the effects to growth every year (L24), so its channel values are not comparable.</w:t>
      </w:r>
    </w:p>
    <w:p>
      <w:pPr>
        <w:numPr>
          <w:ilvl w:val="0"/>
          <w:numId w:val="1067"/>
        </w:numPr>
        <w:pStyle w:val="Compact"/>
      </w:pPr>
      <w:r>
        <w:t xml:space="preserve">gdpy: year of the reform, N = year - GDPStartYear + 1; the growth effect of reform year N (legacy rows 16183-16194)</w:t>
      </w:r>
      <w:r>
        <w:t xml:space="preserve"> </w:t>
      </w:r>
      <w:r>
        <w:t xml:space="preserve">is gdpg.all in the column where gdpy = N. (v6.0: a row shifted to later columns read forward through the GDP chain</w:t>
      </w:r>
      <w:r>
        <w:t xml:space="preserve"> </w:t>
      </w:r>
      <w:r>
        <w:t xml:space="preserve">and made a circular reference.)</w:t>
      </w:r>
    </w:p>
    <w:p>
      <w:pPr>
        <w:numPr>
          <w:ilvl w:val="0"/>
          <w:numId w:val="1067"/>
        </w:numPr>
        <w:pStyle w:val="Compact"/>
      </w:pPr>
      <w:r>
        <w:t xml:space="preserve">gdp.chg.usd: real GDP after the feedback - baseline real GDP (legacy rows 16199-16201).</w:t>
      </w:r>
    </w:p>
    <w:bookmarkEnd w:id="118"/>
    <w:bookmarkEnd w:id="119"/>
    <w:bookmarkStart w:id="123" w:name="method-calibration-of-energy-co2"/>
    <w:p>
      <w:pPr>
        <w:pStyle w:val="Heading1"/>
      </w:pPr>
      <w:r>
        <w:t xml:space="preserve">Method: calibration of energy CO2</w:t>
      </w:r>
    </w:p>
    <w:p>
      <w:pPr>
        <w:pStyle w:val="FirstParagraph"/>
      </w:pPr>
      <w:r>
        <w:rPr>
          <w:iCs/>
          <w:i/>
        </w:rPr>
        <w:t xml:space="preserve">Source:</w:t>
      </w:r>
      <w:r>
        <w:rPr>
          <w:iCs/>
          <w:i/>
        </w:rPr>
        <w:t xml:space="preserve"> </w:t>
      </w:r>
      <w:r>
        <w:rPr>
          <w:rStyle w:val="VerbatimChar"/>
          <w:iCs/>
          <w:i/>
        </w:rPr>
        <w:t xml:space="preserve">CO2Calibration_Method_v7_0.md</w:t>
      </w:r>
      <w:r>
        <w:rPr>
          <w:iCs/>
          <w:i/>
        </w:rPr>
        <w:t xml:space="preserve">.</w:t>
      </w:r>
    </w:p>
    <w:p>
      <w:pPr>
        <w:pStyle w:val="BodyText"/>
      </w:pPr>
      <w:r>
        <w:t xml:space="preserve">Equations:</w:t>
      </w:r>
      <w:r>
        <w:t xml:space="preserve"> </w:t>
      </w:r>
      <w:r>
        <w:rPr>
          <w:rStyle w:val="VerbatimChar"/>
        </w:rPr>
        <w:t xml:space="preserve">Equations_v7_0.md</w:t>
      </w:r>
      <w:r>
        <w:t xml:space="preserve">; workbook formulas:</w:t>
      </w:r>
      <w:r>
        <w:t xml:space="preserve"> </w:t>
      </w:r>
      <w:r>
        <w:rPr>
          <w:rStyle w:val="VerbatimChar"/>
        </w:rPr>
        <w:t xml:space="preserve">Formulas_v7_0.md</w:t>
      </w:r>
      <w:r>
        <w:t xml:space="preserve">. Decision and numbers:</w:t>
      </w:r>
      <w:r>
        <w:t xml:space="preserve"> </w:t>
      </w:r>
      <w:r>
        <w:rPr>
          <w:rStyle w:val="VerbatimChar"/>
        </w:rPr>
        <w:t xml:space="preserve">Old/Calibration_Plan_v3_6.md</w:t>
      </w:r>
      <w:r>
        <w:t xml:space="preserve">.</w:t>
      </w:r>
    </w:p>
    <w:bookmarkStart w:id="120" w:name="method-2"/>
    <w:p>
      <w:pPr>
        <w:pStyle w:val="Heading3"/>
      </w:pPr>
      <w:r>
        <w:t xml:space="preserve">1. Method</w:t>
      </w:r>
    </w:p>
    <w:p>
      <w:pPr>
        <w:pStyle w:val="FirstParagraph"/>
      </w:pPr>
      <w:r>
        <w:t xml:space="preserve">Every CO2 emission factor (EF), by subsector and fuel and by generation type, is multiplied by one factor,</w:t>
      </w:r>
      <w:r>
        <w:t xml:space="preserve"> </w:t>
      </w:r>
      <w:r>
        <w:rPr>
          <w:rStyle w:val="VerbatimChar"/>
        </w:rPr>
        <w:t xml:space="preserve">EFCalib</w:t>
      </w:r>
      <w:r>
        <w:t xml:space="preserve">.</w:t>
      </w:r>
      <w:r>
        <w:t xml:space="preserve"> </w:t>
      </w:r>
      <w:r>
        <w:rPr>
          <w:bCs/>
          <w:b/>
        </w:rPr>
        <w:t xml:space="preserve">Since v4.11 this is legacy’s rule (user decision 2026-10-18: go with legacy; issue I32 replicated)</w:t>
      </w:r>
      <w:r>
        <w:t xml:space="preserve">: legacy Mitigation rows 623, 839 and 976-977.</w:t>
      </w:r>
    </w:p>
    <w:p>
      <w:pPr>
        <w:pStyle w:val="BodyText"/>
      </w:pPr>
      <w:r>
        <w:rPr>
          <w:rStyle w:val="VerbatimChar"/>
        </w:rPr>
        <w:t xml:space="preserve">EFCalib</w:t>
      </w:r>
      <w:r>
        <w:t xml:space="preserve"> </w:t>
      </w:r>
      <w:r>
        <w:t xml:space="preserve">= inventory energy CO2 of the year before the base year / scenario-1 energy CO2 of the base year with uncalibrated EFs (the base-year energy balance x the EFs); 1 if the switch is off.</w:t>
      </w:r>
      <w:r>
        <w:t xml:space="preserve"> </w:t>
      </w:r>
      <w:r>
        <w:rPr>
          <w:bCs/>
          <w:b/>
        </w:rPr>
        <w:t xml:space="preserve">The switch is Settings C27, Yes by default</w:t>
      </w:r>
      <w:r>
        <w:t xml:space="preserve">, as legacy (EFsAdjustmentAnnexI and EFsAdjustmentNonAnnexI are both Yes*). With the shipped data (Egypt): 2021 inventory 211.05 Mt against the 2022 estimate 226.97 Mt,</w:t>
      </w:r>
      <w:r>
        <w:t xml:space="preserve"> </w:t>
      </w:r>
      <w:r>
        <w:rPr>
          <w:bCs/>
          <w:b/>
        </w:rPr>
        <w:t xml:space="preserve">EFCalib = 0.930</w:t>
      </w:r>
      <w:r>
        <w:t xml:space="preserve"> </w:t>
      </w:r>
      <w:r>
        <w:t xml:space="preserve">(legacy: 0.930).</w:t>
      </w:r>
    </w:p>
    <w:p>
      <w:pPr>
        <w:pStyle w:val="BodyText"/>
      </w:pPr>
      <w:r>
        <w:t xml:space="preserve">The uncalibrated scenario-1 CO2 is data written by the build, like the ETS baseline: a live formula would be circular (EFs feed carbon prices, which feed fuel use). Scenario-1 fuel use does not depend on the EFs in value (no new carbon price; existing carbon pricing changes only after the historical years), so the calibrated baseline is the uncalibrated one times the factor. The rows are keyed by country (</w:t>
      </w:r>
      <w:r>
        <w:rPr>
          <w:rStyle w:val="VerbatimChar"/>
        </w:rPr>
        <w:t xml:space="preserve">EGY|raw</w:t>
      </w:r>
      <w:r>
        <w:t xml:space="preserve">,</w:t>
      </w:r>
      <w:r>
        <w:t xml:space="preserve"> </w:t>
      </w:r>
      <w:r>
        <w:rPr>
          <w:rStyle w:val="VerbatimChar"/>
        </w:rPr>
        <w:t xml:space="preserve">EGY|pow</w:t>
      </w:r>
      <w:r>
        <w:t xml:space="preserve">, …), so another country finds no rows (#N/A) rather than Egypt’s: rebuild with its code (about 2 minutes since v4.9), or paste its scenario-1 values under its key.</w:t>
      </w:r>
    </w:p>
    <w:p>
      <w:pPr>
        <w:pStyle w:val="BodyText"/>
      </w:pPr>
      <w:r>
        <w:t xml:space="preserve">Everything downstream follows: CO2 by subsector, fuel and power type; carbon tax, ETS cost and existing carbon pricing per unit of fuel and their revenue; the ETS baseline; energy CO2 in the GHG totals. Scenario-1 fuel use and prices do not change. In policy scenarios, carbon prices per unit of fuel are 7% lower for Egypt, so fuel use, revenue and the GDP effect change.</w:t>
      </w:r>
    </w:p>
    <w:bookmarkEnd w:id="120"/>
    <w:bookmarkStart w:id="121" w:name="Xaaef4dd214a935361c3a65b5bf5e428af3a74e3"/>
    <w:p>
      <w:pPr>
        <w:pStyle w:val="Heading3"/>
      </w:pPr>
      <w:r>
        <w:t xml:space="preserve">2. Results for Egypt (scenario 1, energy CO2, Mt; v4.11)</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Year</w:t>
            </w:r>
          </w:p>
        </w:tc>
        <w:tc>
          <w:tcPr/>
          <w:p>
            <w:pPr>
              <w:pStyle w:val="Compact"/>
              <w:jc w:val="left"/>
            </w:pPr>
            <w:r>
              <w:t xml:space="preserve">Inventory</w:t>
            </w:r>
          </w:p>
        </w:tc>
        <w:tc>
          <w:tcPr/>
          <w:p>
            <w:pPr>
              <w:pStyle w:val="Compact"/>
              <w:jc w:val="left"/>
            </w:pPr>
            <w:r>
              <w:t xml:space="preserve">Uncalibrated</w:t>
            </w:r>
          </w:p>
        </w:tc>
        <w:tc>
          <w:tcPr/>
          <w:p>
            <w:pPr>
              <w:pStyle w:val="Compact"/>
              <w:jc w:val="left"/>
            </w:pPr>
            <w:r>
              <w:t xml:space="preserve">Calibrated (x 0.930)</w:t>
            </w:r>
          </w:p>
        </w:tc>
      </w:tr>
      <w:tr>
        <w:tc>
          <w:tcPr/>
          <w:p>
            <w:pPr>
              <w:pStyle w:val="Compact"/>
              <w:jc w:val="left"/>
            </w:pPr>
            <w:r>
              <w:t xml:space="preserve">2022</w:t>
            </w:r>
          </w:p>
        </w:tc>
        <w:tc>
          <w:tcPr/>
          <w:p>
            <w:pPr>
              <w:pStyle w:val="Compact"/>
              <w:jc w:val="left"/>
            </w:pPr>
            <w:r>
              <w:t xml:space="preserve">252.2</w:t>
            </w:r>
          </w:p>
        </w:tc>
        <w:tc>
          <w:tcPr/>
          <w:p>
            <w:pPr>
              <w:pStyle w:val="Compact"/>
              <w:jc w:val="left"/>
            </w:pPr>
            <w:r>
              <w:t xml:space="preserve">227.0</w:t>
            </w:r>
          </w:p>
        </w:tc>
        <w:tc>
          <w:tcPr/>
          <w:p>
            <w:pPr>
              <w:pStyle w:val="Compact"/>
              <w:jc w:val="left"/>
            </w:pPr>
            <w:r>
              <w:t xml:space="preserve">211.1</w:t>
            </w:r>
          </w:p>
        </w:tc>
      </w:tr>
      <w:tr>
        <w:tc>
          <w:tcPr/>
          <w:p>
            <w:pPr>
              <w:pStyle w:val="Compact"/>
              <w:jc w:val="left"/>
            </w:pPr>
            <w:r>
              <w:t xml:space="preserve">2023</w:t>
            </w:r>
          </w:p>
        </w:tc>
        <w:tc>
          <w:tcPr/>
          <w:p>
            <w:pPr>
              <w:pStyle w:val="Compact"/>
              <w:jc w:val="left"/>
            </w:pPr>
            <w:r>
              <w:t xml:space="preserve">267.4</w:t>
            </w:r>
          </w:p>
        </w:tc>
        <w:tc>
          <w:tcPr/>
          <w:p>
            <w:pPr>
              <w:pStyle w:val="Compact"/>
              <w:jc w:val="left"/>
            </w:pPr>
            <w:r>
              <w:t xml:space="preserve">196.7</w:t>
            </w:r>
          </w:p>
        </w:tc>
        <w:tc>
          <w:tcPr/>
          <w:p>
            <w:pPr>
              <w:pStyle w:val="Compact"/>
              <w:jc w:val="left"/>
            </w:pPr>
            <w:r>
              <w:t xml:space="preserve">182.9</w:t>
            </w:r>
          </w:p>
        </w:tc>
      </w:tr>
      <w:tr>
        <w:tc>
          <w:tcPr/>
          <w:p>
            <w:pPr>
              <w:pStyle w:val="Compact"/>
              <w:jc w:val="left"/>
            </w:pPr>
            <w:r>
              <w:t xml:space="preserve">2024</w:t>
            </w:r>
          </w:p>
        </w:tc>
        <w:tc>
          <w:tcPr/>
          <w:p>
            <w:pPr>
              <w:pStyle w:val="Compact"/>
              <w:jc w:val="left"/>
            </w:pPr>
            <w:r>
              <w:t xml:space="preserve">285.3</w:t>
            </w:r>
          </w:p>
        </w:tc>
        <w:tc>
          <w:tcPr/>
          <w:p>
            <w:pPr>
              <w:pStyle w:val="Compact"/>
              <w:jc w:val="left"/>
            </w:pPr>
            <w:r>
              <w:t xml:space="preserve">218.9</w:t>
            </w:r>
          </w:p>
        </w:tc>
        <w:tc>
          <w:tcPr/>
          <w:p>
            <w:pPr>
              <w:pStyle w:val="Compact"/>
              <w:jc w:val="left"/>
            </w:pPr>
            <w:r>
              <w:t xml:space="preserve">203.5</w:t>
            </w:r>
          </w:p>
        </w:tc>
      </w:tr>
    </w:tbl>
    <w:p>
      <w:pPr>
        <w:pStyle w:val="BodyText"/>
      </w:pPr>
      <w:r>
        <w:t xml:space="preserve">The calibrated base year equals the 2021 inventory (211.1), as legacy. Egypt’s inventory jumps 19% from 2021 to 2022 (register I17), and legacy’s rule carries that break into every year: calibrated CO2 is 16-29% below the 2022-2024 inventory. The 2023 dip is the fuel-use shock of legacy row 483 (I22, replicated).</w:t>
      </w:r>
    </w:p>
    <w:bookmarkEnd w:id="121"/>
    <w:bookmarkStart w:id="122" w:name="differences-with-legacy-sheet-legacydiff"/>
    <w:p>
      <w:pPr>
        <w:pStyle w:val="Heading3"/>
      </w:pPr>
      <w:r>
        <w:t xml:space="preserve">3. Differences with legacy (sheet LegacyDiff)</w:t>
      </w:r>
    </w:p>
    <w:p>
      <w:pPr>
        <w:numPr>
          <w:ilvl w:val="0"/>
          <w:numId w:val="1068"/>
        </w:numPr>
        <w:pStyle w:val="Compact"/>
      </w:pPr>
      <w:r>
        <w:rPr>
          <w:bCs/>
          <w:b/>
        </w:rPr>
        <w:t xml:space="preserve">Year and switch</w:t>
      </w:r>
      <w:r>
        <w:t xml:space="preserve">: as legacy since v4.11 (before: the last inventory year GHGYear and the switch off, user decisions v3.2 and v3.4).</w:t>
      </w:r>
    </w:p>
    <w:p>
      <w:pPr>
        <w:numPr>
          <w:ilvl w:val="0"/>
          <w:numId w:val="1068"/>
        </w:numPr>
        <w:pStyle w:val="Compact"/>
      </w:pPr>
      <w:r>
        <w:rPr>
          <w:bCs/>
          <w:b/>
        </w:rPr>
        <w:t xml:space="preserve">Switch</w:t>
      </w:r>
      <w:r>
        <w:t xml:space="preserve">: legacy reads one switch for Annex I countries (ScenarioDefinition row 237) and another for the others, both Yes*; the MVP has one switch on Settings (C27), Yes.</w:t>
      </w:r>
    </w:p>
    <w:p>
      <w:pPr>
        <w:numPr>
          <w:ilvl w:val="0"/>
          <w:numId w:val="1068"/>
        </w:numPr>
        <w:pStyle w:val="Compact"/>
      </w:pPr>
      <w:r>
        <w:rPr>
          <w:bCs/>
          <w:b/>
        </w:rPr>
        <w:t xml:space="preserve">Scope</w:t>
      </w:r>
      <w:r>
        <w:t xml:space="preserve">: inventory energy CO2 includes fugitive CO2 (7.1 Mt in 2024), which the model does not compute separately. The factor absorbs it, as in legacy.</w:t>
      </w:r>
    </w:p>
    <w:bookmarkEnd w:id="122"/>
    <w:bookmarkEnd w:id="123"/>
    <w:bookmarkStart w:id="133" w:name="method-results-sections-memos-11b-17-18"/>
    <w:p>
      <w:pPr>
        <w:pStyle w:val="Heading1"/>
      </w:pPr>
      <w:r>
        <w:t xml:space="preserve">Method: results sections (memos, 11b-17, 18)</w:t>
      </w:r>
    </w:p>
    <w:p>
      <w:pPr>
        <w:pStyle w:val="FirstParagraph"/>
      </w:pPr>
      <w:r>
        <w:rPr>
          <w:iCs/>
          <w:i/>
        </w:rPr>
        <w:t xml:space="preserve">Source:</w:t>
      </w:r>
      <w:r>
        <w:rPr>
          <w:iCs/>
          <w:i/>
        </w:rPr>
        <w:t xml:space="preserve"> </w:t>
      </w:r>
      <w:r>
        <w:rPr>
          <w:rStyle w:val="VerbatimChar"/>
          <w:iCs/>
          <w:i/>
        </w:rPr>
        <w:t xml:space="preserve">ResultsSections_Method_v7_0.md</w:t>
      </w:r>
      <w:r>
        <w:rPr>
          <w:iCs/>
          <w:i/>
        </w:rPr>
        <w:t xml:space="preserve">.</w:t>
      </w:r>
    </w:p>
    <w:p>
      <w:pPr>
        <w:pStyle w:val="BodyText"/>
      </w:pPr>
      <w:r>
        <w:t xml:space="preserve">This note covers the results that came over from legacy’s post-processing (blocks E, F and G) into the scenario sections. The rules are in</w:t>
      </w:r>
      <w:r>
        <w:t xml:space="preserve"> </w:t>
      </w:r>
      <w:r>
        <w:rPr>
          <w:rStyle w:val="VerbatimChar"/>
        </w:rPr>
        <w:t xml:space="preserve">../NORMS.md</w:t>
      </w:r>
      <w:r>
        <w:t xml:space="preserve"> </w:t>
      </w:r>
      <w:r>
        <w:t xml:space="preserve">3c and the plan in</w:t>
      </w:r>
      <w:r>
        <w:t xml:space="preserve"> </w:t>
      </w:r>
      <w:r>
        <w:rPr>
          <w:rStyle w:val="VerbatimChar"/>
        </w:rPr>
        <w:t xml:space="preserve">Old/Plan_v3_9_to_v3_17.md</w:t>
      </w:r>
      <w:r>
        <w:t xml:space="preserve">. Each later version adds its sub-block here. Every row is recomputed in Python by</w:t>
      </w:r>
      <w:r>
        <w:t xml:space="preserve"> </w:t>
      </w:r>
      <w:r>
        <w:rPr>
          <w:rStyle w:val="VerbatimChar"/>
        </w:rPr>
        <w:t xml:space="preserve">check_v7_0.py</w:t>
      </w:r>
      <w:r>
        <w:t xml:space="preserve"> </w:t>
      </w:r>
      <w:r>
        <w:t xml:space="preserve">(</w:t>
      </w:r>
      <w:r>
        <w:rPr>
          <w:rStyle w:val="VerbatimChar"/>
        </w:rPr>
        <w:t xml:space="preserve">check_results_memos</w:t>
      </w:r>
      <w:r>
        <w:t xml:space="preserve">) in every scenario group.</w:t>
      </w:r>
    </w:p>
    <w:bookmarkStart w:id="124" w:name="layout-summary-rows"/>
    <w:p>
      <w:pPr>
        <w:pStyle w:val="Heading3"/>
      </w:pPr>
      <w:r>
        <w:t xml:space="preserve">0. Layout: summary rows</w:t>
      </w:r>
    </w:p>
    <w:p>
      <w:pPr>
        <w:pStyle w:val="FirstParagraph"/>
      </w:pPr>
      <w:r>
        <w:t xml:space="preserve">Every section ends with its summary row, the only row shown when the sheet opens rolled up; the sub-blocks below (11b, 12d, 13b, 14b, 16b) sit inside their section, before its notes and summary. Energy use (11), revenue (12), CO2 (13) and GHGs (14) have a second summary row: the change against scenario 1 (</w:t>
      </w:r>
      <w:r>
        <w:rPr>
          <w:rStyle w:val="VerbatimChar"/>
        </w:rPr>
        <w:t xml:space="preserve">echg.all</w:t>
      </w:r>
      <w:r>
        <w:t xml:space="preserve">,</w:t>
      </w:r>
      <w:r>
        <w:t xml:space="preserve"> </w:t>
      </w:r>
      <w:r>
        <w:rPr>
          <w:rStyle w:val="VerbatimChar"/>
        </w:rPr>
        <w:t xml:space="preserve">rtot.chg</w:t>
      </w:r>
      <w:r>
        <w:t xml:space="preserve">,</w:t>
      </w:r>
      <w:r>
        <w:t xml:space="preserve"> </w:t>
      </w:r>
      <w:r>
        <w:rPr>
          <w:rStyle w:val="VerbatimChar"/>
        </w:rPr>
        <w:t xml:space="preserve">co2.chg</w:t>
      </w:r>
      <w:r>
        <w:t xml:space="preserve">,</w:t>
      </w:r>
      <w:r>
        <w:t xml:space="preserve"> </w:t>
      </w:r>
      <w:r>
        <w:rPr>
          <w:rStyle w:val="VerbatimChar"/>
        </w:rPr>
        <w:t xml:space="preserve">ghg.chg</w:t>
      </w:r>
      <w:r>
        <w:t xml:space="preserve">). Section 2 ends with</w:t>
      </w:r>
      <w:r>
        <w:t xml:space="preserve"> </w:t>
      </w:r>
      <w:r>
        <w:rPr>
          <w:rStyle w:val="VerbatimChar"/>
        </w:rPr>
        <w:t xml:space="preserve">rpe</w:t>
      </w:r>
      <w:r>
        <w:t xml:space="preserve"> </w:t>
      </w:r>
      <w:r>
        <w:t xml:space="preserve">(average retail energy price, all energy, =</w:t>
      </w:r>
      <w:r>
        <w:t xml:space="preserve"> </w:t>
      </w:r>
      <w:r>
        <w:rPr>
          <w:rStyle w:val="VerbatimChar"/>
        </w:rPr>
        <w:t xml:space="preserve">pav.uv</w:t>
      </w:r>
      <w:r>
        <w:t xml:space="preserve"> </w:t>
      </w:r>
      <w:r>
        <w:t xml:space="preserve">of all energy), section 17 with the effective carbon rate</w:t>
      </w:r>
      <w:r>
        <w:t xml:space="preserve"> </w:t>
      </w:r>
      <w:r>
        <w:rPr>
          <w:rStyle w:val="VerbatimChar"/>
        </w:rPr>
        <w:t xml:space="preserve">ecr</w:t>
      </w:r>
      <w:r>
        <w:t xml:space="preserve">, section 18 with the national welfare gain</w:t>
      </w:r>
      <w:r>
        <w:t xml:space="preserve"> </w:t>
      </w:r>
      <w:r>
        <w:rPr>
          <w:rStyle w:val="VerbatimChar"/>
        </w:rPr>
        <w:t xml:space="preserve">wel.usd</w:t>
      </w:r>
      <w:r>
        <w:t xml:space="preserve">.</w:t>
      </w:r>
    </w:p>
    <w:bookmarkEnd w:id="124"/>
    <w:bookmarkStart w:id="125" w:name="header-rows-section-0"/>
    <w:p>
      <w:pPr>
        <w:pStyle w:val="Heading3"/>
      </w:pPr>
      <w:r>
        <w:t xml:space="preserve">1. Header rows (section 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Row</w:t>
            </w:r>
          </w:p>
        </w:tc>
        <w:tc>
          <w:tcPr/>
          <w:p>
            <w:pPr>
              <w:pStyle w:val="Compact"/>
              <w:jc w:val="left"/>
            </w:pPr>
            <w:r>
              <w:t xml:space="preserve">Code</w:t>
            </w:r>
          </w:p>
        </w:tc>
        <w:tc>
          <w:tcPr/>
          <w:p>
            <w:pPr>
              <w:pStyle w:val="Compact"/>
              <w:jc w:val="left"/>
            </w:pPr>
            <w:r>
              <w:t xml:space="preserve">Content</w:t>
            </w:r>
          </w:p>
        </w:tc>
        <w:tc>
          <w:tcPr/>
          <w:p>
            <w:pPr>
              <w:pStyle w:val="Compact"/>
              <w:jc w:val="left"/>
            </w:pPr>
            <w:r>
              <w:t xml:space="preserve">Source</w:t>
            </w:r>
          </w:p>
        </w:tc>
      </w:tr>
      <w:tr>
        <w:tc>
          <w:tcPr/>
          <w:p>
            <w:pPr>
              <w:pStyle w:val="Compact"/>
              <w:jc w:val="left"/>
            </w:pPr>
            <w:r>
              <w:t xml:space="preserve">11</w:t>
            </w:r>
          </w:p>
        </w:tc>
        <w:tc>
          <w:tcPr/>
          <w:p>
            <w:pPr>
              <w:pStyle w:val="Compact"/>
              <w:jc w:val="left"/>
            </w:pPr>
            <w:r>
              <w:rPr>
                <w:rStyle w:val="VerbatimChar"/>
              </w:rPr>
              <w:t xml:space="preserve">gdp.usd</w:t>
            </w:r>
          </w:p>
        </w:tc>
        <w:tc>
          <w:tcPr/>
          <w:p>
            <w:pPr>
              <w:pStyle w:val="Compact"/>
              <w:jc w:val="left"/>
            </w:pPr>
            <w:r>
              <w:t xml:space="preserve">Real GDP, baseline, USD bn (moved up from section 16; the code is unchanged)</w:t>
            </w:r>
          </w:p>
        </w:tc>
        <w:tc>
          <w:tcPr/>
          <w:p>
            <w:pPr>
              <w:pStyle w:val="Compact"/>
              <w:jc w:val="left"/>
            </w:pPr>
            <w:r>
              <w:t xml:space="preserve">Sheet WEO, legacy Mitigation row 465</w:t>
            </w:r>
          </w:p>
        </w:tc>
      </w:tr>
      <w:tr>
        <w:tc>
          <w:tcPr/>
          <w:p>
            <w:pPr>
              <w:pStyle w:val="Compact"/>
              <w:jc w:val="left"/>
            </w:pPr>
            <w:r>
              <w:t xml:space="preserve">12</w:t>
            </w:r>
          </w:p>
        </w:tc>
        <w:tc>
          <w:tcPr/>
          <w:p>
            <w:pPr>
              <w:pStyle w:val="Compact"/>
              <w:jc w:val="left"/>
            </w:pPr>
            <w:r>
              <w:rPr>
                <w:rStyle w:val="VerbatimChar"/>
              </w:rPr>
              <w:t xml:space="preserve">gdp.lcu</w:t>
            </w:r>
          </w:p>
        </w:tc>
        <w:tc>
          <w:tcPr/>
          <w:p>
            <w:pPr>
              <w:pStyle w:val="Compact"/>
              <w:jc w:val="left"/>
            </w:pPr>
            <w:r>
              <w:t xml:space="preserve">Real GDP, baseline, local currency bn</w:t>
            </w:r>
          </w:p>
        </w:tc>
        <w:tc>
          <w:tcPr/>
          <w:p>
            <w:pPr>
              <w:pStyle w:val="Compact"/>
              <w:jc w:val="left"/>
            </w:pPr>
            <w:r>
              <w:t xml:space="preserve">Sheet WEO, legacy Mitigation row 464</w:t>
            </w:r>
          </w:p>
        </w:tc>
      </w:tr>
      <w:tr>
        <w:tc>
          <w:tcPr/>
          <w:p>
            <w:pPr>
              <w:pStyle w:val="Compact"/>
              <w:jc w:val="left"/>
            </w:pPr>
            <w:r>
              <w:t xml:space="preserve">13</w:t>
            </w:r>
          </w:p>
        </w:tc>
        <w:tc>
          <w:tcPr/>
          <w:p>
            <w:pPr>
              <w:pStyle w:val="Compact"/>
              <w:jc w:val="left"/>
            </w:pPr>
            <w:r>
              <w:rPr>
                <w:rStyle w:val="VerbatimChar"/>
              </w:rPr>
              <w:t xml:space="preserve">xr</w:t>
            </w:r>
          </w:p>
        </w:tc>
        <w:tc>
          <w:tcPr/>
          <w:p>
            <w:pPr>
              <w:pStyle w:val="Compact"/>
              <w:jc w:val="left"/>
            </w:pPr>
            <w:r>
              <w:t xml:space="preserve">Exchange rate implied by real GDP: local currency per USD (</w:t>
            </w:r>
            <w:r>
              <w:rPr>
                <w:rStyle w:val="VerbatimChar"/>
              </w:rPr>
              <w:t xml:space="preserve">gdp.lcu / gdp.usd</w:t>
            </w:r>
            <w:r>
              <w:t xml:space="preserve">)</w:t>
            </w:r>
          </w:p>
        </w:tc>
        <w:tc>
          <w:tcPr/>
          <w:p>
            <w:pPr>
              <w:pStyle w:val="Compact"/>
              <w:jc w:val="left"/>
            </w:pPr>
            <w:r>
              <w:t xml:space="preserve">Constant in real terms: 14.34 EGP per USD for Egypt</w:t>
            </w:r>
          </w:p>
        </w:tc>
      </w:tr>
    </w:tbl>
    <w:p>
      <w:pPr>
        <w:pStyle w:val="BodyText"/>
      </w:pPr>
      <w:r>
        <w:t xml:space="preserve">Row 14 is real GDP growth after the GDP feedback (</w:t>
      </w:r>
      <w:r>
        <w:rPr>
          <w:rStyle w:val="VerbatimChar"/>
        </w:rPr>
        <w:t xml:space="preserve">gdp.pos.pct</w:t>
      </w:r>
      <w:r>
        <w:t xml:space="preserve">), the summary row of section 0; rows 1-5 (years, title, band 0, scenario name, scenario number) are frozen. Every % of GDP row (12d, 16) uses</w:t>
      </w:r>
      <w:r>
        <w:t xml:space="preserve"> </w:t>
      </w:r>
      <w:r>
        <w:rPr>
          <w:rStyle w:val="VerbatimChar"/>
        </w:rPr>
        <w:t xml:space="preserve">gdp.usd</w:t>
      </w:r>
      <w:r>
        <w:t xml:space="preserve">. It is data, so not circular (Q24).</w:t>
      </w:r>
    </w:p>
    <w:p>
      <w:pPr>
        <w:pStyle w:val="BodyText"/>
      </w:pPr>
      <w:r>
        <w:rPr>
          <w:bCs/>
          <w:b/>
        </w:rPr>
        <w:t xml:space="preserve">Not built: nominal GDP (WEO</w:t>
      </w:r>
      <w:r>
        <w:rPr>
          <w:bCs/>
          <w:b/>
        </w:rPr>
        <w:t xml:space="preserve"> </w:t>
      </w:r>
      <w:r>
        <w:rPr>
          <w:rStyle w:val="VerbatimChar"/>
          <w:bCs/>
          <w:b/>
        </w:rPr>
        <w:t xml:space="preserve">NGDP</w:t>
      </w:r>
      <w:r>
        <w:rPr>
          <w:bCs/>
          <w:b/>
        </w:rPr>
        <w:t xml:space="preserve">,</w:t>
      </w:r>
      <w:r>
        <w:rPr>
          <w:bCs/>
          <w:b/>
        </w:rPr>
        <w:t xml:space="preserve"> </w:t>
      </w:r>
      <w:r>
        <w:rPr>
          <w:rStyle w:val="VerbatimChar"/>
          <w:bCs/>
          <w:b/>
        </w:rPr>
        <w:t xml:space="preserve">NGDPD</w:t>
      </w:r>
      <w:r>
        <w:rPr>
          <w:bCs/>
          <w:b/>
        </w:rPr>
        <w:t xml:space="preserve">).</w:t>
      </w:r>
      <w:r>
        <w:t xml:space="preserve"> </w:t>
      </w:r>
      <w:r>
        <w:t xml:space="preserve">The legacy file holds no nominal series: its rows 470-472 are empty in the NoPropData file. Nominal GDP waits until WEO data are added to the data step (TODO). This is a decision taken during the run, to confirm.</w:t>
      </w:r>
    </w:p>
    <w:bookmarkEnd w:id="125"/>
    <w:bookmarkStart w:id="126" w:name="X6169ebda8d527965e89bce87b8b493065c89cc4"/>
    <w:p>
      <w:pPr>
        <w:pStyle w:val="Heading3"/>
      </w:pPr>
      <w:r>
        <w:t xml:space="preserve">2. 12d Fiscal reports (v3.13; legacy section 16 info rows, F9)</w:t>
      </w:r>
    </w:p>
    <w:p>
      <w:pPr>
        <w:pStyle w:val="FirstParagraph"/>
      </w:pPr>
      <w:r>
        <w:rPr>
          <w:bCs/>
          <w:b/>
        </w:rPr>
        <w:t xml:space="preserve">Revenue by fuel, net of subsidies (USD m real).</w:t>
      </w:r>
      <w:r>
        <w:t xml:space="preserve"> </w:t>
      </w:r>
      <w:r>
        <w:t xml:space="preserve">Each fuel covers existing taxes, subsidies and new-policy revenue:</w:t>
      </w:r>
      <w:r>
        <w:t xml:space="preserve"> </w:t>
      </w:r>
      <w:r>
        <w:t xml:space="preserve">-</w:t>
      </w:r>
      <w:r>
        <w:t xml:space="preserve"> </w:t>
      </w:r>
      <w:r>
        <w:rPr>
          <w:rStyle w:val="VerbatimChar"/>
        </w:rPr>
        <w:t xml:space="preserve">rfu.&lt;fuel&gt;</w:t>
      </w:r>
      <w:r>
        <w:t xml:space="preserve">:</w:t>
      </w:r>
      <w:r>
        <w:t xml:space="preserve"> </w:t>
      </w:r>
      <w:r>
        <w:rPr>
          <w:rStyle w:val="VerbatimChar"/>
        </w:rPr>
        <w:t xml:space="preserve">rtx + rsub + rnew</w:t>
      </w:r>
      <w:r>
        <w:t xml:space="preserve"> </w:t>
      </w:r>
      <w:r>
        <w:t xml:space="preserve">of the fuel over all subsectors. The formula is</w:t>
      </w:r>
      <w:r>
        <w:t xml:space="preserve"> </w:t>
      </w:r>
      <w:r>
        <w:rPr>
          <w:rStyle w:val="VerbatimChar"/>
        </w:rPr>
        <w:t xml:space="preserve">SUMPRODUCT(SUMIFS(..., SecVar, {"rtx","rsub","rnew"}, SecFuel, fuel))</w:t>
      </w:r>
      <w:r>
        <w:t xml:space="preserve">.</w:t>
      </w:r>
      <w:r>
        <w:t xml:space="preserve"> </w:t>
      </w:r>
      <w:r>
        <w:t xml:space="preserve">-</w:t>
      </w:r>
      <w:r>
        <w:t xml:space="preserve"> </w:t>
      </w:r>
      <w:r>
        <w:rPr>
          <w:rStyle w:val="VerbatimChar"/>
        </w:rPr>
        <w:t xml:space="preserve">rfu.ecy</w:t>
      </w:r>
      <w:r>
        <w:t xml:space="preserve">: electricity, i.e. VAT, the subsidy gap and VAT on the policy cost passed through (</w:t>
      </w:r>
      <w:r>
        <w:rPr>
          <w:rStyle w:val="VerbatimChar"/>
        </w:rPr>
        <w:t xml:space="preserve">rvat + rgap + rnvat</w:t>
      </w:r>
      <w:r>
        <w:t xml:space="preserve">, section 3 G).</w:t>
      </w:r>
      <w:r>
        <w:t xml:space="preserve"> </w:t>
      </w:r>
      <w:r>
        <w:t xml:space="preserve">-</w:t>
      </w:r>
      <w:r>
        <w:t xml:space="preserve"> </w:t>
      </w:r>
      <w:r>
        <w:rPr>
          <w:rStyle w:val="VerbatimChar"/>
        </w:rPr>
        <w:t xml:space="preserve">rfg.&lt;type&gt;</w:t>
      </w:r>
      <w:r>
        <w:t xml:space="preserve">: fuels burnt in power generation (coal, gas, oil, biomass):</w:t>
      </w:r>
      <w:r>
        <w:t xml:space="preserve"> </w:t>
      </w:r>
      <w:r>
        <w:rPr>
          <w:rStyle w:val="VerbatimChar"/>
        </w:rPr>
        <w:t xml:space="preserve">prtx + prxc + prsub + prnew</w:t>
      </w:r>
      <w:r>
        <w:t xml:space="preserve"> </w:t>
      </w:r>
      <w:r>
        <w:t xml:space="preserve">of the type (section 3 M; Q28).</w:t>
      </w:r>
      <w:r>
        <w:t xml:space="preserve"> </w:t>
      </w:r>
      <w:r>
        <w:t xml:space="preserve">-</w:t>
      </w:r>
      <w:r>
        <w:t xml:space="preserve"> </w:t>
      </w:r>
      <w:r>
        <w:rPr>
          <w:rStyle w:val="VerbatimChar"/>
        </w:rPr>
        <w:t xml:space="preserve">rfu.chk</w:t>
      </w:r>
      <w:r>
        <w:t xml:space="preserve">:</w:t>
      </w:r>
      <w:r>
        <w:t xml:space="preserve"> </w:t>
      </w:r>
      <w:r>
        <w:rPr>
          <w:rStyle w:val="VerbatimChar"/>
        </w:rPr>
        <w:t xml:space="preserve">ABS(sum of the rows - rnet.all - rnew.all)</w:t>
      </w:r>
      <w:r>
        <w:t xml:space="preserve">. It is 0, because the rows split the section 12 totals exactly. The methane fee (</w:t>
      </w:r>
      <w:r>
        <w:rPr>
          <w:rStyle w:val="VerbatimChar"/>
        </w:rPr>
        <w:t xml:space="preserve">rmf</w:t>
      </w:r>
      <w:r>
        <w:t xml:space="preserve">) is not a fuel revenue.</w:t>
      </w:r>
    </w:p>
    <w:p>
      <w:pPr>
        <w:pStyle w:val="BodyText"/>
      </w:pPr>
      <w:r>
        <w:rPr>
          <w:bCs/>
          <w:b/>
        </w:rPr>
        <w:t xml:space="preserve">12e. Total revenue by policy (v4.15, LD37; legacy rows 8016-8027, USD m real).</w:t>
      </w:r>
      <w:r>
        <w:t xml:space="preserve"> </w:t>
      </w:r>
      <w:r>
        <w:t xml:space="preserve">The legacy split of total revenue by instrument:</w:t>
      </w:r>
      <w:r>
        <w:t xml:space="preserve"> </w:t>
      </w:r>
      <w:r>
        <w:t xml:space="preserve">-</w:t>
      </w:r>
      <w:r>
        <w:t xml:space="preserve"> </w:t>
      </w:r>
      <w:r>
        <w:rPr>
          <w:rStyle w:val="VerbatimChar"/>
        </w:rPr>
        <w:t xml:space="preserve">rpol.ct</w:t>
      </w:r>
      <w:r>
        <w:t xml:space="preserve"> </w:t>
      </w:r>
      <w:r>
        <w:t xml:space="preserve">new carbon tax =</w:t>
      </w:r>
      <w:r>
        <w:t xml:space="preserve"> </w:t>
      </w:r>
      <w:r>
        <w:rPr>
          <w:rStyle w:val="VerbatimChar"/>
        </w:rPr>
        <w:t xml:space="preserve">SUMPRODUCT(covct, ctr)</w:t>
      </w:r>
      <w:r>
        <w:t xml:space="preserve"> </w:t>
      </w:r>
      <w:r>
        <w:t xml:space="preserve">over the coverage sectors (covered CO2 x the sector’s carbon tax rate; power included);</w:t>
      </w:r>
      <w:r>
        <w:t xml:space="preserve"> </w:t>
      </w:r>
      <w:r>
        <w:rPr>
          <w:rStyle w:val="VerbatimChar"/>
        </w:rPr>
        <w:t xml:space="preserve">rpol.ets</w:t>
      </w:r>
      <w:r>
        <w:t xml:space="preserve"> </w:t>
      </w:r>
      <w:r>
        <w:t xml:space="preserve">auctioned ETS =</w:t>
      </w:r>
      <w:r>
        <w:t xml:space="preserve"> </w:t>
      </w:r>
      <w:r>
        <w:rPr>
          <w:rStyle w:val="VerbatimChar"/>
        </w:rPr>
        <w:t xml:space="preserve">SUMPRODUCT(co2.sec, etr) x ets.rf</w:t>
      </w:r>
      <w:r>
        <w:t xml:space="preserve">; of which power:</w:t>
      </w:r>
      <w:r>
        <w:t xml:space="preserve"> </w:t>
      </w:r>
      <w:r>
        <w:rPr>
          <w:rStyle w:val="VerbatimChar"/>
        </w:rPr>
        <w:t xml:space="preserve">rpol.ctp</w:t>
      </w:r>
      <w:r>
        <w:t xml:space="preserve">,</w:t>
      </w:r>
      <w:r>
        <w:t xml:space="preserve"> </w:t>
      </w:r>
      <w:r>
        <w:rPr>
          <w:rStyle w:val="VerbatimChar"/>
        </w:rPr>
        <w:t xml:space="preserve">rpol.etp</w:t>
      </w:r>
      <w:r>
        <w:t xml:space="preserve">.</w:t>
      </w:r>
      <w:r>
        <w:t xml:space="preserve"> </w:t>
      </w:r>
      <w:r>
        <w:t xml:space="preserve">-</w:t>
      </w:r>
      <w:r>
        <w:t xml:space="preserve"> </w:t>
      </w:r>
      <w:r>
        <w:rPr>
          <w:rStyle w:val="VerbatimChar"/>
        </w:rPr>
        <w:t xml:space="preserve">rpol.exc</w:t>
      </w:r>
      <w:r>
        <w:t xml:space="preserve"> </w:t>
      </w:r>
      <w:r>
        <w:t xml:space="preserve">new excise (fuel price reform) = the per-pair rows</w:t>
      </w:r>
      <w:r>
        <w:t xml:space="preserve"> </w:t>
      </w:r>
      <w:r>
        <w:rPr>
          <w:rStyle w:val="VerbatimChar"/>
        </w:rPr>
        <w:t xml:space="preserve">rex</w:t>
      </w:r>
      <w:r>
        <w:t xml:space="preserve"> </w:t>
      </w:r>
      <w:r>
        <w:t xml:space="preserve">(fuel use x PJ/ktoe x</w:t>
      </w:r>
      <w:r>
        <w:t xml:space="preserve"> </w:t>
      </w:r>
      <w:r>
        <w:rPr>
          <w:rStyle w:val="VerbatimChar"/>
        </w:rPr>
        <w:t xml:space="preserve">ntx</w:t>
      </w:r>
      <w:r>
        <w:t xml:space="preserve">) + power</w:t>
      </w:r>
      <w:r>
        <w:t xml:space="preserve"> </w:t>
      </w:r>
      <w:r>
        <w:rPr>
          <w:rStyle w:val="VerbatimChar"/>
        </w:rPr>
        <w:t xml:space="preserve">prnew</w:t>
      </w:r>
      <w:r>
        <w:t xml:space="preserve"> </w:t>
      </w:r>
      <w:r>
        <w:t xml:space="preserve">-</w:t>
      </w:r>
      <w:r>
        <w:t xml:space="preserve"> </w:t>
      </w:r>
      <w:r>
        <w:rPr>
          <w:rStyle w:val="VerbatimChar"/>
        </w:rPr>
        <w:t xml:space="preserve">ctp</w:t>
      </w:r>
      <w:r>
        <w:t xml:space="preserve"> </w:t>
      </w:r>
      <w:r>
        <w:t xml:space="preserve">-</w:t>
      </w:r>
      <w:r>
        <w:t xml:space="preserve"> </w:t>
      </w:r>
      <w:r>
        <w:rPr>
          <w:rStyle w:val="VerbatimChar"/>
        </w:rPr>
        <w:t xml:space="preserve">etp</w:t>
      </w:r>
      <w:r>
        <w:t xml:space="preserve">.</w:t>
      </w:r>
      <w:r>
        <w:t xml:space="preserve"> </w:t>
      </w:r>
      <w:r>
        <w:t xml:space="preserve">-</w:t>
      </w:r>
      <w:r>
        <w:t xml:space="preserve"> </w:t>
      </w:r>
      <w:r>
        <w:rPr>
          <w:rStyle w:val="VerbatimChar"/>
        </w:rPr>
        <w:t xml:space="preserve">rpol.vat</w:t>
      </w:r>
      <w:r>
        <w:t xml:space="preserve"> </w:t>
      </w:r>
      <w:r>
        <w:t xml:space="preserve">VAT = the per-pair rows</w:t>
      </w:r>
      <w:r>
        <w:t xml:space="preserve"> </w:t>
      </w:r>
      <w:r>
        <w:rPr>
          <w:rStyle w:val="VerbatimChar"/>
        </w:rPr>
        <w:t xml:space="preserve">rvt</w:t>
      </w:r>
      <w:r>
        <w:t xml:space="preserve"> </w:t>
      </w:r>
      <w:r>
        <w:t xml:space="preserve">(fuel use x PJ/ktoe x (vat + (xcpd + nce) x VAT rate)) + electricity VAT (</w:t>
      </w:r>
      <w:r>
        <w:rPr>
          <w:rStyle w:val="VerbatimChar"/>
        </w:rPr>
        <w:t xml:space="preserve">rvat</w:t>
      </w:r>
      <w:r>
        <w:t xml:space="preserve">,</w:t>
      </w:r>
      <w:r>
        <w:t xml:space="preserve"> </w:t>
      </w:r>
      <w:r>
        <w:rPr>
          <w:rStyle w:val="VerbatimChar"/>
        </w:rPr>
        <w:t xml:space="preserve">rnvat</w:t>
      </w:r>
      <w:r>
        <w:t xml:space="preserve">).</w:t>
      </w:r>
      <w:r>
        <w:t xml:space="preserve"> </w:t>
      </w:r>
      <w:r>
        <w:t xml:space="preserve">-</w:t>
      </w:r>
      <w:r>
        <w:t xml:space="preserve"> </w:t>
      </w:r>
      <w:r>
        <w:rPr>
          <w:rStyle w:val="VerbatimChar"/>
        </w:rPr>
        <w:t xml:space="preserve">rpol.psu</w:t>
      </w:r>
      <w:r>
        <w:t xml:space="preserve"> </w:t>
      </w:r>
      <w:r>
        <w:t xml:space="preserve">producer subsidies = the electricity subsidy gap (</w:t>
      </w:r>
      <w:r>
        <w:rPr>
          <w:rStyle w:val="VerbatimChar"/>
        </w:rPr>
        <w:t xml:space="preserve">rgap</w:t>
      </w:r>
      <w:r>
        <w:t xml:space="preserve">, legacy E for electricity; oil, coal and gas producer subsidies follow with LD19).</w:t>
      </w:r>
      <w:r>
        <w:t xml:space="preserve"> </w:t>
      </w:r>
      <w:r>
        <w:t xml:space="preserve">-</w:t>
      </w:r>
      <w:r>
        <w:t xml:space="preserve"> </w:t>
      </w:r>
      <w:r>
        <w:rPr>
          <w:rStyle w:val="VerbatimChar"/>
        </w:rPr>
        <w:t xml:space="preserve">rpol.exi</w:t>
      </w:r>
      <w:r>
        <w:t xml:space="preserve"> </w:t>
      </w:r>
      <w:r>
        <w:t xml:space="preserve">existing taxes and subsidies =</w:t>
      </w:r>
      <w:r>
        <w:t xml:space="preserve"> </w:t>
      </w:r>
      <w:r>
        <w:rPr>
          <w:rStyle w:val="VerbatimChar"/>
        </w:rPr>
        <w:t xml:space="preserve">rnet + rnew</w:t>
      </w:r>
      <w:r>
        <w:t xml:space="preserve"> </w:t>
      </w:r>
      <w:r>
        <w:t xml:space="preserve">- the rows above (fuel use x (excise + change in existing carbon pricing) + consumer subsidies + power fuel taxes and subsidies).</w:t>
      </w:r>
      <w:r>
        <w:t xml:space="preserve"> </w:t>
      </w:r>
      <w:r>
        <w:t xml:space="preserve">-</w:t>
      </w:r>
      <w:r>
        <w:t xml:space="preserve"> </w:t>
      </w:r>
      <w:r>
        <w:rPr>
          <w:rStyle w:val="VerbatimChar"/>
        </w:rPr>
        <w:t xml:space="preserve">rpol.ren</w:t>
      </w:r>
      <w:r>
        <w:t xml:space="preserve"> </w:t>
      </w:r>
      <w:r>
        <w:t xml:space="preserve">renewable subsidies and</w:t>
      </w:r>
      <w:r>
        <w:t xml:space="preserve"> </w:t>
      </w:r>
      <w:r>
        <w:rPr>
          <w:rStyle w:val="VerbatimChar"/>
        </w:rPr>
        <w:t xml:space="preserve">rpol.trs</w:t>
      </w:r>
      <w:r>
        <w:t xml:space="preserve"> </w:t>
      </w:r>
      <w:r>
        <w:t xml:space="preserve">transport revenues: 0 (not modelled; issue I46);</w:t>
      </w:r>
      <w:r>
        <w:t xml:space="preserve"> </w:t>
      </w:r>
      <w:r>
        <w:rPr>
          <w:rStyle w:val="VerbatimChar"/>
        </w:rPr>
        <w:t xml:space="preserve">rpol.mf</w:t>
      </w:r>
      <w:r>
        <w:t xml:space="preserve"> </w:t>
      </w:r>
      <w:r>
        <w:t xml:space="preserve">methane fee =</w:t>
      </w:r>
      <w:r>
        <w:t xml:space="preserve"> </w:t>
      </w:r>
      <w:r>
        <w:rPr>
          <w:rStyle w:val="VerbatimChar"/>
        </w:rPr>
        <w:t xml:space="preserve">rmf</w:t>
      </w:r>
      <w:r>
        <w:t xml:space="preserve">;</w:t>
      </w:r>
      <w:r>
        <w:t xml:space="preserve"> </w:t>
      </w:r>
      <w:r>
        <w:rPr>
          <w:rStyle w:val="VerbatimChar"/>
        </w:rPr>
        <w:t xml:space="preserve">rpol.tot</w:t>
      </w:r>
      <w:r>
        <w:t xml:space="preserve"> </w:t>
      </w:r>
      <w:r>
        <w:t xml:space="preserve">= their sum =</w:t>
      </w:r>
      <w:r>
        <w:t xml:space="preserve"> </w:t>
      </w:r>
      <w:r>
        <w:rPr>
          <w:rStyle w:val="VerbatimChar"/>
        </w:rPr>
        <w:t xml:space="preserve">rtot</w:t>
      </w:r>
      <w:r>
        <w:t xml:space="preserve"> </w:t>
      </w:r>
      <w:r>
        <w:t xml:space="preserve">(check row</w:t>
      </w:r>
      <w:r>
        <w:t xml:space="preserve"> </w:t>
      </w:r>
      <w:r>
        <w:rPr>
          <w:rStyle w:val="VerbatimChar"/>
        </w:rPr>
        <w:t xml:space="preserve">rpol.chk</w:t>
      </w:r>
      <w:r>
        <w:t xml:space="preserve">).</w:t>
      </w:r>
      <w:r>
        <w:t xml:space="preserve"> </w:t>
      </w:r>
      <w:r>
        <w:t xml:space="preserve">Egypt, carbon tax scenario, 2030: carbon tax 4.2 bn USD (power 1.8), existing taxes and subsidies -10.3 bn, electricity subsidy gap -10.0 bn, total -16.1 bn. Legacy bugs L70-L73 and L75 do not arise (each pair takes its own rates, uses and coverage).</w:t>
      </w:r>
    </w:p>
    <w:p>
      <w:pPr>
        <w:pStyle w:val="BodyText"/>
      </w:pPr>
      <w:r>
        <w:rPr>
          <w:bCs/>
          <w:b/>
        </w:rPr>
        <w:t xml:space="preserve">Revenue against GDP and base erosion.</w:t>
      </w:r>
      <w:r>
        <w:t xml:space="preserve"> </w:t>
      </w:r>
      <w:r>
        <w:t xml:space="preserve">-</w:t>
      </w:r>
      <w:r>
        <w:t xml:space="preserve"> </w:t>
      </w:r>
      <w:r>
        <w:rPr>
          <w:rStyle w:val="VerbatimChar"/>
        </w:rPr>
        <w:t xml:space="preserve">rbe</w:t>
      </w:r>
      <w:r>
        <w:t xml:space="preserve">: base erosion, i.e. </w:t>
      </w:r>
      <w:r>
        <w:rPr>
          <w:rStyle w:val="VerbatimChar"/>
        </w:rPr>
        <w:t xml:space="preserve">rnet - rnet of scenario 1</w:t>
      </w:r>
      <w:r>
        <w:t xml:space="preserve"> </w:t>
      </w:r>
      <w:r>
        <w:t xml:space="preserve">in the same year. This is the change in existing taxes net of subsidies when a policy changes fuel use (Q25: policy fuel use x baseline tax rates, against baseline revenue). Egypt, carbon tax scenario, 2030: about +1.5 bn USD. Fuel use falls, so subsidies (negative) shrink more than existing taxes.</w:t>
      </w:r>
      <w:r>
        <w:t xml:space="preserve"> </w:t>
      </w:r>
      <w:r>
        <w:t xml:space="preserve">-</w:t>
      </w:r>
      <w:r>
        <w:t xml:space="preserve"> </w:t>
      </w:r>
      <w:r>
        <w:rPr>
          <w:rStyle w:val="VerbatimChar"/>
        </w:rPr>
        <w:t xml:space="preserve">rpct.&lt;x&gt;</w:t>
      </w:r>
      <w:r>
        <w:t xml:space="preserve">: shares of baseline real GDP, via</w:t>
      </w:r>
      <w:r>
        <w:t xml:space="preserve"> </w:t>
      </w:r>
      <w:r>
        <w:rPr>
          <w:rStyle w:val="VerbatimChar"/>
        </w:rPr>
        <w:t xml:space="preserve">GDPSHARE</w:t>
      </w:r>
      <w:r>
        <w:t xml:space="preserve"> </w:t>
      </w:r>
      <w:r>
        <w:t xml:space="preserve">in the LAMBDA column. They cover:</w:t>
      </w:r>
      <w:r>
        <w:t xml:space="preserve"> </w:t>
      </w:r>
      <w:r>
        <w:t xml:space="preserve">- total revenue;</w:t>
      </w:r>
      <w:r>
        <w:t xml:space="preserve"> </w:t>
      </w:r>
      <w:r>
        <w:t xml:space="preserve">- existing taxes net of subsidies;</w:t>
      </w:r>
      <w:r>
        <w:t xml:space="preserve"> </w:t>
      </w:r>
      <w:r>
        <w:t xml:space="preserve">- subsidies;</w:t>
      </w:r>
      <w:r>
        <w:t xml:space="preserve"> </w:t>
      </w:r>
      <w:r>
        <w:t xml:space="preserve">- new-policy revenue;</w:t>
      </w:r>
      <w:r>
        <w:t xml:space="preserve"> </w:t>
      </w:r>
      <w:r>
        <w:t xml:space="preserve">- change in total revenue against scenario 1;</w:t>
      </w:r>
      <w:r>
        <w:t xml:space="preserve"> </w:t>
      </w:r>
      <w:r>
        <w:t xml:space="preserve">- base erosion.</w:t>
      </w:r>
    </w:p>
    <w:p>
      <w:pPr>
        <w:pStyle w:val="BodyText"/>
      </w:pPr>
      <w:r>
        <w:t xml:space="preserve">Egypt 2022: total revenue -8.6% of GDP, because consumer subsidies exceed taxes.</w:t>
      </w:r>
    </w:p>
    <w:p>
      <w:pPr>
        <w:pStyle w:val="BodyText"/>
      </w:pPr>
      <w:r>
        <w:t xml:space="preserve">LiveOutputs rows:</w:t>
      </w:r>
      <w:r>
        <w:t xml:space="preserve"> </w:t>
      </w:r>
      <w:r>
        <w:rPr>
          <w:rStyle w:val="VerbatimChar"/>
        </w:rPr>
        <w:t xml:space="preserve">rpct.all.tot</w:t>
      </w:r>
      <w:r>
        <w:t xml:space="preserve">,</w:t>
      </w:r>
      <w:r>
        <w:t xml:space="preserve"> </w:t>
      </w:r>
      <w:r>
        <w:rPr>
          <w:rStyle w:val="VerbatimChar"/>
        </w:rPr>
        <w:t xml:space="preserve">.chg</w:t>
      </w:r>
      <w:r>
        <w:t xml:space="preserve">,</w:t>
      </w:r>
      <w:r>
        <w:t xml:space="preserve"> </w:t>
      </w:r>
      <w:r>
        <w:rPr>
          <w:rStyle w:val="VerbatimChar"/>
        </w:rPr>
        <w:t xml:space="preserve">.sub</w:t>
      </w:r>
      <w:r>
        <w:t xml:space="preserve">,</w:t>
      </w:r>
      <w:r>
        <w:t xml:space="preserve"> </w:t>
      </w:r>
      <w:r>
        <w:rPr>
          <w:rStyle w:val="VerbatimChar"/>
        </w:rPr>
        <w:t xml:space="preserve">.be</w:t>
      </w:r>
      <w:r>
        <w:t xml:space="preserve">;</w:t>
      </w:r>
      <w:r>
        <w:t xml:space="preserve"> </w:t>
      </w:r>
      <w:r>
        <w:rPr>
          <w:rStyle w:val="VerbatimChar"/>
        </w:rPr>
        <w:t xml:space="preserve">rbe.all.all</w:t>
      </w:r>
      <w:r>
        <w:t xml:space="preserve">.</w:t>
      </w:r>
    </w:p>
    <w:p>
      <w:pPr>
        <w:pStyle w:val="BodyText"/>
      </w:pPr>
      <w:r>
        <w:rPr>
          <w:bCs/>
          <w:b/>
        </w:rPr>
        <w:t xml:space="preserve">Not built (TODO; decisions taken during the run, to confirm):</w:t>
      </w:r>
      <w:r>
        <w:t xml:space="preserve"> </w:t>
      </w:r>
      <w:r>
        <w:t xml:space="preserve">-</w:t>
      </w:r>
      <w:r>
        <w:t xml:space="preserve"> </w:t>
      </w:r>
      <w:r>
        <w:rPr>
          <w:bCs/>
          <w:b/>
        </w:rPr>
        <w:t xml:space="preserve">Producer subsidies (Q26).</w:t>
      </w:r>
      <w:r>
        <w:t xml:space="preserve"> </w:t>
      </w:r>
      <w:r>
        <w:t xml:space="preserve">There are no data for Egypt, and NORMS 3c bars zero placeholders.</w:t>
      </w:r>
      <w:r>
        <w:t xml:space="preserve"> </w:t>
      </w:r>
      <w:r>
        <w:t xml:space="preserve">-</w:t>
      </w:r>
      <w:r>
        <w:t xml:space="preserve"> </w:t>
      </w:r>
      <w:r>
        <w:rPr>
          <w:bCs/>
          <w:b/>
        </w:rPr>
        <w:t xml:space="preserve">Revenue lost to price controls (Q29).</w:t>
      </w:r>
      <w:r>
        <w:t xml:space="preserve"> </w:t>
      </w:r>
      <w:r>
        <w:t xml:space="preserve">Legacy holds only pass-through coefficients (rows 746-760, 2216-2220), not a revenue row.</w:t>
      </w:r>
      <w:r>
        <w:t xml:space="preserve"> </w:t>
      </w:r>
      <w:r>
        <w:t xml:space="preserve">-</w:t>
      </w:r>
      <w:r>
        <w:t xml:space="preserve"> </w:t>
      </w:r>
      <w:r>
        <w:rPr>
          <w:bCs/>
          <w:b/>
        </w:rPr>
        <w:t xml:space="preserve">Fuel expenditures.</w:t>
      </w:r>
      <w:r>
        <w:t xml:space="preserve"> </w:t>
      </w:r>
      <w:r>
        <w:t xml:space="preserve">These are the spending rows of the section 2 memo (</w:t>
      </w:r>
      <w:r>
        <w:rPr>
          <w:rStyle w:val="VerbatimChar"/>
        </w:rPr>
        <w:t xml:space="preserve">pav.sp</w:t>
      </w:r>
      <w:r>
        <w:t xml:space="preserve">, v3.10), so they are not repeated here.</w:t>
      </w:r>
      <w:r>
        <w:t xml:space="preserve"> </w:t>
      </w:r>
      <w:r>
        <w:t xml:space="preserve">-</w:t>
      </w:r>
      <w:r>
        <w:t xml:space="preserve"> </w:t>
      </w:r>
      <w:r>
        <w:rPr>
          <w:bCs/>
          <w:b/>
        </w:rPr>
        <w:t xml:space="preserve">Vehicle revenues of the road engineer model in 12b (Q27).</w:t>
      </w:r>
      <w:r>
        <w:t xml:space="preserve"> </w:t>
      </w:r>
      <w:r>
        <w:t xml:space="preserve">Planned for later.</w:t>
      </w:r>
    </w:p>
    <w:bookmarkEnd w:id="126"/>
    <w:bookmarkStart w:id="127" w:name="X7fa80597d51390cc103d5e975abbe88ffd1b65d"/>
    <w:p>
      <w:pPr>
        <w:pStyle w:val="Heading3"/>
      </w:pPr>
      <w:r>
        <w:t xml:space="preserve">3. 11b Energy consumption: change against scenario 1 (v3.14; legacy F7)</w:t>
      </w:r>
    </w:p>
    <w:p>
      <w:pPr>
        <w:pStyle w:val="FirstParagraph"/>
      </w:pPr>
      <w:r>
        <w:rPr>
          <w:rStyle w:val="VerbatimChar"/>
        </w:rPr>
        <w:t xml:space="preserve">echg</w:t>
      </w:r>
      <w:r>
        <w:t xml:space="preserve"> </w:t>
      </w:r>
      <w:r>
        <w:t xml:space="preserve">rows give the change against scenario 1 in the same year, in ktoe. The levels come from section 11:</w:t>
      </w:r>
      <w:r>
        <w:t xml:space="preserve"> </w:t>
      </w:r>
      <w:r>
        <w:t xml:space="preserve">- by fuel, from the fuel rows (power generation fuels included);</w:t>
      </w:r>
      <w:r>
        <w:t xml:space="preserve"> </w:t>
      </w:r>
      <w:r>
        <w:t xml:space="preserve">- by sector group, from the sector totals of sections 5-8;</w:t>
      </w:r>
      <w:r>
        <w:t xml:space="preserve"> </w:t>
      </w:r>
      <w:r>
        <w:t xml:space="preserve">- power generation fuel use;</w:t>
      </w:r>
      <w:r>
        <w:t xml:space="preserve"> </w:t>
      </w:r>
      <w:r>
        <w:t xml:space="preserve">- the total.</w:t>
      </w:r>
    </w:p>
    <w:p>
      <w:pPr>
        <w:pStyle w:val="BodyText"/>
      </w:pPr>
      <w:r>
        <w:t xml:space="preserve">The change is read through helper row 10 (</w:t>
      </w:r>
      <w:r>
        <w:rPr>
          <w:rStyle w:val="VerbatimChar"/>
        </w:rPr>
        <w:t xml:space="preserve">INDEX(scenario 1 .. this column, position of scenario 1's year)</w:t>
      </w:r>
      <w:r>
        <w:t xml:space="preserve">).</w:t>
      </w:r>
    </w:p>
    <w:p>
      <w:pPr>
        <w:pStyle w:val="BodyText"/>
      </w:pPr>
      <w:r>
        <w:rPr>
          <w:rStyle w:val="VerbatimChar"/>
        </w:rPr>
        <w:t xml:space="preserve">epct</w:t>
      </w:r>
      <w:r>
        <w:t xml:space="preserve"> </w:t>
      </w:r>
      <w:r>
        <w:t xml:space="preserve">rows give the % change:</w:t>
      </w:r>
      <w:r>
        <w:t xml:space="preserve"> </w:t>
      </w:r>
      <w:r>
        <w:rPr>
          <w:rStyle w:val="VerbatimChar"/>
        </w:rPr>
        <w:t xml:space="preserve">echg / (level - echg)</w:t>
      </w:r>
      <w:r>
        <w:t xml:space="preserve">, and 0 when scenario 1 is 0.</w:t>
      </w:r>
    </w:p>
    <w:p>
      <w:pPr>
        <w:pStyle w:val="BodyText"/>
      </w:pPr>
      <w:r>
        <w:t xml:space="preserve">Not as rows: the energy-balance matrix (legacy G; Q30). It is a rearrangement of section 11 and goes to an output sheet later.</w:t>
      </w:r>
    </w:p>
    <w:bookmarkEnd w:id="127"/>
    <w:bookmarkStart w:id="128" w:name="Xf8cecd437d3e7bfef71856a49a84da1afecc76a"/>
    <w:p>
      <w:pPr>
        <w:pStyle w:val="Heading3"/>
      </w:pPr>
      <w:r>
        <w:t xml:space="preserve">4. 13b CO2 change, grid emission intensity, Kaya identity (v3.14; legacy F13, row 6582, F14)</w:t>
      </w:r>
    </w:p>
    <w:p>
      <w:pPr>
        <w:pStyle w:val="FirstParagraph"/>
      </w:pPr>
      <w:r>
        <w:rPr>
          <w:bCs/>
          <w:b/>
        </w:rPr>
        <w:t xml:space="preserve">CO2 change.</w:t>
      </w:r>
      <w:r>
        <w:t xml:space="preserve"> </w:t>
      </w:r>
      <w:r>
        <w:rPr>
          <w:rStyle w:val="VerbatimChar"/>
        </w:rPr>
        <w:t xml:space="preserve">cchg</w:t>
      </w:r>
      <w:r>
        <w:t xml:space="preserve"> </w:t>
      </w:r>
      <w:r>
        <w:t xml:space="preserve">gives the change of CO2 from fuel combustion against scenario 1, by fuel and by sector group, power included (MtCO2).</w:t>
      </w:r>
    </w:p>
    <w:p>
      <w:pPr>
        <w:pStyle w:val="BodyText"/>
      </w:pPr>
      <w:r>
        <w:rPr>
          <w:bCs/>
          <w:b/>
        </w:rPr>
        <w:t xml:space="preserve">Grid intensity.</w:t>
      </w:r>
      <w:r>
        <w:t xml:space="preserve"> </w:t>
      </w:r>
      <w:r>
        <w:rPr>
          <w:rStyle w:val="VerbatimChar"/>
        </w:rPr>
        <w:t xml:space="preserve">co2.grid</w:t>
      </w:r>
      <w:r>
        <w:t xml:space="preserve"> </w:t>
      </w:r>
      <w:r>
        <w:t xml:space="preserve">= CO2 of power generation x Million / (total generation in MWy x</w:t>
      </w:r>
      <w:r>
        <w:t xml:space="preserve"> </w:t>
      </w:r>
      <w:r>
        <w:rPr>
          <w:rStyle w:val="VerbatimChar"/>
        </w:rPr>
        <w:t xml:space="preserve">HoursYr</w:t>
      </w:r>
      <w:r>
        <w:t xml:space="preserve">), in tCO2 per MWh. Egypt: 0.41 in 2022 (legacy 0.38) and 0.33 in 2030.</w:t>
      </w:r>
    </w:p>
    <w:p>
      <w:pPr>
        <w:pStyle w:val="BodyText"/>
      </w:pPr>
      <w:r>
        <w:rPr>
          <w:bCs/>
          <w:b/>
        </w:rPr>
        <w:t xml:space="preserve">Kaya identity (legacy rows 18877-18893), as legacy (v3.18):</w:t>
      </w:r>
      <w:r>
        <w:t xml:space="preserve"> </w:t>
      </w:r>
      <w:r>
        <w:t xml:space="preserve">-</w:t>
      </w:r>
      <w:r>
        <w:t xml:space="preserve"> </w:t>
      </w:r>
      <w:r>
        <w:rPr>
          <w:bCs/>
          <w:b/>
        </w:rPr>
        <w:t xml:space="preserve">GDP:</w:t>
      </w:r>
      <w:r>
        <w:t xml:space="preserve"> </w:t>
      </w:r>
      <w:r>
        <w:t xml:space="preserve">baseline real GDP (the header row), in every scenario.</w:t>
      </w:r>
      <w:r>
        <w:t xml:space="preserve"> </w:t>
      </w:r>
      <w:r>
        <w:t xml:space="preserve">-</w:t>
      </w:r>
      <w:r>
        <w:t xml:space="preserve"> </w:t>
      </w:r>
      <w:r>
        <w:rPr>
          <w:bCs/>
          <w:b/>
        </w:rPr>
        <w:t xml:space="preserve">CO2:</w:t>
      </w:r>
      <w:r>
        <w:t xml:space="preserve"> </w:t>
      </w:r>
      <w:r>
        <w:t xml:space="preserve">total CO2 including industrial processes (</w:t>
      </w:r>
      <w:r>
        <w:rPr>
          <w:rStyle w:val="VerbatimChar"/>
        </w:rPr>
        <w:t xml:space="preserve">ghg.g.co2</w:t>
      </w:r>
      <w:r>
        <w:t xml:space="preserve">).</w:t>
      </w:r>
      <w:r>
        <w:t xml:space="preserve"> </w:t>
      </w:r>
      <w:r>
        <w:t xml:space="preserve">-</w:t>
      </w:r>
      <w:r>
        <w:t xml:space="preserve"> </w:t>
      </w:r>
      <w:r>
        <w:rPr>
          <w:bCs/>
          <w:b/>
        </w:rPr>
        <w:t xml:space="preserve">Energy:</w:t>
      </w:r>
      <w:r>
        <w:t xml:space="preserve"> </w:t>
      </w:r>
      <w:r>
        <w:t xml:space="preserve">total primary energy supply,</w:t>
      </w:r>
      <w:r>
        <w:t xml:space="preserve"> </w:t>
      </w:r>
      <w:r>
        <w:rPr>
          <w:rStyle w:val="VerbatimChar"/>
        </w:rPr>
        <w:t xml:space="preserve">kaya.tpes</w:t>
      </w:r>
      <w:r>
        <w:t xml:space="preserve"> </w:t>
      </w:r>
      <w:r>
        <w:t xml:space="preserve">(legacy row 18880). It is the fuel use of section 11 (fuels burnt in power plants included, biomass included), plus primary electricity: the energy input</w:t>
      </w:r>
      <w:r>
        <w:t xml:space="preserve"> </w:t>
      </w:r>
      <w:r>
        <w:rPr>
          <w:rStyle w:val="VerbatimChar"/>
        </w:rPr>
        <w:t xml:space="preserve">pe</w:t>
      </w:r>
      <w:r>
        <w:t xml:space="preserve"> </w:t>
      </w:r>
      <w:r>
        <w:t xml:space="preserve">of nuclear, wind, solar, hydro and other renewables in section 3. The input is generation divided by the type’s efficiency (physical energy content method: nuclear at 38%, renewables at about 1). Egypt 2022: 89,471 ktoe = legacy 89,471. Energy intensity 163.57 ktoe per USD bn = legacy.</w:t>
      </w:r>
    </w:p>
    <w:p>
      <w:pPr>
        <w:pStyle w:val="BodyText"/>
      </w:pPr>
      <w:r>
        <w:t xml:space="preserve">v3.14-v3.17 used fuel use only (2.6% lower in 2022). This was corrected at the user’s request (2026-10-16). Legacy’s broken</w:t>
      </w:r>
      <w:r>
        <w:t xml:space="preserve"> </w:t>
      </w:r>
      <w:r>
        <w:t xml:space="preserve">“</w:t>
      </w:r>
      <w:r>
        <w:t xml:space="preserve">simplified Kaya</w:t>
      </w:r>
      <w:r>
        <w:t xml:space="preserve">”</w:t>
      </w:r>
      <w:r>
        <w:t xml:space="preserve"> </w:t>
      </w:r>
      <w:r>
        <w:t xml:space="preserve">row (18931, -97%) is a different row and is not used.</w:t>
      </w:r>
    </w:p>
    <w:p>
      <w:pPr>
        <w:pStyle w:val="BodyText"/>
      </w:pPr>
      <w:r>
        <w:rPr>
          <w:rStyle w:val="VerbatimChar"/>
        </w:rPr>
        <w:t xml:space="preserve">kaya.*</w:t>
      </w:r>
      <w:r>
        <w:t xml:space="preserve"> </w:t>
      </w:r>
      <w:r>
        <w:t xml:space="preserve">levels: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w:t>
            </w:r>
          </w:p>
        </w:tc>
        <w:tc>
          <w:tcPr/>
          <w:p>
            <w:pPr>
              <w:pStyle w:val="Compact"/>
              <w:jc w:val="left"/>
            </w:pPr>
            <w:r>
              <w:t xml:space="preserve">Content</w:t>
            </w:r>
          </w:p>
        </w:tc>
        <w:tc>
          <w:tcPr/>
          <w:p>
            <w:pPr>
              <w:pStyle w:val="Compact"/>
              <w:jc w:val="left"/>
            </w:pPr>
            <w:r>
              <w:t xml:space="preserve">Unit</w:t>
            </w:r>
          </w:p>
        </w:tc>
      </w:tr>
      <w:tr>
        <w:tc>
          <w:tcPr/>
          <w:p>
            <w:pPr>
              <w:pStyle w:val="Compact"/>
              <w:jc w:val="left"/>
            </w:pPr>
            <w:r>
              <w:rPr>
                <w:rStyle w:val="VerbatimChar"/>
              </w:rPr>
              <w:t xml:space="preserve">kaya.pop</w:t>
            </w:r>
          </w:p>
        </w:tc>
        <w:tc>
          <w:tcPr/>
          <w:p>
            <w:pPr>
              <w:pStyle w:val="Compact"/>
              <w:jc w:val="left"/>
            </w:pPr>
            <w:r>
              <w:t xml:space="preserve">Population</w:t>
            </w:r>
          </w:p>
        </w:tc>
        <w:tc>
          <w:tcPr/>
          <w:p>
            <w:pPr>
              <w:pStyle w:val="Compact"/>
              <w:jc w:val="left"/>
            </w:pPr>
            <w:r>
              <w:t xml:space="preserve">mn</w:t>
            </w:r>
          </w:p>
        </w:tc>
      </w:tr>
      <w:tr>
        <w:tc>
          <w:tcPr/>
          <w:p>
            <w:pPr>
              <w:pStyle w:val="Compact"/>
              <w:jc w:val="left"/>
            </w:pPr>
            <w:r>
              <w:rPr>
                <w:rStyle w:val="VerbatimChar"/>
              </w:rPr>
              <w:t xml:space="preserve">kaya.gpc</w:t>
            </w:r>
          </w:p>
        </w:tc>
        <w:tc>
          <w:tcPr/>
          <w:p>
            <w:pPr>
              <w:pStyle w:val="Compact"/>
              <w:jc w:val="left"/>
            </w:pPr>
            <w:r>
              <w:t xml:space="preserve">GDP per capita</w:t>
            </w:r>
          </w:p>
        </w:tc>
        <w:tc>
          <w:tcPr/>
          <w:p>
            <w:pPr>
              <w:pStyle w:val="Compact"/>
              <w:jc w:val="left"/>
            </w:pPr>
            <w:r>
              <w:t xml:space="preserve">thousand USD</w:t>
            </w:r>
          </w:p>
        </w:tc>
      </w:tr>
      <w:tr>
        <w:tc>
          <w:tcPr/>
          <w:p>
            <w:pPr>
              <w:pStyle w:val="Compact"/>
              <w:jc w:val="left"/>
            </w:pPr>
            <w:r>
              <w:rPr>
                <w:rStyle w:val="VerbatimChar"/>
              </w:rPr>
              <w:t xml:space="preserve">kaya.tpes</w:t>
            </w:r>
          </w:p>
        </w:tc>
        <w:tc>
          <w:tcPr/>
          <w:p>
            <w:pPr>
              <w:pStyle w:val="Compact"/>
              <w:jc w:val="left"/>
            </w:pPr>
            <w:r>
              <w:t xml:space="preserve">Total primary energy supply</w:t>
            </w:r>
          </w:p>
        </w:tc>
        <w:tc>
          <w:tcPr/>
          <w:p>
            <w:pPr>
              <w:pStyle w:val="Compact"/>
              <w:jc w:val="left"/>
            </w:pPr>
            <w:r>
              <w:t xml:space="preserve">ktoe</w:t>
            </w:r>
          </w:p>
        </w:tc>
      </w:tr>
      <w:tr>
        <w:tc>
          <w:tcPr/>
          <w:p>
            <w:pPr>
              <w:pStyle w:val="Compact"/>
              <w:jc w:val="left"/>
            </w:pPr>
            <w:r>
              <w:rPr>
                <w:rStyle w:val="VerbatimChar"/>
              </w:rPr>
              <w:t xml:space="preserve">kaya.ei</w:t>
            </w:r>
          </w:p>
        </w:tc>
        <w:tc>
          <w:tcPr/>
          <w:p>
            <w:pPr>
              <w:pStyle w:val="Compact"/>
              <w:jc w:val="left"/>
            </w:pPr>
            <w:r>
              <w:t xml:space="preserve">Energy intensity</w:t>
            </w:r>
          </w:p>
        </w:tc>
        <w:tc>
          <w:tcPr/>
          <w:p>
            <w:pPr>
              <w:pStyle w:val="Compact"/>
              <w:jc w:val="left"/>
            </w:pPr>
            <w:r>
              <w:t xml:space="preserve">ktoe per USD bn</w:t>
            </w:r>
          </w:p>
        </w:tc>
      </w:tr>
      <w:tr>
        <w:tc>
          <w:tcPr/>
          <w:p>
            <w:pPr>
              <w:pStyle w:val="Compact"/>
              <w:jc w:val="left"/>
            </w:pPr>
            <w:r>
              <w:rPr>
                <w:rStyle w:val="VerbatimChar"/>
              </w:rPr>
              <w:t xml:space="preserve">kaya.ci</w:t>
            </w:r>
          </w:p>
        </w:tc>
        <w:tc>
          <w:tcPr/>
          <w:p>
            <w:pPr>
              <w:pStyle w:val="Compact"/>
              <w:jc w:val="left"/>
            </w:pPr>
            <w:r>
              <w:t xml:space="preserve">Carbon intensity</w:t>
            </w:r>
          </w:p>
        </w:tc>
        <w:tc>
          <w:tcPr/>
          <w:p>
            <w:pPr>
              <w:pStyle w:val="Compact"/>
              <w:jc w:val="left"/>
            </w:pPr>
            <w:r>
              <w:t xml:space="preserve">ktCO2 per ktoe</w:t>
            </w:r>
          </w:p>
        </w:tc>
      </w:tr>
    </w:tbl>
    <w:p>
      <w:pPr>
        <w:pStyle w:val="BodyText"/>
      </w:pPr>
      <w:r>
        <w:rPr>
          <w:rStyle w:val="VerbatimChar"/>
        </w:rPr>
        <w:t xml:space="preserve">kidx.*</w:t>
      </w:r>
      <w:r>
        <w:t xml:space="preserve"> </w:t>
      </w:r>
      <w:r>
        <w:t xml:space="preserve">indices against the base year of scenario 1: population, GDP, GDP per capita, energy intensity, carbon intensity, CO2.</w:t>
      </w:r>
      <w:r>
        <w:t xml:space="preserve"> </w:t>
      </w:r>
      <w:r>
        <w:rPr>
          <w:rStyle w:val="VerbatimChar"/>
        </w:rPr>
        <w:t xml:space="preserve">kidx.chk</w:t>
      </w:r>
      <w:r>
        <w:t xml:space="preserve"> </w:t>
      </w:r>
      <w:r>
        <w:t xml:space="preserve">is the product of the four factors and equals the CO2 index exactly.</w:t>
      </w:r>
    </w:p>
    <w:p>
      <w:pPr>
        <w:pStyle w:val="BodyText"/>
      </w:pPr>
      <w:r>
        <w:t xml:space="preserve">Egypt 2030:</w:t>
      </w:r>
      <w:r>
        <w:t xml:space="preserve"> </w:t>
      </w:r>
      <w:r>
        <w:t xml:space="preserve">- baseline: CO2 x1.17, with energy intensity 0.81 and carbon intensity 1.03;</w:t>
      </w:r>
      <w:r>
        <w:t xml:space="preserve"> </w:t>
      </w:r>
      <w:r>
        <w:t xml:space="preserve">- carbon tax: energy intensity 0.74, CO2 x1.10.</w:t>
      </w:r>
    </w:p>
    <w:p>
      <w:pPr>
        <w:pStyle w:val="BodyText"/>
      </w:pPr>
      <w:r>
        <w:t xml:space="preserve">The efficiencies of wind (1.004), solar (1.026) and hydro (0.937) are legacy’s power data, kept (issue I37).</w:t>
      </w:r>
    </w:p>
    <w:p>
      <w:pPr>
        <w:pStyle w:val="BodyText"/>
      </w:pPr>
      <w:r>
        <w:t xml:space="preserve">Population is the MVP’s UN series: 111.7 mn in 2022, against legacy’s 103.6 mn (legacy bug L20, fixed). GDP per capita is therefore lower than in legacy, and the identity still holds.</w:t>
      </w:r>
    </w:p>
    <w:p>
      <w:pPr>
        <w:pStyle w:val="BodyText"/>
      </w:pPr>
      <w:r>
        <w:t xml:space="preserve">LAMBDA</w:t>
      </w:r>
      <w:r>
        <w:t xml:space="preserve"> </w:t>
      </w:r>
      <w:r>
        <w:rPr>
          <w:rStyle w:val="VerbatimChar"/>
        </w:rPr>
        <w:t xml:space="preserve">SAFEDIV</w:t>
      </w:r>
      <w:r>
        <w:t xml:space="preserve"> </w:t>
      </w:r>
      <w:r>
        <w:t xml:space="preserve">(amount / activity, 0 when the activity is 0) is used in the LAMBDA column.</w:t>
      </w:r>
    </w:p>
    <w:bookmarkEnd w:id="128"/>
    <w:bookmarkStart w:id="129" w:name="X106f305d6bc6dd44c0bc3298f541f17c4690569"/>
    <w:p>
      <w:pPr>
        <w:pStyle w:val="Heading3"/>
      </w:pPr>
      <w:r>
        <w:t xml:space="preserve">5. 14b GHG change and energy GHGs including forcing (v3.14; legacy F12)</w:t>
      </w:r>
    </w:p>
    <w:p>
      <w:pPr>
        <w:pStyle w:val="FirstParagraph"/>
      </w:pPr>
      <w:r>
        <w:rPr>
          <w:bCs/>
          <w:b/>
        </w:rPr>
        <w:t xml:space="preserve">GHG change.</w:t>
      </w:r>
      <w:r>
        <w:t xml:space="preserve"> </w:t>
      </w:r>
      <w:r>
        <w:rPr>
          <w:rStyle w:val="VerbatimChar"/>
        </w:rPr>
        <w:t xml:space="preserve">gchg</w:t>
      </w:r>
      <w:r>
        <w:t xml:space="preserve"> </w:t>
      </w:r>
      <w:r>
        <w:t xml:space="preserve">gives the change against scenario 1 by inventory category (energy, industrial processes, agriculture, LULUCF, waste, other) and by gas (Mt CO2e).</w:t>
      </w:r>
    </w:p>
    <w:p>
      <w:pPr>
        <w:pStyle w:val="BodyText"/>
      </w:pPr>
      <w:r>
        <w:rPr>
          <w:bCs/>
          <w:b/>
        </w:rPr>
        <w:t xml:space="preserve">Broad sectors.</w:t>
      </w:r>
      <w:r>
        <w:t xml:space="preserve"> </w:t>
      </w:r>
      <w:r>
        <w:t xml:space="preserve">Legacy’s</w:t>
      </w:r>
      <w:r>
        <w:t xml:space="preserve"> </w:t>
      </w:r>
      <w:r>
        <w:t xml:space="preserve">“</w:t>
      </w:r>
      <w:r>
        <w:t xml:space="preserve">GHG by broad sector</w:t>
      </w:r>
      <w:r>
        <w:t xml:space="preserve">”</w:t>
      </w:r>
      <w:r>
        <w:t xml:space="preserve"> </w:t>
      </w:r>
      <w:r>
        <w:t xml:space="preserve">(rows 18229-18243) is the inventory categories, which section 14 already has. No allocation of CH4 and N2O to sectors is needed (Q32).</w:t>
      </w:r>
    </w:p>
    <w:p>
      <w:pPr>
        <w:pStyle w:val="BodyText"/>
      </w:pPr>
      <w:r>
        <w:rPr>
          <w:bCs/>
          <w:b/>
        </w:rPr>
        <w:t xml:space="preserve">Energy GHGs with forcing.</w:t>
      </w:r>
      <w:r>
        <w:t xml:space="preserve"> </w:t>
      </w:r>
      <w:r>
        <w:rPr>
          <w:rStyle w:val="VerbatimChar"/>
        </w:rPr>
        <w:t xml:space="preserve">ghg.enrp</w:t>
      </w:r>
      <w:r>
        <w:t xml:space="preserve"> </w:t>
      </w:r>
      <w:r>
        <w:t xml:space="preserve">= energy GHGs + the forcing of the local pollutants (</w:t>
      </w:r>
      <w:r>
        <w:rPr>
          <w:rStyle w:val="VerbatimChar"/>
        </w:rPr>
        <w:t xml:space="preserve">apf.all</w:t>
      </w:r>
      <w:r>
        <w:t xml:space="preserve">, section 15): legacy</w:t>
      </w:r>
      <w:r>
        <w:t xml:space="preserve"> </w:t>
      </w:r>
      <w:r>
        <w:t xml:space="preserve">“</w:t>
      </w:r>
      <w:r>
        <w:t xml:space="preserve">Total GHGs and PM</w:t>
      </w:r>
      <w:r>
        <w:t xml:space="preserve">”</w:t>
      </w:r>
      <w:r>
        <w:t xml:space="preserve">, rows 18310 and 18321.</w:t>
      </w:r>
    </w:p>
    <w:p>
      <w:pPr>
        <w:pStyle w:val="BodyText"/>
      </w:pPr>
      <w:r>
        <w:rPr>
          <w:bCs/>
          <w:b/>
        </w:rPr>
        <w:t xml:space="preserve">Later:</w:t>
      </w:r>
      <w:r>
        <w:t xml:space="preserve"> </w:t>
      </w:r>
      <w:r>
        <w:t xml:space="preserve">the NDC comparison (Q33; needs the NDC table).</w:t>
      </w:r>
    </w:p>
    <w:bookmarkEnd w:id="129"/>
    <w:bookmarkStart w:id="130" w:name="X3b728790f042e1a64c4b92f43dc2fa3b21a3b46"/>
    <w:p>
      <w:pPr>
        <w:pStyle w:val="Heading3"/>
      </w:pPr>
      <w:r>
        <w:t xml:space="preserve">6. Section 17 Carbon pricing (v3.15; legacy F3, F5d-e)</w:t>
      </w:r>
    </w:p>
    <w:p>
      <w:pPr>
        <w:pStyle w:val="FirstParagraph"/>
      </w:pPr>
      <w:r>
        <w:rPr>
          <w:bCs/>
          <w:b/>
        </w:rPr>
        <w:t xml:space="preserve">Implicit carbon price by fuel (</w:t>
      </w:r>
      <w:r>
        <w:rPr>
          <w:rStyle w:val="VerbatimChar"/>
          <w:bCs/>
          <w:b/>
        </w:rPr>
        <w:t xml:space="preserve">cpi.&lt;fuel&gt;</w:t>
      </w:r>
      <w:r>
        <w:rPr>
          <w:bCs/>
          <w:b/>
        </w:rPr>
        <w:t xml:space="preserve">, USD per tCO2).</w:t>
      </w:r>
      <w:r>
        <w:t xml:space="preserve"> </w:t>
      </w:r>
      <w:r>
        <w:t xml:space="preserve">Revenue net of subsidies of the fuel, divided by its CO2:</w:t>
      </w:r>
      <w:r>
        <w:t xml:space="preserve"> </w:t>
      </w:r>
      <w:r>
        <w:t xml:space="preserve">- revenue: existing taxes + subsidies + new policies, final use (</w:t>
      </w:r>
      <w:r>
        <w:rPr>
          <w:rStyle w:val="VerbatimChar"/>
        </w:rPr>
        <w:t xml:space="preserve">rfu</w:t>
      </w:r>
      <w:r>
        <w:t xml:space="preserve">) and power generation (</w:t>
      </w:r>
      <w:r>
        <w:rPr>
          <w:rStyle w:val="VerbatimChar"/>
        </w:rPr>
        <w:t xml:space="preserve">rfg</w:t>
      </w:r>
      <w:r>
        <w:t xml:space="preserve">);</w:t>
      </w:r>
      <w:r>
        <w:t xml:space="preserve"> </w:t>
      </w:r>
      <w:r>
        <w:t xml:space="preserve">- CO2: from section 13.</w:t>
      </w:r>
    </w:p>
    <w:p>
      <w:pPr>
        <w:pStyle w:val="BodyText"/>
      </w:pPr>
      <w:r>
        <w:t xml:space="preserve">This is legacy’s</w:t>
      </w:r>
      <w:r>
        <w:t xml:space="preserve"> </w:t>
      </w:r>
      <w:r>
        <w:t xml:space="preserve">“</w:t>
      </w:r>
      <w:r>
        <w:t xml:space="preserve">total carbon price</w:t>
      </w:r>
      <w:r>
        <w:t xml:space="preserve">”</w:t>
      </w:r>
      <w:r>
        <w:t xml:space="preserve"> </w:t>
      </w:r>
      <w:r>
        <w:t xml:space="preserve">by fuel (F5d), which divides the tax-and-subsidy wedge per GJ by the emission factor.</w:t>
      </w:r>
      <w:r>
        <w:t xml:space="preserve"> </w:t>
      </w:r>
      <w:r>
        <w:rPr>
          <w:rStyle w:val="VerbatimChar"/>
        </w:rPr>
        <w:t xml:space="preserve">cpi.all</w:t>
      </w:r>
      <w:r>
        <w:t xml:space="preserve"> </w:t>
      </w:r>
      <w:r>
        <w:t xml:space="preserve">is the same over the fossil fuels.</w:t>
      </w:r>
    </w:p>
    <w:p>
      <w:pPr>
        <w:pStyle w:val="BodyText"/>
      </w:pPr>
      <w:r>
        <w:t xml:space="preserve">Biomass is left out (Q34): it has no CO2, and legacy gives</w:t>
      </w:r>
      <w:r>
        <w:t xml:space="preserve"> </w:t>
      </w:r>
      <w:r>
        <w:rPr>
          <w:rStyle w:val="VerbatimChar"/>
        </w:rPr>
        <w:t xml:space="preserve">#DIV/0!</w:t>
      </w:r>
      <w:r>
        <w:t xml:space="preserve">. Egypt 2022: gas -151, diesel -249, LPG -280, all fossil fuels -179 USD per tCO2 (subsidies). A carbon tax of 20 USD raises every fuel by about 20.</w:t>
      </w:r>
    </w:p>
    <w:p>
      <w:pPr>
        <w:pStyle w:val="BodyText"/>
      </w:pPr>
      <w:r>
        <w:rPr>
          <w:bCs/>
          <w:b/>
        </w:rPr>
        <w:t xml:space="preserve">Effective carbon rate (</w:t>
      </w:r>
      <w:r>
        <w:rPr>
          <w:rStyle w:val="VerbatimChar"/>
          <w:bCs/>
          <w:b/>
        </w:rPr>
        <w:t xml:space="preserve">ecr</w:t>
      </w:r>
      <w:r>
        <w:rPr>
          <w:bCs/>
          <w:b/>
        </w:rPr>
        <w:t xml:space="preserve">, legacy row 16662).</w:t>
      </w:r>
      <w:r>
        <w:t xml:space="preserve"> </w:t>
      </w:r>
      <w:r>
        <w:rPr>
          <w:rStyle w:val="VerbatimChar"/>
        </w:rPr>
        <w:t xml:space="preserve">(rnet + rnew) / energy CO2</w:t>
      </w:r>
      <w:r>
        <w:t xml:space="preserve">, as legacy, so VAT, the electricity subsidy gap and electricity VAT count (issue I36: the OECD rate counts carbon taxes, excises and permit prices only). Egypt 2022: -207 USD per tCO2 (legacy -122; the price data differ).</w:t>
      </w:r>
    </w:p>
    <w:p>
      <w:pPr>
        <w:pStyle w:val="BodyText"/>
      </w:pPr>
      <w:r>
        <w:rPr>
          <w:bCs/>
          <w:b/>
        </w:rPr>
        <w:t xml:space="preserve">Effective carbon tax (</w:t>
      </w:r>
      <w:r>
        <w:rPr>
          <w:rStyle w:val="VerbatimChar"/>
          <w:bCs/>
          <w:b/>
        </w:rPr>
        <w:t xml:space="preserve">cpeff</w:t>
      </w:r>
      <w:r>
        <w:rPr>
          <w:bCs/>
          <w:b/>
        </w:rPr>
        <w:t xml:space="preserve">, legacy row 16137).</w:t>
      </w:r>
      <w:r>
        <w:t xml:space="preserve"> </w:t>
      </w:r>
      <w:r>
        <w:t xml:space="preserve">Carbon price x the share of energy CO2 it covers.</w:t>
      </w:r>
    </w:p>
    <w:p>
      <w:pPr>
        <w:pStyle w:val="BodyText"/>
      </w:pPr>
      <w:r>
        <w:rPr>
          <w:bCs/>
          <w:b/>
        </w:rPr>
        <w:t xml:space="preserve">Coverage.</w:t>
      </w:r>
      <w:r>
        <w:t xml:space="preserve"> </w:t>
      </w:r>
      <w:r>
        <w:t xml:space="preserve">-</w:t>
      </w:r>
      <w:r>
        <w:t xml:space="preserve"> </w:t>
      </w:r>
      <w:r>
        <w:rPr>
          <w:rStyle w:val="VerbatimChar"/>
        </w:rPr>
        <w:t xml:space="preserve">covct.&lt;sector&gt;</w:t>
      </w:r>
      <w:r>
        <w:t xml:space="preserve">: CO2 covered by the new carbon tax in each of the 17 coverage sectors. It is the CO2 of the fuels whose switch is on (</w:t>
      </w:r>
      <w:r>
        <w:rPr>
          <w:rStyle w:val="VerbatimChar"/>
        </w:rPr>
        <w:t xml:space="preserve">fc</w:t>
      </w:r>
      <w:r>
        <w:t xml:space="preserve"> </w:t>
      </w:r>
      <w:r>
        <w:t xml:space="preserve">rows), counted only where the sector’s carbon-tax rate is above 0. A sector in a non-complementary ETS has none. Power uses the CO2 of coal, gas and oil generation.</w:t>
      </w:r>
      <w:r>
        <w:t xml:space="preserve"> </w:t>
      </w:r>
      <w:r>
        <w:t xml:space="preserve">-</w:t>
      </w:r>
      <w:r>
        <w:t xml:space="preserve"> </w:t>
      </w:r>
      <w:r>
        <w:rPr>
          <w:rStyle w:val="VerbatimChar"/>
        </w:rPr>
        <w:t xml:space="preserve">cov.ct.&lt;group&gt;</w:t>
      </w:r>
      <w:r>
        <w:t xml:space="preserve">,</w:t>
      </w:r>
      <w:r>
        <w:t xml:space="preserve"> </w:t>
      </w:r>
      <w:r>
        <w:rPr>
          <w:rStyle w:val="VerbatimChar"/>
        </w:rPr>
        <w:t xml:space="preserve">cov.ct.all</w:t>
      </w:r>
      <w:r>
        <w:t xml:space="preserve">: shares of national energy CO2 (legacy rows 16152-16157). Egypt, carbon tax scenario, 2030: 99.8% (legacy 98.8%), of which power 41%.</w:t>
      </w:r>
      <w:r>
        <w:t xml:space="preserve"> </w:t>
      </w:r>
      <w:r>
        <w:t xml:space="preserve">-</w:t>
      </w:r>
      <w:r>
        <w:t xml:space="preserve"> </w:t>
      </w:r>
      <w:r>
        <w:rPr>
          <w:rStyle w:val="VerbatimChar"/>
        </w:rPr>
        <w:t xml:space="preserve">cov.ets</w:t>
      </w:r>
      <w:r>
        <w:t xml:space="preserve">: ETS coverage share (from</w:t>
      </w:r>
      <w:r>
        <w:t xml:space="preserve"> </w:t>
      </w:r>
      <w:r>
        <w:rPr>
          <w:rStyle w:val="VerbatimChar"/>
        </w:rPr>
        <w:t xml:space="preserve">co2.ets</w:t>
      </w:r>
      <w:r>
        <w:t xml:space="preserve">).</w:t>
      </w:r>
      <w:r>
        <w:t xml:space="preserve"> </w:t>
      </w:r>
      <w:r>
        <w:t xml:space="preserve">-</w:t>
      </w:r>
      <w:r>
        <w:t xml:space="preserve"> </w:t>
      </w:r>
      <w:r>
        <w:rPr>
          <w:rStyle w:val="VerbatimChar"/>
        </w:rPr>
        <w:t xml:space="preserve">cov.all</w:t>
      </w:r>
      <w:r>
        <w:t xml:space="preserve">: their sum.</w:t>
      </w:r>
    </w:p>
    <w:p>
      <w:pPr>
        <w:pStyle w:val="BodyText"/>
      </w:pPr>
      <w:r>
        <w:t xml:space="preserve">The</w:t>
      </w:r>
      <w:r>
        <w:t xml:space="preserve"> </w:t>
      </w:r>
      <w:r>
        <w:rPr>
          <w:rStyle w:val="VerbatimChar"/>
        </w:rPr>
        <w:t xml:space="preserve">cpi</w:t>
      </w:r>
      <w:r>
        <w:t xml:space="preserve">,</w:t>
      </w:r>
      <w:r>
        <w:t xml:space="preserve"> </w:t>
      </w:r>
      <w:r>
        <w:rPr>
          <w:rStyle w:val="VerbatimChar"/>
        </w:rPr>
        <w:t xml:space="preserve">ecr</w:t>
      </w:r>
      <w:r>
        <w:t xml:space="preserve">,</w:t>
      </w:r>
      <w:r>
        <w:t xml:space="preserve"> </w:t>
      </w:r>
      <w:r>
        <w:rPr>
          <w:rStyle w:val="VerbatimChar"/>
        </w:rPr>
        <w:t xml:space="preserve">cpeff</w:t>
      </w:r>
      <w:r>
        <w:t xml:space="preserve"> </w:t>
      </w:r>
      <w:r>
        <w:t xml:space="preserve">and coverage-share rows call</w:t>
      </w:r>
      <w:r>
        <w:t xml:space="preserve"> </w:t>
      </w:r>
      <w:r>
        <w:rPr>
          <w:rStyle w:val="VerbatimChar"/>
        </w:rPr>
        <w:t xml:space="preserve">SAFEDIV</w:t>
      </w:r>
      <w:r>
        <w:t xml:space="preserve"> </w:t>
      </w:r>
      <w:r>
        <w:t xml:space="preserve">/</w:t>
      </w:r>
      <w:r>
        <w:t xml:space="preserve"> </w:t>
      </w:r>
      <w:r>
        <w:rPr>
          <w:rStyle w:val="VerbatimChar"/>
        </w:rPr>
        <w:t xml:space="preserve">SCALEBY</w:t>
      </w:r>
      <w:r>
        <w:t xml:space="preserve"> </w:t>
      </w:r>
      <w:r>
        <w:t xml:space="preserve">in the LAMBDA column.</w:t>
      </w:r>
    </w:p>
    <w:p>
      <w:pPr>
        <w:pStyle w:val="BodyText"/>
      </w:pPr>
      <w:r>
        <w:t xml:space="preserve">LiveOutputs:</w:t>
      </w:r>
      <w:r>
        <w:t xml:space="preserve"> </w:t>
      </w:r>
      <w:r>
        <w:rPr>
          <w:rStyle w:val="VerbatimChar"/>
        </w:rPr>
        <w:t xml:space="preserve">cpi.all.all</w:t>
      </w:r>
      <w:r>
        <w:t xml:space="preserve">,</w:t>
      </w:r>
      <w:r>
        <w:t xml:space="preserve"> </w:t>
      </w:r>
      <w:r>
        <w:rPr>
          <w:rStyle w:val="VerbatimChar"/>
        </w:rPr>
        <w:t xml:space="preserve">ecr.all.all</w:t>
      </w:r>
      <w:r>
        <w:t xml:space="preserve">,</w:t>
      </w:r>
      <w:r>
        <w:t xml:space="preserve"> </w:t>
      </w:r>
      <w:r>
        <w:rPr>
          <w:rStyle w:val="VerbatimChar"/>
        </w:rPr>
        <w:t xml:space="preserve">cpeff.all.all</w:t>
      </w:r>
      <w:r>
        <w:t xml:space="preserve">,</w:t>
      </w:r>
      <w:r>
        <w:t xml:space="preserve"> </w:t>
      </w:r>
      <w:r>
        <w:rPr>
          <w:rStyle w:val="VerbatimChar"/>
        </w:rPr>
        <w:t xml:space="preserve">cov.all.all.all</w:t>
      </w:r>
      <w:r>
        <w:t xml:space="preserve">.</w:t>
      </w:r>
    </w:p>
    <w:bookmarkEnd w:id="130"/>
    <w:bookmarkStart w:id="131" w:name="X8fad9bcece15deb2168184fac8675981191faeb"/>
    <w:p>
      <w:pPr>
        <w:pStyle w:val="Heading3"/>
      </w:pPr>
      <w:r>
        <w:t xml:space="preserve">7. 16b External balance (v3.16; legacy F11, data rows 741-743)</w:t>
      </w:r>
    </w:p>
    <w:p>
      <w:pPr>
        <w:pStyle w:val="FirstParagraph"/>
      </w:pPr>
      <w:r>
        <w:t xml:space="preserve">Section 16 is renamed</w:t>
      </w:r>
      <w:r>
        <w:t xml:space="preserve"> </w:t>
      </w:r>
      <w:r>
        <w:t xml:space="preserve">“</w:t>
      </w:r>
      <w:r>
        <w:t xml:space="preserve">GDP effects and external balance</w:t>
      </w:r>
      <w:r>
        <w:t xml:space="preserve">”</w:t>
      </w:r>
      <w:r>
        <w:t xml:space="preserve"> </w:t>
      </w:r>
      <w:r>
        <w:t xml:space="preserve">(Q39).</w:t>
      </w:r>
    </w:p>
    <w:p>
      <w:pPr>
        <w:pStyle w:val="BodyText"/>
      </w:pPr>
      <w:r>
        <w:rPr>
          <w:bCs/>
          <w:b/>
        </w:rPr>
        <w:t xml:space="preserve">Data.</w:t>
      </w:r>
      <w:r>
        <w:t xml:space="preserve"> </w:t>
      </w:r>
      <w:r>
        <w:t xml:space="preserve">Legacy Mitigation rows 741-743 give the energy trade balance (exports - imports, USD bn real) of gas, oil products and coal, with their share traded: gas 0.19, oil products 0.47, coal 1.0. They are extracted by</w:t>
      </w:r>
      <w:r>
        <w:t xml:space="preserve"> </w:t>
      </w:r>
      <w:r>
        <w:rPr>
          <w:rStyle w:val="VerbatimChar"/>
        </w:rPr>
        <w:t xml:space="preserve">extract_gdp</w:t>
      </w:r>
      <w:r>
        <w:t xml:space="preserve"> </w:t>
      </w:r>
      <w:r>
        <w:t xml:space="preserve">into sheet WEO (</w:t>
      </w:r>
      <w:r>
        <w:rPr>
          <w:rStyle w:val="VerbatimChar"/>
        </w:rPr>
        <w:t xml:space="preserve">EGY|tb_&lt;group&gt;</w:t>
      </w:r>
      <w:r>
        <w:t xml:space="preserve">,</w:t>
      </w:r>
      <w:r>
        <w:t xml:space="preserve"> </w:t>
      </w:r>
      <w:r>
        <w:rPr>
          <w:rStyle w:val="VerbatimChar"/>
        </w:rPr>
        <w:t xml:space="preserve">EGY|ts_&lt;group&gt;</w:t>
      </w:r>
      <w:r>
        <w:t xml:space="preserve">).</w:t>
      </w:r>
    </w:p>
    <w:p>
      <w:pPr>
        <w:pStyle w:val="BodyText"/>
      </w:pPr>
      <w:r>
        <w:rPr>
          <w:bCs/>
          <w:b/>
        </w:rPr>
        <w:t xml:space="preserve">Change in net imports (</w:t>
      </w:r>
      <w:r>
        <w:rPr>
          <w:rStyle w:val="VerbatimChar"/>
          <w:bCs/>
          <w:b/>
        </w:rPr>
        <w:t xml:space="preserve">xnim</w:t>
      </w:r>
      <w:r>
        <w:rPr>
          <w:bCs/>
          <w:b/>
        </w:rPr>
        <w:t xml:space="preserve">, USD bn real; Q37).</w:t>
      </w:r>
      <w:r>
        <w:t xml:space="preserve"> </w:t>
      </w:r>
      <w:r>
        <w:t xml:space="preserve">By fossil fuel: change in use (11b,</w:t>
      </w:r>
      <w:r>
        <w:t xml:space="preserve"> </w:t>
      </w:r>
      <w:r>
        <w:rPr>
          <w:rStyle w:val="VerbatimChar"/>
        </w:rPr>
        <w:t xml:space="preserve">echg</w:t>
      </w:r>
      <w:r>
        <w:t xml:space="preserve">) x PJ per ktoe x supply price (section 2,</w:t>
      </w:r>
      <w:r>
        <w:t xml:space="preserve"> </w:t>
      </w:r>
      <w:r>
        <w:rPr>
          <w:rStyle w:val="VerbatimChar"/>
        </w:rPr>
        <w:t xml:space="preserve">sp</w:t>
      </w:r>
      <w:r>
        <w:t xml:space="preserve">, $/GJ) x the share traded of the fuel’s group (column D) / MperBn. Prices used:</w:t>
      </w:r>
      <w:r>
        <w:t xml:space="preserve"> </w:t>
      </w:r>
      <w:r>
        <w:t xml:space="preserve">- coal and gas: the industry supply price;</w:t>
      </w:r>
      <w:r>
        <w:t xml:space="preserve"> </w:t>
      </w:r>
      <w:r>
        <w:t xml:space="preserve">- jet fuel: kerosene;</w:t>
      </w:r>
      <w:r>
        <w:t xml:space="preserve"> </w:t>
      </w:r>
      <w:r>
        <w:t xml:space="preserve">- other fuels: their own</w:t>
      </w:r>
      <w:r>
        <w:t xml:space="preserve"> </w:t>
      </w:r>
      <w:r>
        <w:rPr>
          <w:rStyle w:val="VerbatimChar"/>
        </w:rPr>
        <w:t xml:space="preserve">.all</w:t>
      </w:r>
      <w:r>
        <w:t xml:space="preserve"> </w:t>
      </w:r>
      <w:r>
        <w:t xml:space="preserve">price code.</w:t>
      </w:r>
    </w:p>
    <w:p>
      <w:pPr>
        <w:pStyle w:val="BodyText"/>
      </w:pPr>
      <w:r>
        <w:t xml:space="preserve">The rows are summed by group (oil, gas, coal) and in total. Egypt, carbon tax 20 USD, 2030: -1.2 bn USD (oil -0.93).</w:t>
      </w:r>
    </w:p>
    <w:p>
      <w:pPr>
        <w:pStyle w:val="BodyText"/>
      </w:pPr>
      <w:r>
        <w:t xml:space="preserve">Legacy leaves the share out for oil (bug L49, fixed), so its oil effect is about twice as large.</w:t>
      </w:r>
    </w:p>
    <w:p>
      <w:pPr>
        <w:pStyle w:val="BodyText"/>
      </w:pPr>
      <w:r>
        <w:rPr>
          <w:bCs/>
          <w:b/>
        </w:rPr>
        <w:t xml:space="preserve">Trade balance.</w:t>
      </w:r>
      <w:r>
        <w:t xml:space="preserve"> </w:t>
      </w:r>
      <w:r>
        <w:t xml:space="preserve">-</w:t>
      </w:r>
      <w:r>
        <w:t xml:space="preserve"> </w:t>
      </w:r>
      <w:r>
        <w:rPr>
          <w:rStyle w:val="VerbatimChar"/>
        </w:rPr>
        <w:t xml:space="preserve">xtb.&lt;group&gt;</w:t>
      </w:r>
      <w:r>
        <w:t xml:space="preserve">,</w:t>
      </w:r>
      <w:r>
        <w:t xml:space="preserve"> </w:t>
      </w:r>
      <w:r>
        <w:rPr>
          <w:rStyle w:val="VerbatimChar"/>
        </w:rPr>
        <w:t xml:space="preserve">xtb.all</w:t>
      </w:r>
      <w:r>
        <w:t xml:space="preserve">: the baseline energy trade balance (data). Egypt 2022: -6.7 bn USD.</w:t>
      </w:r>
      <w:r>
        <w:t xml:space="preserve"> </w:t>
      </w:r>
      <w:r>
        <w:t xml:space="preserve">-</w:t>
      </w:r>
      <w:r>
        <w:t xml:space="preserve"> </w:t>
      </w:r>
      <w:r>
        <w:rPr>
          <w:rStyle w:val="VerbatimChar"/>
        </w:rPr>
        <w:t xml:space="preserve">xtbp</w:t>
      </w:r>
      <w:r>
        <w:t xml:space="preserve">: the scenario’s balance,</w:t>
      </w:r>
      <w:r>
        <w:t xml:space="preserve"> </w:t>
      </w:r>
      <w:r>
        <w:rPr>
          <w:rStyle w:val="VerbatimChar"/>
        </w:rPr>
        <w:t xml:space="preserve">xtb.all - xnim.all</w:t>
      </w:r>
      <w:r>
        <w:t xml:space="preserve">.</w:t>
      </w:r>
      <w:r>
        <w:t xml:space="preserve"> </w:t>
      </w:r>
      <w:r>
        <w:t xml:space="preserve">-</w:t>
      </w:r>
      <w:r>
        <w:t xml:space="preserve"> </w:t>
      </w:r>
      <w:r>
        <w:rPr>
          <w:rStyle w:val="VerbatimChar"/>
        </w:rPr>
        <w:t xml:space="preserve">xtb.pct</w:t>
      </w:r>
      <w:r>
        <w:t xml:space="preserve">,</w:t>
      </w:r>
      <w:r>
        <w:t xml:space="preserve"> </w:t>
      </w:r>
      <w:r>
        <w:rPr>
          <w:rStyle w:val="VerbatimChar"/>
        </w:rPr>
        <w:t xml:space="preserve">xnim.pct</w:t>
      </w:r>
      <w:r>
        <w:t xml:space="preserve">: shares of baseline real GDP (</w:t>
      </w:r>
      <w:r>
        <w:rPr>
          <w:rStyle w:val="VerbatimChar"/>
        </w:rPr>
        <w:t xml:space="preserve">SAFEDIV</w:t>
      </w:r>
      <w:r>
        <w:t xml:space="preserve">).</w:t>
      </w:r>
    </w:p>
    <w:p>
      <w:pPr>
        <w:pStyle w:val="BodyText"/>
      </w:pPr>
      <w:r>
        <w:t xml:space="preserve">Legacy’s balance-of-payments panel (rows 18195-18219) is not replicated (bug L50):</w:t>
      </w:r>
      <w:r>
        <w:t xml:space="preserve"> </w:t>
      </w:r>
      <w:r>
        <w:t xml:space="preserve">- its pre-policy current account is</w:t>
      </w:r>
      <w:r>
        <w:t xml:space="preserve"> </w:t>
      </w:r>
      <w:r>
        <w:rPr>
          <w:rStyle w:val="VerbatimChar"/>
        </w:rPr>
        <w:t xml:space="preserve">#NAME?</w:t>
      </w:r>
      <w:r>
        <w:t xml:space="preserve">;</w:t>
      </w:r>
      <w:r>
        <w:t xml:space="preserve"> </w:t>
      </w:r>
      <w:r>
        <w:t xml:space="preserve">- its rows lag one column, so it shows the 2021 balance (-5.85) in 2022;</w:t>
      </w:r>
      <w:r>
        <w:t xml:space="preserve"> </w:t>
      </w:r>
      <w:r>
        <w:t xml:space="preserve">- the sign of its policy net imports looks reversed.</w:t>
      </w:r>
    </w:p>
    <w:p>
      <w:pPr>
        <w:pStyle w:val="BodyText"/>
      </w:pPr>
      <w:r>
        <w:t xml:space="preserve">The current-account level (WEO</w:t>
      </w:r>
      <w:r>
        <w:t xml:space="preserve"> </w:t>
      </w:r>
      <w:r>
        <w:rPr>
          <w:rStyle w:val="VerbatimChar"/>
        </w:rPr>
        <w:t xml:space="preserve">BCA</w:t>
      </w:r>
      <w:r>
        <w:t xml:space="preserve">, Q38) waits for WEO data in the data step.</w:t>
      </w:r>
    </w:p>
    <w:p>
      <w:pPr>
        <w:pStyle w:val="BodyText"/>
      </w:pPr>
      <w:r>
        <w:t xml:space="preserve">LiveOutputs:</w:t>
      </w:r>
      <w:r>
        <w:t xml:space="preserve"> </w:t>
      </w:r>
      <w:r>
        <w:rPr>
          <w:rStyle w:val="VerbatimChar"/>
        </w:rPr>
        <w:t xml:space="preserve">xnim.all.all</w:t>
      </w:r>
      <w:r>
        <w:t xml:space="preserve">,</w:t>
      </w:r>
      <w:r>
        <w:t xml:space="preserve"> </w:t>
      </w:r>
      <w:r>
        <w:rPr>
          <w:rStyle w:val="VerbatimChar"/>
        </w:rPr>
        <w:t xml:space="preserve">xtbp.all.all</w:t>
      </w:r>
      <w:r>
        <w:t xml:space="preserve">,</w:t>
      </w:r>
      <w:r>
        <w:t xml:space="preserve"> </w:t>
      </w:r>
      <w:r>
        <w:rPr>
          <w:rStyle w:val="VerbatimChar"/>
        </w:rPr>
        <w:t xml:space="preserve">xtb.pct.all.all</w:t>
      </w:r>
      <w:r>
        <w:t xml:space="preserve">.</w:t>
      </w:r>
    </w:p>
    <w:bookmarkEnd w:id="131"/>
    <w:bookmarkStart w:id="132" w:name="Xb88d4916b821299d228e71c8e59c5e430b6f67d"/>
    <w:p>
      <w:pPr>
        <w:pStyle w:val="Heading3"/>
      </w:pPr>
      <w:r>
        <w:t xml:space="preserve">8. Section 18 Welfare and externalities, climate part (v3.17; legacy F10, rows 17392-17742)</w:t>
      </w:r>
    </w:p>
    <w:p>
      <w:pPr>
        <w:pStyle w:val="FirstParagraph"/>
      </w:pPr>
      <w:r>
        <w:rPr>
          <w:bCs/>
          <w:b/>
        </w:rPr>
        <w:t xml:space="preserve">Settings (rows 32-42; legacy rows 17671-17677).</w:t>
      </w:r>
      <w:r>
        <w:t xml:space="preserve"> </w:t>
      </w:r>
      <w:r>
        <w:t xml:space="preserve">Defaults as legacy: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Default</w:t>
            </w:r>
          </w:p>
        </w:tc>
      </w:tr>
      <w:tr>
        <w:tc>
          <w:tcPr/>
          <w:p>
            <w:pPr>
              <w:pStyle w:val="Compact"/>
              <w:jc w:val="left"/>
            </w:pPr>
            <w:r>
              <w:t xml:space="preserve">Target-consistent price</w:t>
            </w:r>
            <w:r>
              <w:t xml:space="preserve"> </w:t>
            </w:r>
            <w:r>
              <w:rPr>
                <w:rStyle w:val="VerbatimChar"/>
              </w:rPr>
              <w:t xml:space="preserve">SCCTgt</w:t>
            </w:r>
          </w:p>
        </w:tc>
        <w:tc>
          <w:tcPr/>
          <w:p>
            <w:pPr>
              <w:pStyle w:val="Compact"/>
              <w:jc w:val="left"/>
            </w:pPr>
            <w:r>
              <w:t xml:space="preserve">75 USD per tCO2 real</w:t>
            </w:r>
          </w:p>
        </w:tc>
      </w:tr>
      <w:tr>
        <w:tc>
          <w:tcPr/>
          <w:p>
            <w:pPr>
              <w:pStyle w:val="Compact"/>
              <w:jc w:val="left"/>
            </w:pPr>
            <w:r>
              <w:t xml:space="preserve">Its year</w:t>
            </w:r>
            <w:r>
              <w:t xml:space="preserve"> </w:t>
            </w:r>
            <w:r>
              <w:rPr>
                <w:rStyle w:val="VerbatimChar"/>
              </w:rPr>
              <w:t xml:space="preserve">SCCTgtYr</w:t>
            </w:r>
          </w:p>
        </w:tc>
        <w:tc>
          <w:tcPr/>
          <w:p>
            <w:pPr>
              <w:pStyle w:val="Compact"/>
              <w:jc w:val="left"/>
            </w:pPr>
            <w:r>
              <w:t xml:space="preserve">2030</w:t>
            </w:r>
          </w:p>
        </w:tc>
      </w:tr>
      <w:tr>
        <w:tc>
          <w:tcPr/>
          <w:p>
            <w:pPr>
              <w:pStyle w:val="Compact"/>
              <w:jc w:val="left"/>
            </w:pPr>
            <w:r>
              <w:t xml:space="preserve">Real growth</w:t>
            </w:r>
            <w:r>
              <w:t xml:space="preserve"> </w:t>
            </w:r>
            <w:r>
              <w:rPr>
                <w:rStyle w:val="VerbatimChar"/>
              </w:rPr>
              <w:t xml:space="preserve">SCCGr</w:t>
            </w:r>
          </w:p>
        </w:tc>
        <w:tc>
          <w:tcPr/>
          <w:p>
            <w:pPr>
              <w:pStyle w:val="Compact"/>
              <w:jc w:val="left"/>
            </w:pPr>
            <w:r>
              <w:t xml:space="preserve">4% a year</w:t>
            </w:r>
          </w:p>
        </w:tc>
      </w:tr>
      <w:tr>
        <w:tc>
          <w:tcPr/>
          <w:p>
            <w:pPr>
              <w:pStyle w:val="Compact"/>
              <w:jc w:val="left"/>
            </w:pPr>
            <w:r>
              <w:t xml:space="preserve">National and global SCC source (</w:t>
            </w:r>
            <w:r>
              <w:rPr>
                <w:rStyle w:val="VerbatimChar"/>
              </w:rPr>
              <w:t xml:space="preserve">NSCCSrc</w:t>
            </w:r>
            <w:r>
              <w:t xml:space="preserve">,</w:t>
            </w:r>
            <w:r>
              <w:t xml:space="preserve"> </w:t>
            </w:r>
            <w:r>
              <w:rPr>
                <w:rStyle w:val="VerbatimChar"/>
              </w:rPr>
              <w:t xml:space="preserve">GSCCSrc</w:t>
            </w:r>
            <w:r>
              <w:t xml:space="preserve">)</w:t>
            </w:r>
          </w:p>
        </w:tc>
        <w:tc>
          <w:tcPr/>
          <w:p>
            <w:pPr>
              <w:pStyle w:val="Compact"/>
              <w:jc w:val="left"/>
            </w:pPr>
            <w:r>
              <w:t xml:space="preserve">Target. The choices are Target, Ricke, Manual, EPA</w:t>
            </w:r>
          </w:p>
        </w:tc>
      </w:tr>
      <w:tr>
        <w:tc>
          <w:tcPr/>
          <w:p>
            <w:pPr>
              <w:pStyle w:val="Compact"/>
              <w:jc w:val="left"/>
            </w:pPr>
            <w:r>
              <w:t xml:space="preserve">Ricke et al. (2018) settings</w:t>
            </w:r>
          </w:p>
        </w:tc>
        <w:tc>
          <w:tcPr/>
          <w:p>
            <w:pPr>
              <w:pStyle w:val="Compact"/>
              <w:jc w:val="left"/>
            </w:pPr>
            <w:r>
              <w:t xml:space="preserve">pure rate of time preference 2, elasticity 1p5</w:t>
            </w:r>
          </w:p>
        </w:tc>
      </w:tr>
      <w:tr>
        <w:tc>
          <w:tcPr/>
          <w:p>
            <w:pPr>
              <w:pStyle w:val="Compact"/>
              <w:jc w:val="left"/>
            </w:pPr>
            <w:r>
              <w:t xml:space="preserve">US EPA SCC in the base year</w:t>
            </w:r>
          </w:p>
        </w:tc>
        <w:tc>
          <w:tcPr/>
          <w:p>
            <w:pPr>
              <w:pStyle w:val="Compact"/>
              <w:jc w:val="left"/>
            </w:pPr>
            <w:r>
              <w:t xml:space="preserve">62</w:t>
            </w:r>
          </w:p>
        </w:tc>
      </w:tr>
    </w:tbl>
    <w:p>
      <w:pPr>
        <w:pStyle w:val="BodyText"/>
      </w:pPr>
      <w:r>
        <w:rPr>
          <w:bCs/>
          <w:b/>
        </w:rPr>
        <w:t xml:space="preserve">SCC options (Q40; legacy rows 17680-17713).</w:t>
      </w:r>
      <w:r>
        <w:t xml:space="preserve"> </w:t>
      </w:r>
      <w:r>
        <w:t xml:space="preserve">Egypt 2022 values are given.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Option</w:t>
            </w:r>
          </w:p>
        </w:tc>
        <w:tc>
          <w:tcPr/>
          <w:p>
            <w:pPr>
              <w:pStyle w:val="Compact"/>
              <w:jc w:val="left"/>
            </w:pPr>
            <w:r>
              <w:t xml:space="preserve">Formula</w:t>
            </w:r>
          </w:p>
        </w:tc>
        <w:tc>
          <w:tcPr/>
          <w:p>
            <w:pPr>
              <w:pStyle w:val="Compact"/>
              <w:jc w:val="left"/>
            </w:pPr>
            <w:r>
              <w:t xml:space="preserve">Egypt 2022</w:t>
            </w:r>
          </w:p>
        </w:tc>
      </w:tr>
      <w:tr>
        <w:tc>
          <w:tcPr/>
          <w:p>
            <w:pPr>
              <w:pStyle w:val="Compact"/>
              <w:jc w:val="left"/>
            </w:pPr>
            <w:r>
              <w:rPr>
                <w:rStyle w:val="VerbatimChar"/>
              </w:rPr>
              <w:t xml:space="preserve">scc.tgt</w:t>
            </w:r>
          </w:p>
        </w:tc>
        <w:tc>
          <w:tcPr/>
          <w:p>
            <w:pPr>
              <w:pStyle w:val="Compact"/>
              <w:jc w:val="left"/>
            </w:pPr>
            <w:r>
              <w:t xml:space="preserve">SCCTgt x (1 + SCCGr)^(year - SCCTgtYr)</w:t>
            </w:r>
          </w:p>
        </w:tc>
        <w:tc>
          <w:tcPr/>
          <w:p>
            <w:pPr>
              <w:pStyle w:val="Compact"/>
              <w:jc w:val="left"/>
            </w:pPr>
            <w:r>
              <w:t xml:space="preserve">54.8</w:t>
            </w:r>
          </w:p>
        </w:tc>
      </w:tr>
      <w:tr>
        <w:tc>
          <w:tcPr/>
          <w:p>
            <w:pPr>
              <w:pStyle w:val="Compact"/>
              <w:jc w:val="left"/>
            </w:pPr>
            <w:r>
              <w:rPr>
                <w:rStyle w:val="VerbatimChar"/>
              </w:rPr>
              <w:t xml:space="preserve">scc.rkn</w:t>
            </w:r>
          </w:p>
        </w:tc>
        <w:tc>
          <w:tcPr/>
          <w:p>
            <w:pPr>
              <w:pStyle w:val="Compact"/>
              <w:jc w:val="left"/>
            </w:pPr>
            <w:r>
              <w:t xml:space="preserve">Ricke national value (new data sheet</w:t>
            </w:r>
            <w:r>
              <w:t xml:space="preserve"> </w:t>
            </w:r>
            <w:r>
              <w:rPr>
                <w:rStyle w:val="VerbatimChar"/>
              </w:rPr>
              <w:t xml:space="preserve">SCC</w:t>
            </w:r>
            <w:r>
              <w:t xml:space="preserve">, key</w:t>
            </w:r>
            <w:r>
              <w:t xml:space="preserve"> </w:t>
            </w:r>
            <w:r>
              <w:rPr>
                <w:rStyle w:val="VerbatimChar"/>
              </w:rPr>
              <w:t xml:space="preserve">egy.2.1p5</w:t>
            </w:r>
            <w:r>
              <w:t xml:space="preserve">) x (1 + SCCGr)^(year - base year)</w:t>
            </w:r>
          </w:p>
        </w:tc>
        <w:tc>
          <w:tcPr/>
          <w:p>
            <w:pPr>
              <w:pStyle w:val="Compact"/>
              <w:jc w:val="left"/>
            </w:pPr>
            <w:r>
              <w:t xml:space="preserve">6.87</w:t>
            </w:r>
          </w:p>
        </w:tc>
      </w:tr>
      <w:tr>
        <w:tc>
          <w:tcPr/>
          <w:p>
            <w:pPr>
              <w:pStyle w:val="Compact"/>
              <w:jc w:val="left"/>
            </w:pPr>
            <w:r>
              <w:rPr>
                <w:rStyle w:val="VerbatimChar"/>
              </w:rPr>
              <w:t xml:space="preserve">scc.rkg</w:t>
            </w:r>
          </w:p>
        </w:tc>
        <w:tc>
          <w:tcPr/>
          <w:p>
            <w:pPr>
              <w:pStyle w:val="Compact"/>
              <w:jc w:val="left"/>
            </w:pPr>
            <w:r>
              <w:t xml:space="preserve">Ricke global value (</w:t>
            </w:r>
            <w:r>
              <w:rPr>
                <w:rStyle w:val="VerbatimChar"/>
              </w:rPr>
              <w:t xml:space="preserve">wld.2.1p5</w:t>
            </w:r>
            <w:r>
              <w:t xml:space="preserve">), same growth</w:t>
            </w:r>
          </w:p>
        </w:tc>
        <w:tc>
          <w:tcPr/>
          <w:p>
            <w:pPr>
              <w:pStyle w:val="Compact"/>
              <w:jc w:val="left"/>
            </w:pPr>
            <w:r>
              <w:t xml:space="preserve">462</w:t>
            </w:r>
          </w:p>
        </w:tc>
      </w:tr>
      <w:tr>
        <w:tc>
          <w:tcPr/>
          <w:p>
            <w:pPr>
              <w:pStyle w:val="Compact"/>
              <w:jc w:val="left"/>
            </w:pPr>
            <w:r>
              <w:rPr>
                <w:rStyle w:val="VerbatimChar"/>
              </w:rPr>
              <w:t xml:space="preserve">scc.man</w:t>
            </w:r>
          </w:p>
        </w:tc>
        <w:tc>
          <w:tcPr/>
          <w:p>
            <w:pPr>
              <w:pStyle w:val="Compact"/>
              <w:jc w:val="left"/>
            </w:pPr>
            <w:r>
              <w:t xml:space="preserve">manual path:</w:t>
            </w:r>
            <w:r>
              <w:t xml:space="preserve"> </w:t>
            </w:r>
            <w:r>
              <w:t xml:space="preserve">‘</w:t>
            </w:r>
            <w:r>
              <w:t xml:space="preserve">Manual inputs</w:t>
            </w:r>
            <w:r>
              <w:t xml:space="preserve">’</w:t>
            </w:r>
            <w:r>
              <w:t xml:space="preserve"> </w:t>
            </w:r>
            <w:r>
              <w:t xml:space="preserve">row 237 (v5.2, L103 fixed; legacy reads the path typed on Mitigation row 17683)</w:t>
            </w:r>
          </w:p>
        </w:tc>
        <w:tc>
          <w:tcPr/>
          <w:p>
            <w:pPr>
              <w:pStyle w:val="Compact"/>
              <w:jc w:val="left"/>
            </w:pPr>
            <w:r>
              <w:t xml:space="preserve">50.0 in 2025, +4% a year</w:t>
            </w:r>
          </w:p>
        </w:tc>
      </w:tr>
      <w:tr>
        <w:tc>
          <w:tcPr/>
          <w:p>
            <w:pPr>
              <w:pStyle w:val="Compact"/>
              <w:jc w:val="left"/>
            </w:pPr>
            <w:r>
              <w:rPr>
                <w:rStyle w:val="VerbatimChar"/>
              </w:rPr>
              <w:t xml:space="preserve">scc.epa</w:t>
            </w:r>
          </w:p>
        </w:tc>
        <w:tc>
          <w:tcPr/>
          <w:p>
            <w:pPr>
              <w:pStyle w:val="Compact"/>
              <w:jc w:val="left"/>
            </w:pPr>
            <w:r>
              <w:t xml:space="preserve">US EPA value, same growth</w:t>
            </w:r>
          </w:p>
        </w:tc>
        <w:tc>
          <w:tcPr/>
          <w:p>
            <w:pPr>
              <w:pStyle w:val="Compact"/>
              <w:jc w:val="left"/>
            </w:pPr>
            <w:r>
              <w:t xml:space="preserve">62</w:t>
            </w:r>
          </w:p>
        </w:tc>
      </w:tr>
      <w:tr>
        <w:tc>
          <w:tcPr/>
          <w:p>
            <w:pPr>
              <w:pStyle w:val="Compact"/>
              <w:jc w:val="left"/>
            </w:pPr>
            <w:r>
              <w:rPr>
                <w:rStyle w:val="VerbatimChar"/>
              </w:rPr>
              <w:t xml:space="preserve">scc.nat</w:t>
            </w:r>
            <w:r>
              <w:t xml:space="preserve">,</w:t>
            </w:r>
            <w:r>
              <w:t xml:space="preserve"> </w:t>
            </w:r>
            <w:r>
              <w:rPr>
                <w:rStyle w:val="VerbatimChar"/>
              </w:rPr>
              <w:t xml:space="preserve">scc.glo</w:t>
            </w:r>
          </w:p>
        </w:tc>
        <w:tc>
          <w:tcPr/>
          <w:p>
            <w:pPr>
              <w:pStyle w:val="Compact"/>
              <w:jc w:val="left"/>
            </w:pPr>
            <w:r>
              <w:t xml:space="preserve">the selected options (CHOOSE)</w:t>
            </w:r>
          </w:p>
        </w:tc>
        <w:tc>
          <w:tcPr/>
          <w:p>
            <w:pPr>
              <w:pStyle w:val="Compact"/>
            </w:pPr>
          </w:p>
        </w:tc>
      </w:tr>
    </w:tbl>
    <w:p>
      <w:pPr>
        <w:pStyle w:val="BodyText"/>
      </w:pPr>
      <w:r>
        <w:t xml:space="preserve">All equal legacy.</w:t>
      </w:r>
    </w:p>
    <w:p>
      <w:pPr>
        <w:pStyle w:val="BodyText"/>
      </w:pPr>
      <w:r>
        <w:rPr>
          <w:bCs/>
          <w:b/>
        </w:rPr>
        <w:t xml:space="preserve">Climate damages.</w:t>
      </w:r>
      <w:r>
        <w:t xml:space="preserve"> </w:t>
      </w:r>
      <w:r>
        <w:t xml:space="preserve">-</w:t>
      </w:r>
      <w:r>
        <w:t xml:space="preserve"> </w:t>
      </w:r>
      <w:r>
        <w:rPr>
          <w:rStyle w:val="VerbatimChar"/>
        </w:rPr>
        <w:t xml:space="preserve">dmg</w:t>
      </w:r>
      <w:r>
        <w:t xml:space="preserve">: SCC x GHG excl. LULUCF (section 14), USD bn. Egypt 2022: 22.9 bn, against legacy’s 22.0, because the inventories differ slightly.</w:t>
      </w:r>
      <w:r>
        <w:t xml:space="preserve"> </w:t>
      </w:r>
      <w:r>
        <w:t xml:space="preserve">-</w:t>
      </w:r>
      <w:r>
        <w:t xml:space="preserve"> </w:t>
      </w:r>
      <w:r>
        <w:rPr>
          <w:rStyle w:val="VerbatimChar"/>
        </w:rPr>
        <w:t xml:space="preserve">wcli</w:t>
      </w:r>
      <w:r>
        <w:t xml:space="preserve">: damages of scenario 1 - damages of the scenario, i.e. the damages avoided (national, global).</w:t>
      </w:r>
    </w:p>
    <w:p>
      <w:pPr>
        <w:pStyle w:val="BodyText"/>
      </w:pPr>
      <w:r>
        <w:rPr>
          <w:bCs/>
          <w:b/>
        </w:rPr>
        <w:t xml:space="preserve">Efficiency (deadweight) costs of energy (Q41; legacy rows 17636-17648).</w:t>
      </w:r>
      <w:r>
        <w:t xml:space="preserve"> </w:t>
      </w:r>
      <w:r>
        <w:t xml:space="preserve">For each fuel, power generation fuels included, and electricity:</w:t>
      </w:r>
      <w:r>
        <w:t xml:space="preserve"> </w:t>
      </w:r>
      <w:r>
        <w:t xml:space="preserve">- tax wedge</w:t>
      </w:r>
      <w:r>
        <w:t xml:space="preserve"> </w:t>
      </w:r>
      <w:r>
        <w:rPr>
          <w:rStyle w:val="VerbatimChar"/>
        </w:rPr>
        <w:t xml:space="preserve">wdg</w:t>
      </w:r>
      <w:r>
        <w:t xml:space="preserve"> </w:t>
      </w:r>
      <w:r>
        <w:t xml:space="preserve">= revenue net of subsidies per unit of use (USD m per ktoe; 12d rows / section 11 use; electricity:</w:t>
      </w:r>
      <w:r>
        <w:t xml:space="preserve"> </w:t>
      </w:r>
      <w:r>
        <w:rPr>
          <w:rStyle w:val="VerbatimChar"/>
        </w:rPr>
        <w:t xml:space="preserve">rfu.ecy</w:t>
      </w:r>
      <w:r>
        <w:t xml:space="preserve"> </w:t>
      </w:r>
      <w:r>
        <w:t xml:space="preserve">/ electricity demand);</w:t>
      </w:r>
      <w:r>
        <w:t xml:space="preserve"> </w:t>
      </w:r>
      <w:r>
        <w:t xml:space="preserve">- cost</w:t>
      </w:r>
      <w:r>
        <w:t xml:space="preserve"> </w:t>
      </w:r>
      <w:r>
        <w:rPr>
          <w:rStyle w:val="VerbatimChar"/>
        </w:rPr>
        <w:t xml:space="preserve">eff</w:t>
      </w:r>
      <w:r>
        <w:t xml:space="preserve"> </w:t>
      </w:r>
      <w:r>
        <w:t xml:space="preserve">= -(wedge + wedge of scenario 1) / 2 x change in use / MperBn (LAMBDA TRAPEZOID).</w:t>
      </w:r>
    </w:p>
    <w:p>
      <w:pPr>
        <w:pStyle w:val="BodyText"/>
      </w:pPr>
      <w:r>
        <w:t xml:space="preserve">This is legacy’s trapezoid: Harberger triangle + rectangle. With subsidies (negative wedges), a fall in use is a gain. Egypt, carbon tax 20 USD, 2031: -1.25 bn USD (gain), mostly electricity and diesel.</w:t>
      </w:r>
    </w:p>
    <w:p>
      <w:pPr>
        <w:pStyle w:val="BodyText"/>
      </w:pPr>
      <w:r>
        <w:t xml:space="preserve">Legacy bugs not replicated:</w:t>
      </w:r>
      <w:r>
        <w:t xml:space="preserve"> </w:t>
      </w:r>
      <w:r>
        <w:t xml:space="preserve">- the LPG pre-existing tax row is empty (the LPG average tax is halved);</w:t>
      </w:r>
      <w:r>
        <w:t xml:space="preserve"> </w:t>
      </w:r>
      <w:r>
        <w:t xml:space="preserve">- diesel and kerosene are converted with the wrong factors;</w:t>
      </w:r>
      <w:r>
        <w:t xml:space="preserve"> </w:t>
      </w:r>
      <w:r>
        <w:t xml:space="preserve">- the coal row is offset;</w:t>
      </w:r>
      <w:r>
        <w:t xml:space="preserve"> </w:t>
      </w:r>
      <w:r>
        <w:t xml:space="preserve">- non-road oil is</w:t>
      </w:r>
      <w:r>
        <w:t xml:space="preserve"> </w:t>
      </w:r>
      <w:r>
        <w:rPr>
          <w:rStyle w:val="VerbatimChar"/>
        </w:rPr>
        <w:t xml:space="preserve">#N/A</w:t>
      </w:r>
      <w:r>
        <w:t xml:space="preserve">.</w:t>
      </w:r>
    </w:p>
    <w:p>
      <w:pPr>
        <w:pStyle w:val="BodyText"/>
      </w:pPr>
      <w:r>
        <w:rPr>
          <w:bCs/>
          <w:b/>
        </w:rPr>
        <w:t xml:space="preserve">Efficiency costs of the methane fee (Q43; legacy rows 17628-17634,</w:t>
      </w:r>
      <w:r>
        <w:rPr>
          <w:bCs/>
          <w:b/>
        </w:rPr>
        <w:t xml:space="preserve"> </w:t>
      </w:r>
      <w:r>
        <w:rPr>
          <w:bCs/>
          <w:b/>
        </w:rPr>
        <w:t xml:space="preserve">“</w:t>
      </w:r>
      <w:r>
        <w:rPr>
          <w:bCs/>
          <w:b/>
        </w:rPr>
        <w:t xml:space="preserve">integral</w:t>
      </w:r>
      <w:r>
        <w:rPr>
          <w:bCs/>
          <w:b/>
        </w:rPr>
        <w:t xml:space="preserve">”</w:t>
      </w:r>
      <w:r>
        <w:rPr>
          <w:bCs/>
          <w:b/>
        </w:rPr>
        <w:t xml:space="preserve">).</w:t>
      </w:r>
      <w:r>
        <w:t xml:space="preserve"> </w:t>
      </w:r>
      <w:r>
        <w:t xml:space="preserve">For each methane source:</w:t>
      </w:r>
      <w:r>
        <w:t xml:space="preserve"> </w:t>
      </w:r>
      <w:r>
        <w:t xml:space="preserve">-</w:t>
      </w:r>
      <w:r>
        <w:t xml:space="preserve"> </w:t>
      </w:r>
      <w:r>
        <w:rPr>
          <w:rStyle w:val="VerbatimChar"/>
        </w:rPr>
        <w:t xml:space="preserve">mfp</w:t>
      </w:r>
      <w:r>
        <w:t xml:space="preserve">: the fee per t CH4 used on the abatement curve, capped where abatement reaches 1 (MFEEPRICE);</w:t>
      </w:r>
      <w:r>
        <w:t xml:space="preserve"> </w:t>
      </w:r>
      <w:r>
        <w:t xml:space="preserve">-</w:t>
      </w:r>
      <w:r>
        <w:t xml:space="preserve"> </w:t>
      </w:r>
      <w:r>
        <w:rPr>
          <w:rStyle w:val="VerbatimChar"/>
        </w:rPr>
        <w:t xml:space="preserve">mfc</w:t>
      </w:r>
      <w:r>
        <w:t xml:space="preserve">: the area under the abatement curve, a x fee^b, i.e. unabated emissions x abated share x price x b / (1 + b) / Million (MFEECOST).</w:t>
      </w:r>
    </w:p>
    <w:p>
      <w:pPr>
        <w:pStyle w:val="BodyText"/>
      </w:pPr>
      <w:r>
        <w:t xml:space="preserve">The fee is 0 in the shipped scenarios. A test with a fee of 50 USD per tCO2e agrees with the Python recomputation.</w:t>
      </w:r>
    </w:p>
    <w:p>
      <w:pPr>
        <w:pStyle w:val="BodyText"/>
      </w:pPr>
      <w:r>
        <w:rPr>
          <w:bCs/>
          <w:b/>
        </w:rPr>
        <w:t xml:space="preserve">Welfare summary (national; legacy rows 17727-17742).</w:t>
      </w:r>
      <w:r>
        <w:t xml:space="preserve"> </w:t>
      </w:r>
      <w:r>
        <w:t xml:space="preserve">-</w:t>
      </w:r>
      <w:r>
        <w:t xml:space="preserve"> </w:t>
      </w:r>
      <w:r>
        <w:rPr>
          <w:rStyle w:val="VerbatimChar"/>
        </w:rPr>
        <w:t xml:space="preserve">wel.usd</w:t>
      </w:r>
      <w:r>
        <w:t xml:space="preserve"> </w:t>
      </w:r>
      <w:r>
        <w:t xml:space="preserve">= avoided national damages - efficiency costs of energy - methane-fee costs;</w:t>
      </w:r>
      <w:r>
        <w:t xml:space="preserve"> </w:t>
      </w:r>
      <w:r>
        <w:t xml:space="preserve">-</w:t>
      </w:r>
      <w:r>
        <w:t xml:space="preserve"> </w:t>
      </w:r>
      <w:r>
        <w:rPr>
          <w:rStyle w:val="VerbatimChar"/>
        </w:rPr>
        <w:t xml:space="preserve">wel.pct</w:t>
      </w:r>
      <w:r>
        <w:t xml:space="preserve">,</w:t>
      </w:r>
      <w:r>
        <w:t xml:space="preserve"> </w:t>
      </w:r>
      <w:r>
        <w:rPr>
          <w:rStyle w:val="VerbatimChar"/>
        </w:rPr>
        <w:t xml:space="preserve">wel.cli</w:t>
      </w:r>
      <w:r>
        <w:t xml:space="preserve">,</w:t>
      </w:r>
      <w:r>
        <w:t xml:space="preserve"> </w:t>
      </w:r>
      <w:r>
        <w:rPr>
          <w:rStyle w:val="VerbatimChar"/>
        </w:rPr>
        <w:t xml:space="preserve">wel.eff</w:t>
      </w:r>
      <w:r>
        <w:t xml:space="preserve">: shares of baseline real GDP.</w:t>
      </w:r>
    </w:p>
    <w:p>
      <w:pPr>
        <w:pStyle w:val="BodyText"/>
      </w:pPr>
      <w:r>
        <w:t xml:space="preserve">Egypt, carbon tax 20 USD, 2031: +3.2 bn USD (0.39% of GDP).</w:t>
      </w:r>
    </w:p>
    <w:p>
      <w:pPr>
        <w:pStyle w:val="BodyText"/>
      </w:pPr>
      <w:r>
        <w:rPr>
          <w:bCs/>
          <w:b/>
        </w:rPr>
        <w:t xml:space="preserve">Not as rows (Q42, NORMS 3c):</w:t>
      </w:r>
      <w:r>
        <w:t xml:space="preserve"> </w:t>
      </w:r>
      <w:r>
        <w:t xml:space="preserve">the air-pollution and transport co-benefits, externalities per unit, explicit and implicit subsidies, efficient prices. They come with their modules.</w:t>
      </w:r>
    </w:p>
    <w:p>
      <w:pPr>
        <w:pStyle w:val="BodyText"/>
      </w:pPr>
      <w:r>
        <w:t xml:space="preserve">LiveOutputs:</w:t>
      </w:r>
      <w:r>
        <w:t xml:space="preserve"> </w:t>
      </w:r>
      <w:r>
        <w:rPr>
          <w:rStyle w:val="VerbatimChar"/>
        </w:rPr>
        <w:t xml:space="preserve">scc.all.nat</w:t>
      </w:r>
      <w:r>
        <w:t xml:space="preserve">,</w:t>
      </w:r>
      <w:r>
        <w:t xml:space="preserve"> </w:t>
      </w:r>
      <w:r>
        <w:rPr>
          <w:rStyle w:val="VerbatimChar"/>
        </w:rPr>
        <w:t xml:space="preserve">wcli.all.nat</w:t>
      </w:r>
      <w:r>
        <w:t xml:space="preserve">,</w:t>
      </w:r>
      <w:r>
        <w:t xml:space="preserve"> </w:t>
      </w:r>
      <w:r>
        <w:rPr>
          <w:rStyle w:val="VerbatimChar"/>
        </w:rPr>
        <w:t xml:space="preserve">eff.all.all</w:t>
      </w:r>
      <w:r>
        <w:t xml:space="preserve">,</w:t>
      </w:r>
      <w:r>
        <w:t xml:space="preserve"> </w:t>
      </w:r>
      <w:r>
        <w:rPr>
          <w:rStyle w:val="VerbatimChar"/>
        </w:rPr>
        <w:t xml:space="preserve">mfc.all.all</w:t>
      </w:r>
      <w:r>
        <w:t xml:space="preserve">,</w:t>
      </w:r>
      <w:r>
        <w:t xml:space="preserve"> </w:t>
      </w:r>
      <w:r>
        <w:rPr>
          <w:rStyle w:val="VerbatimChar"/>
        </w:rPr>
        <w:t xml:space="preserve">wel.all.usd</w:t>
      </w:r>
      <w:r>
        <w:t xml:space="preserve">,</w:t>
      </w:r>
      <w:r>
        <w:t xml:space="preserve"> </w:t>
      </w:r>
      <w:r>
        <w:rPr>
          <w:rStyle w:val="VerbatimChar"/>
        </w:rPr>
        <w:t xml:space="preserve">wel.all.pct</w:t>
      </w:r>
      <w:r>
        <w:t xml:space="preserve">.</w:t>
      </w:r>
    </w:p>
    <w:bookmarkEnd w:id="132"/>
    <w:bookmarkEnd w:id="133"/>
    <w:bookmarkStart w:id="140" w:name="method-distribution-module"/>
    <w:p>
      <w:pPr>
        <w:pStyle w:val="Heading1"/>
      </w:pPr>
      <w:r>
        <w:t xml:space="preserve">Method: distribution module</w:t>
      </w:r>
    </w:p>
    <w:p>
      <w:pPr>
        <w:pStyle w:val="FirstParagraph"/>
      </w:pPr>
      <w:r>
        <w:rPr>
          <w:iCs/>
          <w:i/>
        </w:rPr>
        <w:t xml:space="preserve">Source:</w:t>
      </w:r>
      <w:r>
        <w:rPr>
          <w:iCs/>
          <w:i/>
        </w:rPr>
        <w:t xml:space="preserve"> </w:t>
      </w:r>
      <w:r>
        <w:rPr>
          <w:rStyle w:val="VerbatimChar"/>
          <w:iCs/>
          <w:i/>
        </w:rPr>
        <w:t xml:space="preserve">Distribution_Method_v7_0.md</w:t>
      </w:r>
      <w:r>
        <w:rPr>
          <w:iCs/>
          <w:i/>
        </w:rPr>
        <w:t xml:space="preserve">.</w:t>
      </w:r>
    </w:p>
    <w:p>
      <w:pPr>
        <w:pStyle w:val="BodyText"/>
      </w:pPr>
      <w:r>
        <w:t xml:space="preserve">The household incidence of a scenario in one analysis year, by decile. It follows legacy CPAT’s sheet</w:t>
      </w:r>
      <w:r>
        <w:t xml:space="preserve"> </w:t>
      </w:r>
      <w:r>
        <w:rPr>
          <w:rStyle w:val="VerbatimChar"/>
        </w:rPr>
        <w:t xml:space="preserve">Distribution</w:t>
      </w:r>
      <w:r>
        <w:t xml:space="preserve"> </w:t>
      </w:r>
      <w:r>
        <w:t xml:space="preserve">and its LiveOutputs rows 911-1033, with legacy’s bugs fixed.</w:t>
      </w:r>
    </w:p>
    <w:p>
      <w:pPr>
        <w:numPr>
          <w:ilvl w:val="0"/>
          <w:numId w:val="1069"/>
        </w:numPr>
        <w:pStyle w:val="Compact"/>
      </w:pPr>
      <w:r>
        <w:rPr>
          <w:bCs/>
          <w:b/>
        </w:rPr>
        <w:t xml:space="preserve">Builder:</w:t>
      </w:r>
      <w:r>
        <w:t xml:space="preserve"> </w:t>
      </w:r>
      <w:r>
        <w:rPr>
          <w:rStyle w:val="VerbatimChar"/>
        </w:rPr>
        <w:t xml:space="preserve">build_v7_0.py</w:t>
      </w:r>
      <w:r>
        <w:t xml:space="preserve"> </w:t>
      </w:r>
      <w:r>
        <w:t xml:space="preserve">(</w:t>
      </w:r>
      <w:r>
        <w:rPr>
          <w:rStyle w:val="VerbatimChar"/>
        </w:rPr>
        <w:t xml:space="preserve">build_distribution</w:t>
      </w:r>
      <w:r>
        <w:t xml:space="preserve">,</w:t>
      </w:r>
      <w:r>
        <w:t xml:space="preserve"> </w:t>
      </w:r>
      <w:r>
        <w:rPr>
          <w:rStyle w:val="VerbatimChar"/>
        </w:rPr>
        <w:t xml:space="preserve">build_distribution_data</w:t>
      </w:r>
      <w:r>
        <w:t xml:space="preserve">,</w:t>
      </w:r>
      <w:r>
        <w:t xml:space="preserve"> </w:t>
      </w:r>
      <w:r>
        <w:rPr>
          <w:rStyle w:val="VerbatimChar"/>
        </w:rPr>
        <w:t xml:space="preserve">build_mto_distribution</w:t>
      </w:r>
      <w:r>
        <w:t xml:space="preserve">).</w:t>
      </w:r>
    </w:p>
    <w:p>
      <w:pPr>
        <w:numPr>
          <w:ilvl w:val="0"/>
          <w:numId w:val="1069"/>
        </w:numPr>
        <w:pStyle w:val="Compact"/>
      </w:pPr>
      <w:r>
        <w:rPr>
          <w:bCs/>
          <w:b/>
        </w:rPr>
        <w:t xml:space="preserve">Data:</w:t>
      </w:r>
      <w:r>
        <w:t xml:space="preserve"> </w:t>
      </w:r>
      <w:r>
        <w:rPr>
          <w:rStyle w:val="VerbatimChar"/>
        </w:rPr>
        <w:t xml:space="preserve">extract_distn_v7_0.py</w:t>
      </w:r>
      <w:r>
        <w:t xml:space="preserve"> </w:t>
      </w:r>
      <w:r>
        <w:t xml:space="preserve">writes</w:t>
      </w:r>
      <w:r>
        <w:t xml:space="preserve"> </w:t>
      </w:r>
      <w:r>
        <w:rPr>
          <w:rStyle w:val="VerbatimChar"/>
        </w:rPr>
        <w:t xml:space="preserve">data/distn_*.csv</w:t>
      </w:r>
      <w:r>
        <w:t xml:space="preserve">.</w:t>
      </w:r>
    </w:p>
    <w:p>
      <w:pPr>
        <w:numPr>
          <w:ilvl w:val="0"/>
          <w:numId w:val="1069"/>
        </w:numPr>
        <w:pStyle w:val="Compact"/>
      </w:pPr>
      <w:r>
        <w:rPr>
          <w:bCs/>
          <w:b/>
        </w:rPr>
        <w:t xml:space="preserve">Independent check:</w:t>
      </w:r>
      <w:r>
        <w:t xml:space="preserve"> </w:t>
      </w:r>
      <w:r>
        <w:rPr>
          <w:rStyle w:val="VerbatimChar"/>
        </w:rPr>
        <w:t xml:space="preserve">distribution_ref_v7_0.py</w:t>
      </w:r>
      <w:r>
        <w:t xml:space="preserve">, a Python reference.</w:t>
      </w:r>
    </w:p>
    <w:p>
      <w:pPr>
        <w:numPr>
          <w:ilvl w:val="0"/>
          <w:numId w:val="1069"/>
        </w:numPr>
        <w:pStyle w:val="Compact"/>
      </w:pPr>
      <w:r>
        <w:rPr>
          <w:bCs/>
          <w:b/>
        </w:rPr>
        <w:t xml:space="preserve">Legacy formulas:</w:t>
      </w:r>
      <w:r>
        <w:t xml:space="preserve"> </w:t>
      </w:r>
      <w:r>
        <w:t xml:space="preserve">condensed in</w:t>
      </w:r>
      <w:r>
        <w:t xml:space="preserve"> </w:t>
      </w:r>
      <w:r>
        <w:rPr>
          <w:rStyle w:val="VerbatimChar"/>
        </w:rPr>
        <w:t xml:space="preserve">../distribution/</w:t>
      </w:r>
      <w:r>
        <w:t xml:space="preserve"> </w:t>
      </w:r>
      <w:r>
        <w:t xml:space="preserve">(see the plan,</w:t>
      </w:r>
      <w:r>
        <w:t xml:space="preserve"> </w:t>
      </w:r>
      <w:r>
        <w:rPr>
          <w:rStyle w:val="VerbatimChar"/>
        </w:rPr>
        <w:t xml:space="preserve">PLAN_Distribution_in_MVP.md</w:t>
      </w:r>
      <w:r>
        <w:t xml:space="preserve">).</w:t>
      </w:r>
    </w:p>
    <w:bookmarkStart w:id="134" w:name="layout-norms-1.1b"/>
    <w:p>
      <w:pPr>
        <w:pStyle w:val="Heading3"/>
      </w:pPr>
      <w:r>
        <w:t xml:space="preserve">1. Layout (NORMS 1.1b)</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Part</w:t>
            </w:r>
          </w:p>
        </w:tc>
        <w:tc>
          <w:tcPr/>
          <w:p>
            <w:pPr>
              <w:pStyle w:val="Compact"/>
              <w:jc w:val="left"/>
            </w:pPr>
            <w:r>
              <w:t xml:space="preserve">Content</w:t>
            </w:r>
          </w:p>
        </w:tc>
      </w:tr>
      <w:tr>
        <w:tc>
          <w:tcPr/>
          <w:p>
            <w:pPr>
              <w:pStyle w:val="Compact"/>
              <w:jc w:val="left"/>
            </w:pPr>
            <w:r>
              <w:t xml:space="preserve">Rows 1-12</w:t>
            </w:r>
          </w:p>
        </w:tc>
        <w:tc>
          <w:tcPr/>
          <w:p>
            <w:pPr>
              <w:pStyle w:val="Compact"/>
              <w:jc w:val="left"/>
            </w:pPr>
            <w:r>
              <w:t xml:space="preserve">Row 1 holds 0 (shown as</w:t>
            </w:r>
            <w:r>
              <w:t xml:space="preserve"> </w:t>
            </w:r>
            <w:r>
              <w:rPr>
                <w:rStyle w:val="VerbatimChar"/>
              </w:rPr>
              <w:t xml:space="preserve">Basket</w:t>
            </w:r>
            <w:r>
              <w:t xml:space="preserve">) and the deciles 1-10. Rows 4-5: scenario name and number, formatted as Mitigation (frozen with rows 1-3). Row 6: position of the group. Rows 7-8: Mitigation column of the analysis year in group 1 and in this group. Row 9: statistic. Rows 10-11: survey code parts. Row 12: analysis year, the summary of section 0 (v4.8; row 10 before).</w:t>
            </w:r>
          </w:p>
        </w:tc>
      </w:tr>
      <w:tr>
        <w:tc>
          <w:tcPr/>
          <w:p>
            <w:pPr>
              <w:pStyle w:val="Compact"/>
              <w:jc w:val="left"/>
            </w:pPr>
            <w:r>
              <w:t xml:space="preserve">Roll-up (v4.8, NORMS 2.5)</w:t>
            </w:r>
          </w:p>
        </w:tc>
        <w:tc>
          <w:tcPr/>
          <w:p>
            <w:pPr>
              <w:pStyle w:val="Compact"/>
              <w:jc w:val="left"/>
            </w:pPr>
            <w:r>
              <w:t xml:space="preserve">One row group per section: the band and, below the hidden rows, the summary row (last in its section) and one blank row stay visible. Summaries, all overall: 0 analysis year, 1 options check, 2 revenue, 3 average indirect price change of the consumption categories (budget-share weighted), 4 average price factor of the household fuels (budget-share weighted), 5 energy budget share (fuels and biomass), 6 total effect, 7 total consumption, 8 recycling gain, 9 net effect after recycling. Sections 6-9 list urban and rural first, overall last. Columns C:G and I:K are one column group each, rolled up, as Mitigation; zoom 75.</w:t>
            </w:r>
          </w:p>
        </w:tc>
      </w:tr>
      <w:tr>
        <w:tc>
          <w:tcPr/>
          <w:p>
            <w:pPr>
              <w:pStyle w:val="Compact"/>
              <w:jc w:val="left"/>
            </w:pPr>
            <w:r>
              <w:t xml:space="preserve">Columns</w:t>
            </w:r>
          </w:p>
        </w:tc>
        <w:tc>
          <w:tcPr/>
          <w:p>
            <w:pPr>
              <w:pStyle w:val="Compact"/>
              <w:jc w:val="left"/>
            </w:pPr>
            <w:r>
              <w:t xml:space="preserve">A variable, B item, C sample (</w:t>
            </w:r>
            <w:r>
              <w:rPr>
                <w:rStyle w:val="VerbatimChar"/>
              </w:rPr>
              <w:t xml:space="preserve">ove</w:t>
            </w:r>
            <w:r>
              <w:t xml:space="preserve">,</w:t>
            </w:r>
            <w:r>
              <w:t xml:space="preserve"> </w:t>
            </w:r>
            <w:r>
              <w:rPr>
                <w:rStyle w:val="VerbatimChar"/>
              </w:rPr>
              <w:t xml:space="preserve">urb</w:t>
            </w:r>
            <w:r>
              <w:t xml:space="preserve">,</w:t>
            </w:r>
            <w:r>
              <w:t xml:space="preserve"> </w:t>
            </w:r>
            <w:r>
              <w:rPr>
                <w:rStyle w:val="VerbatimChar"/>
              </w:rPr>
              <w:t xml:space="preserve">rur</w:t>
            </w:r>
            <w:r>
              <w:t xml:space="preserve">), D-E parameters (data variable, sample label), H description, I unit, J source (legacy rows). Per group: code column, basket, deciles 1-10, spacer (13 columns, from K; v4.8: deciles 9 wide; totals in local currency shown in bn and population in m, values unchanged).</w:t>
            </w:r>
          </w:p>
        </w:tc>
      </w:tr>
      <w:tr>
        <w:tc>
          <w:tcPr/>
          <w:p>
            <w:pPr>
              <w:pStyle w:val="Compact"/>
              <w:jc w:val="left"/>
            </w:pPr>
            <w:r>
              <w:t xml:space="preserve">Groups</w:t>
            </w:r>
          </w:p>
        </w:tc>
        <w:tc>
          <w:tcPr/>
          <w:p>
            <w:pPr>
              <w:pStyle w:val="Compact"/>
              <w:jc w:val="left"/>
            </w:pPr>
            <w:r>
              <w:t xml:space="preserve">1 = scenario 1 (levels; effects 0), 2 = the policy scenario, 3 = the LAMBDA test group (runs group 2’s scenario and reads Mitigation’s LAMBDA group). Pasting group 2 to the right adds scenarios 3-6 (NORMS 3e, scenario capacity).</w:t>
            </w:r>
          </w:p>
        </w:tc>
      </w:tr>
      <w:tr>
        <w:tc>
          <w:tcPr/>
          <w:p>
            <w:pPr>
              <w:pStyle w:val="Compact"/>
              <w:jc w:val="left"/>
            </w:pPr>
            <w:r>
              <w:t xml:space="preserve">Row kinds</w:t>
            </w:r>
          </w:p>
        </w:tc>
        <w:tc>
          <w:tcPr/>
          <w:p>
            <w:pPr>
              <w:pStyle w:val="Compact"/>
              <w:jc w:val="left"/>
            </w:pPr>
            <w:r>
              <w:t xml:space="preserve">Settings and one-value rows: the value in the basket column, repeated across the deciles (so every cell refers to its own column). Decile rows: one formula across basket and deciles. Decile-only rows (recycling): the basket column is blank.</w:t>
            </w:r>
          </w:p>
        </w:tc>
      </w:tr>
      <w:tr>
        <w:tc>
          <w:tcPr/>
          <w:p>
            <w:pPr>
              <w:pStyle w:val="Compact"/>
              <w:jc w:val="left"/>
            </w:pPr>
            <w:r>
              <w:t xml:space="preserve">Codes</w:t>
            </w:r>
          </w:p>
        </w:tc>
        <w:tc>
          <w:tcPr/>
          <w:p>
            <w:pPr>
              <w:pStyle w:val="Compact"/>
              <w:jc w:val="left"/>
            </w:pPr>
            <w:r>
              <w:rPr>
                <w:rStyle w:val="VerbatimChar"/>
              </w:rPr>
              <w:t xml:space="preserve">iso.distn.&lt;variable&gt;[.&lt;item&gt;][.dec.&lt;sample&gt;].&lt;scenario&gt;</w:t>
            </w:r>
            <w:r>
              <w:t xml:space="preserve">. LiveOutputs reads the legacy codes without the scenario suffix, from the group of the scenario in its column E.</w:t>
            </w:r>
          </w:p>
        </w:tc>
      </w:tr>
    </w:tbl>
    <w:bookmarkEnd w:id="134"/>
    <w:bookmarkStart w:id="135" w:name="chain-sections-of-the-sheet"/>
    <w:p>
      <w:pPr>
        <w:pStyle w:val="Heading3"/>
      </w:pPr>
      <w:r>
        <w:t xml:space="preserve">2. Chain (sections of the sheet)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Section</w:t>
            </w:r>
          </w:p>
        </w:tc>
        <w:tc>
          <w:tcPr/>
          <w:p>
            <w:pPr>
              <w:pStyle w:val="Compact"/>
              <w:jc w:val="left"/>
            </w:pPr>
            <w:r>
              <w:t xml:space="preserve">Formula</w:t>
            </w:r>
          </w:p>
        </w:tc>
        <w:tc>
          <w:tcPr/>
          <w:p>
            <w:pPr>
              <w:pStyle w:val="Compact"/>
              <w:jc w:val="left"/>
            </w:pPr>
            <w:r>
              <w:t xml:space="preserve">Legacy</w:t>
            </w:r>
          </w:p>
        </w:tc>
      </w:tr>
      <w:tr>
        <w:tc>
          <w:tcPr/>
          <w:p>
            <w:pPr>
              <w:pStyle w:val="Compact"/>
              <w:jc w:val="left"/>
            </w:pPr>
            <w:r>
              <w:t xml:space="preserve">1 Settings</w:t>
            </w:r>
          </w:p>
        </w:tc>
        <w:tc>
          <w:tcPr/>
          <w:p>
            <w:pPr>
              <w:pStyle w:val="Compact"/>
              <w:jc w:val="left"/>
            </w:pPr>
            <w:r>
              <w:t xml:space="preserve">The 23 ScenarioDefinition distribution settings of the group’s scenario (rows 197-205, 304-319). Derived: infrastructure-access variable, ASPIRE program, most-used cooking fuel. A support check names any option v4.4 does not model.</w:t>
            </w:r>
          </w:p>
        </w:tc>
        <w:tc>
          <w:tcPr/>
          <w:p>
            <w:pPr>
              <w:pStyle w:val="Compact"/>
              <w:jc w:val="left"/>
            </w:pPr>
            <w:r>
              <w:t xml:space="preserve">B.I</w:t>
            </w:r>
          </w:p>
        </w:tc>
      </w:tr>
      <w:tr>
        <w:tc>
          <w:tcPr/>
          <w:p>
            <w:pPr>
              <w:pStyle w:val="Compact"/>
              <w:jc w:val="left"/>
            </w:pPr>
            <w:r>
              <w:t xml:space="preserve">2 Inputs</w:t>
            </w:r>
          </w:p>
        </w:tc>
        <w:tc>
          <w:tcPr/>
          <w:p>
            <w:pPr>
              <w:pStyle w:val="Compact"/>
              <w:jc w:val="left"/>
            </w:pPr>
            <w:r>
              <w:rPr>
                <w:bCs/>
                <w:b/>
              </w:rPr>
              <w:t xml:space="preserve">Household price change by fuel:</w:t>
            </w:r>
            <w:r>
              <w:t xml:space="preserve"> </w:t>
            </w:r>
            <w:r>
              <w:t xml:space="preserve">residential after-tax price</w:t>
            </w:r>
            <w:r>
              <w:t xml:space="preserve"> </w:t>
            </w:r>
            <w:r>
              <w:rPr>
                <w:rStyle w:val="VerbatimChar"/>
              </w:rPr>
              <w:t xml:space="preserve">atp.&lt;f&gt;.res</w:t>
            </w:r>
            <w:r>
              <w:t xml:space="preserve"> </w:t>
            </w:r>
            <w:r>
              <w:t xml:space="preserve">(electricity: retail price</w:t>
            </w:r>
            <w:r>
              <w:t xml:space="preserve"> </w:t>
            </w:r>
            <w:r>
              <w:rPr>
                <w:rStyle w:val="VerbatimChar"/>
              </w:rPr>
              <w:t xml:space="preserve">rp.ecy.res</w:t>
            </w:r>
            <w:r>
              <w:t xml:space="preserve">) / scenario 1 - 1.</w:t>
            </w:r>
            <w:r>
              <w:t xml:space="preserve"> </w:t>
            </w:r>
            <w:r>
              <w:rPr>
                <w:bCs/>
                <w:b/>
              </w:rPr>
              <w:t xml:space="preserve">Economy-wide change:</w:t>
            </w:r>
            <w:r>
              <w:t xml:space="preserve"> </w:t>
            </w:r>
            <w:r>
              <w:rPr>
                <w:rStyle w:val="VerbatimChar"/>
              </w:rPr>
              <w:t xml:space="preserve">rpn</w:t>
            </w:r>
            <w:r>
              <w:t xml:space="preserve"> </w:t>
            </w:r>
            <w:r>
              <w:t xml:space="preserve">(coal and gas: industry; oil products: all sectors; electricity:</w:t>
            </w:r>
            <w:r>
              <w:t xml:space="preserve"> </w:t>
            </w:r>
            <w:r>
              <w:rPr>
                <w:rStyle w:val="VerbatimChar"/>
              </w:rPr>
              <w:t xml:space="preserve">rp.ecy.ind</w:t>
            </w:r>
            <w:r>
              <w:t xml:space="preserve">).</w:t>
            </w:r>
            <w:r>
              <w:t xml:space="preserve"> </w:t>
            </w:r>
            <w:r>
              <w:rPr>
                <w:bCs/>
                <w:b/>
              </w:rPr>
              <w:t xml:space="preserve">Scenario-1 base-year spending:</w:t>
            </w:r>
            <w:r>
              <w:t xml:space="preserve"> </w:t>
            </w:r>
            <w:r>
              <w:rPr>
                <w:rStyle w:val="VerbatimChar"/>
              </w:rPr>
              <w:t xml:space="preserve">pav.sp</w:t>
            </w:r>
            <w:r>
              <w:t xml:space="preserve">.</w:t>
            </w:r>
            <w:r>
              <w:t xml:space="preserve"> </w:t>
            </w:r>
            <w:r>
              <w:rPr>
                <w:bCs/>
                <w:b/>
              </w:rPr>
              <w:t xml:space="preserve">Macro inputs:</w:t>
            </w:r>
            <w:r>
              <w:t xml:space="preserve"> </w:t>
            </w:r>
            <w:r>
              <w:t xml:space="preserve">GDP (LCU), population, new-policy revenue (</w:t>
            </w:r>
            <w:r>
              <w:rPr>
                <w:rStyle w:val="VerbatimChar"/>
              </w:rPr>
              <w:t xml:space="preserve">rnew</w:t>
            </w:r>
            <w:r>
              <w:t xml:space="preserve"> </w:t>
            </w:r>
            <w:r>
              <w:t xml:space="preserve">x</w:t>
            </w:r>
            <w:r>
              <w:t xml:space="preserve"> </w:t>
            </w:r>
            <w:r>
              <w:rPr>
                <w:rStyle w:val="VerbatimChar"/>
              </w:rPr>
              <w:t xml:space="preserve">xr</w:t>
            </w:r>
            <w:r>
              <w:t xml:space="preserve">).</w:t>
            </w:r>
          </w:p>
        </w:tc>
        <w:tc>
          <w:tcPr/>
          <w:p>
            <w:pPr>
              <w:pStyle w:val="Compact"/>
              <w:jc w:val="left"/>
            </w:pPr>
            <w:r>
              <w:t xml:space="preserve">B.II-B.III, C.I 528-556, I152-I237</w:t>
            </w:r>
          </w:p>
        </w:tc>
      </w:tr>
      <w:tr>
        <w:tc>
          <w:tcPr/>
          <w:p>
            <w:pPr>
              <w:pStyle w:val="Compact"/>
              <w:jc w:val="left"/>
            </w:pPr>
            <w:r>
              <w:t xml:space="preserve">3 Indirect prices</w:t>
            </w:r>
          </w:p>
        </w:tc>
        <w:tc>
          <w:tcPr/>
          <w:p>
            <w:pPr>
              <w:pStyle w:val="Compact"/>
              <w:jc w:val="left"/>
            </w:pPr>
            <w:r>
              <w:t xml:space="preserve">Category price change = Σ_f Lcat(c,f) x g_f. Lcat is the household-demand weighted Leontief coefficient (IO_GTAP table). g_f = R_f / T_f, with R_f = Σ spending x price change of the fuel group and T_f = total embedded plus own use.</w:t>
            </w:r>
          </w:p>
        </w:tc>
        <w:tc>
          <w:tcPr/>
          <w:p>
            <w:pPr>
              <w:pStyle w:val="Compact"/>
              <w:jc w:val="left"/>
            </w:pPr>
            <w:r>
              <w:t xml:space="preserve">C.I 496-736</w:t>
            </w:r>
          </w:p>
        </w:tc>
      </w:tr>
      <w:tr>
        <w:tc>
          <w:tcPr/>
          <w:p>
            <w:pPr>
              <w:pStyle w:val="Compact"/>
              <w:jc w:val="left"/>
            </w:pPr>
            <w:r>
              <w:t xml:space="preserve">4 Price factors</w:t>
            </w:r>
          </w:p>
        </w:tc>
        <w:tc>
          <w:tcPr/>
          <w:p>
            <w:pPr>
              <w:pStyle w:val="Compact"/>
              <w:jc w:val="left"/>
            </w:pPr>
            <w:r>
              <w:t xml:space="preserve">dp x (1 + dp)^ε (HH_Elast, decile-specific; PEDs). The exempt cooking fuel is 0 for the bottom deciles.</w:t>
            </w:r>
          </w:p>
        </w:tc>
        <w:tc>
          <w:tcPr/>
          <w:p>
            <w:pPr>
              <w:pStyle w:val="Compact"/>
              <w:jc w:val="left"/>
            </w:pPr>
            <w:r>
              <w:t xml:space="preserve">C.II 801-825</w:t>
            </w:r>
          </w:p>
        </w:tc>
      </w:tr>
      <w:tr>
        <w:tc>
          <w:tcPr/>
          <w:p>
            <w:pPr>
              <w:pStyle w:val="Compact"/>
              <w:jc w:val="left"/>
            </w:pPr>
            <w:r>
              <w:t xml:space="preserve">5 Budget shares</w:t>
            </w:r>
          </w:p>
        </w:tc>
        <w:tc>
          <w:tcPr/>
          <w:p>
            <w:pPr>
              <w:pStyle w:val="Compact"/>
              <w:jc w:val="left"/>
            </w:pPr>
            <w:r>
              <w:t xml:space="preserve">HHSurvey by sample, statistic (row 9) and decile.</w:t>
            </w:r>
          </w:p>
        </w:tc>
        <w:tc>
          <w:tcPr/>
          <w:p>
            <w:pPr>
              <w:pStyle w:val="Compact"/>
              <w:jc w:val="left"/>
            </w:pPr>
            <w:r>
              <w:t xml:space="preserve">C.III-C.IV</w:t>
            </w:r>
          </w:p>
        </w:tc>
      </w:tr>
      <w:tr>
        <w:tc>
          <w:tcPr/>
          <w:p>
            <w:pPr>
              <w:pStyle w:val="Compact"/>
              <w:jc w:val="left"/>
            </w:pPr>
            <w:r>
              <w:t xml:space="preserve">6 Effects</w:t>
            </w:r>
          </w:p>
        </w:tc>
        <w:tc>
          <w:tcPr/>
          <w:p>
            <w:pPr>
              <w:pStyle w:val="Compact"/>
              <w:jc w:val="left"/>
            </w:pPr>
            <w:r>
              <w:t xml:space="preserve">Effect = -price factor x budget share x loss scale (% of consumption, loss negative). Loss scale = behavioural factor (InferredDist: revenue / implied revenue) + DWLTri x (1 - factor) if DWLs.</w:t>
            </w:r>
          </w:p>
        </w:tc>
        <w:tc>
          <w:tcPr/>
          <w:p>
            <w:pPr>
              <w:pStyle w:val="Compact"/>
              <w:jc w:val="left"/>
            </w:pPr>
            <w:r>
              <w:t xml:space="preserve">C.V-C.VII, D.II</w:t>
            </w:r>
          </w:p>
        </w:tc>
      </w:tr>
      <w:tr>
        <w:tc>
          <w:tcPr/>
          <w:p>
            <w:pPr>
              <w:pStyle w:val="Compact"/>
              <w:jc w:val="left"/>
            </w:pPr>
            <w:r>
              <w:t xml:space="preserve">7 Rebasing</w:t>
            </w:r>
          </w:p>
        </w:tc>
        <w:tc>
          <w:tcPr/>
          <w:p>
            <w:pPr>
              <w:pStyle w:val="Compact"/>
              <w:jc w:val="left"/>
            </w:pPr>
            <w:r>
              <w:t xml:space="preserve">Population = survey population x population / survey population. Per-capita consumption = survey value x national consumption / (survey basket x population). National consumption = GDP x consumption share (WDI, latest year).</w:t>
            </w:r>
          </w:p>
        </w:tc>
        <w:tc>
          <w:tcPr/>
          <w:p>
            <w:pPr>
              <w:pStyle w:val="Compact"/>
              <w:jc w:val="left"/>
            </w:pPr>
            <w:r>
              <w:t xml:space="preserve">C.VIII</w:t>
            </w:r>
          </w:p>
        </w:tc>
      </w:tr>
      <w:tr>
        <w:tc>
          <w:tcPr/>
          <w:p>
            <w:pPr>
              <w:pStyle w:val="Compact"/>
              <w:jc w:val="left"/>
            </w:pPr>
            <w:r>
              <w:t xml:space="preserve">8 Recycling</w:t>
            </w:r>
          </w:p>
        </w:tc>
        <w:tc>
          <w:tcPr/>
          <w:p>
            <w:pPr>
              <w:pStyle w:val="Compact"/>
              <w:jc w:val="left"/>
            </w:pPr>
            <w:r>
              <w:rPr>
                <w:bCs/>
                <w:b/>
              </w:rPr>
              <w:t xml:space="preserve">PIT</w:t>
            </w:r>
            <w:r>
              <w:t xml:space="preserve"> </w:t>
            </w:r>
            <w:r>
              <w:t xml:space="preserve">(personal allowance, proportional, targeted exemption).</w:t>
            </w:r>
            <w:r>
              <w:t xml:space="preserve"> </w:t>
            </w:r>
            <w:r>
              <w:rPr>
                <w:bCs/>
                <w:b/>
              </w:rPr>
              <w:t xml:space="preserve">Targeted cash transfer</w:t>
            </w:r>
            <w:r>
              <w:t xml:space="preserve"> </w:t>
            </w:r>
            <w:r>
              <w:t xml:space="preserve">(bottom percentile, coverage, leakage).</w:t>
            </w:r>
            <w:r>
              <w:t xml:space="preserve"> </w:t>
            </w:r>
            <w:r>
              <w:rPr>
                <w:bCs/>
                <w:b/>
              </w:rPr>
              <w:t xml:space="preserve">Public investment</w:t>
            </w:r>
            <w:r>
              <w:t xml:space="preserve"> </w:t>
            </w:r>
            <w:r>
              <w:t xml:space="preserve">(people without access).</w:t>
            </w:r>
            <w:r>
              <w:t xml:space="preserve"> </w:t>
            </w:r>
            <w:r>
              <w:rPr>
                <w:bCs/>
                <w:b/>
              </w:rPr>
              <w:t xml:space="preserve">Current spending</w:t>
            </w:r>
            <w:r>
              <w:t xml:space="preserve"> </w:t>
            </w:r>
            <w:r>
              <w:t xml:space="preserve">(ASPIRE quintiles). All per capita, then in % of each sample’s consumption.</w:t>
            </w:r>
          </w:p>
        </w:tc>
        <w:tc>
          <w:tcPr/>
          <w:p>
            <w:pPr>
              <w:pStyle w:val="Compact"/>
              <w:jc w:val="left"/>
            </w:pPr>
            <w:r>
              <w:t xml:space="preserve">C.X-C.XI</w:t>
            </w:r>
          </w:p>
        </w:tc>
      </w:tr>
      <w:tr>
        <w:tc>
          <w:tcPr/>
          <w:p>
            <w:pPr>
              <w:pStyle w:val="Compact"/>
              <w:jc w:val="left"/>
            </w:pPr>
            <w:r>
              <w:t xml:space="preserve">9 Net, compensation, Gini</w:t>
            </w:r>
          </w:p>
        </w:tc>
        <w:tc>
          <w:tcPr/>
          <w:p>
            <w:pPr>
              <w:pStyle w:val="Compact"/>
              <w:jc w:val="left"/>
            </w:pPr>
            <w:r>
              <w:t xml:space="preserve">Net effect = effect + recycling. Compensation share = loss x consumption / Σ. Gini = 1 - SUMPRODUCT(consumption, DGiniW) / SUM(consumption), base, after the price effects and after recycling.</w:t>
            </w:r>
          </w:p>
        </w:tc>
        <w:tc>
          <w:tcPr/>
          <w:p>
            <w:pPr>
              <w:pStyle w:val="Compact"/>
              <w:jc w:val="left"/>
            </w:pPr>
            <w:r>
              <w:t xml:space="preserve">C.IX, C.XII, D.V</w:t>
            </w:r>
          </w:p>
        </w:tc>
      </w:tr>
    </w:tbl>
    <w:p>
      <w:pPr>
        <w:pStyle w:val="BodyText"/>
      </w:pPr>
      <w:r>
        <w:t xml:space="preserve">Two identities let the sheet stay short:</w:t>
      </w:r>
    </w:p>
    <w:p>
      <w:pPr>
        <w:numPr>
          <w:ilvl w:val="0"/>
          <w:numId w:val="1070"/>
        </w:numPr>
        <w:pStyle w:val="Compact"/>
      </w:pPr>
      <w:r>
        <w:rPr>
          <w:bCs/>
          <w:b/>
        </w:rPr>
        <w:t xml:space="preserve">Indirect prices (ScaleGTAP = Yes, legacy default).</w:t>
      </w:r>
    </w:p>
    <w:p>
      <w:pPr>
        <w:numPr>
          <w:ilvl w:val="1"/>
          <w:numId w:val="1071"/>
        </w:numPr>
        <w:pStyle w:val="Compact"/>
      </w:pPr>
      <w:r>
        <w:t xml:space="preserve">Legacy rescales each GTAP sector’s raw price change by k(s) = Σ_f σ(f,s) R_f / Σ_f Emb(f,s) dp(f,s).</w:t>
      </w:r>
    </w:p>
    <w:p>
      <w:pPr>
        <w:numPr>
          <w:ilvl w:val="1"/>
          <w:numId w:val="1071"/>
        </w:numPr>
        <w:pStyle w:val="Compact"/>
      </w:pPr>
      <w:r>
        <w:t xml:space="preserve">With Emb(f,s) = Y_s L(f,s) and σ(f,s) = Emb(f,s) / T_f, the sector’s adjusted change is Σ_f L(f,s) R_f / T_f. The sector-specific fuel prices cancel.</w:t>
      </w:r>
    </w:p>
    <w:p>
      <w:pPr>
        <w:numPr>
          <w:ilvl w:val="1"/>
          <w:numId w:val="1071"/>
        </w:numPr>
        <w:pStyle w:val="Compact"/>
      </w:pPr>
      <w:r>
        <w:t xml:space="preserve">Checked on legacy’s cache: all 59 sectors to 4e-16, and the 14 categories to 3e-6 (legacy prints 6 digits).</w:t>
      </w:r>
    </w:p>
    <w:p>
      <w:pPr>
        <w:numPr>
          <w:ilvl w:val="1"/>
          <w:numId w:val="1071"/>
        </w:numPr>
        <w:pStyle w:val="Compact"/>
      </w:pPr>
      <w:r>
        <w:t xml:space="preserve">ScaleGTAP = No uses g_f = R_f / spending_f, i.e. the economy-wide price change. Legacy instead uses the price change of each GTAP sector’s CPAT sector; that simplification is recorded.</w:t>
      </w:r>
    </w:p>
    <w:p>
      <w:pPr>
        <w:numPr>
          <w:ilvl w:val="0"/>
          <w:numId w:val="1070"/>
        </w:numPr>
        <w:pStyle w:val="Compact"/>
      </w:pPr>
      <w:r>
        <w:rPr>
          <w:bCs/>
          <w:b/>
        </w:rPr>
        <w:t xml:space="preserve">Gini.</w:t>
      </w:r>
    </w:p>
    <w:p>
      <w:pPr>
        <w:numPr>
          <w:ilvl w:val="1"/>
          <w:numId w:val="1072"/>
        </w:numPr>
        <w:pStyle w:val="Compact"/>
      </w:pPr>
      <w:r>
        <w:t xml:space="preserve">Legacy fits L(x) = a x² + b x to the cumulative decile shares (LINEST, no intercept) and takes Gini = (5 - area) / 5.</w:t>
      </w:r>
    </w:p>
    <w:p>
      <w:pPr>
        <w:numPr>
          <w:ilvl w:val="1"/>
          <w:numId w:val="1072"/>
        </w:numPr>
        <w:pStyle w:val="Compact"/>
      </w:pPr>
      <w:r>
        <w:t xml:space="preserve">The fit is linear in L, so Gini = 1 - Σ_j s_j W_j with fixed weights W_j (DistMapping, name DGiniW;</w:t>
      </w:r>
      <w:r>
        <w:t xml:space="preserve"> </w:t>
      </w:r>
      <w:r>
        <w:rPr>
          <w:rStyle w:val="VerbatimChar"/>
        </w:rPr>
        <w:t xml:space="preserve">distribution_ref_v7_0.gini_weights</w:t>
      </w:r>
      <w:r>
        <w:t xml:space="preserve">).</w:t>
      </w:r>
    </w:p>
    <w:p>
      <w:pPr>
        <w:numPr>
          <w:ilvl w:val="1"/>
          <w:numId w:val="1072"/>
        </w:numPr>
        <w:pStyle w:val="Compact"/>
      </w:pPr>
      <w:r>
        <w:t xml:space="preserve">Replicated as an issue: the fitted curve, not the trapezoid rule.</w:t>
      </w:r>
    </w:p>
    <w:bookmarkEnd w:id="135"/>
    <w:bookmarkStart w:id="136" w:name="bugs-fixed-not-replicated-norms-0"/>
    <w:p>
      <w:pPr>
        <w:pStyle w:val="Heading3"/>
      </w:pPr>
      <w:r>
        <w:t xml:space="preserve">3. Bugs fixed (not replicated; NORMS 0)</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Legacy</w:t>
            </w:r>
          </w:p>
        </w:tc>
        <w:tc>
          <w:tcPr/>
          <w:p>
            <w:pPr>
              <w:pStyle w:val="Compact"/>
              <w:jc w:val="left"/>
            </w:pPr>
            <w:r>
              <w:t xml:space="preserve">Bug</w:t>
            </w:r>
          </w:p>
        </w:tc>
        <w:tc>
          <w:tcPr/>
          <w:p>
            <w:pPr>
              <w:pStyle w:val="Compact"/>
              <w:jc w:val="left"/>
            </w:pPr>
            <w:r>
              <w:t xml:space="preserve">v4.4</w:t>
            </w:r>
          </w:p>
        </w:tc>
      </w:tr>
      <w:tr>
        <w:tc>
          <w:tcPr/>
          <w:p>
            <w:pPr>
              <w:pStyle w:val="Compact"/>
              <w:jc w:val="left"/>
            </w:pPr>
            <w:r>
              <w:t xml:space="preserve">R2562:Z2562</w:t>
            </w:r>
          </w:p>
        </w:tc>
        <w:tc>
          <w:tcPr/>
          <w:p>
            <w:pPr>
              <w:pStyle w:val="Compact"/>
              <w:jc w:val="left"/>
            </w:pPr>
            <w:r>
              <w:t xml:space="preserve">The targeted share of a decile is capped at 10 points, not its population share: 105.6% of decile 2 receives the transfer.</w:t>
            </w:r>
          </w:p>
        </w:tc>
        <w:tc>
          <w:tcPr/>
          <w:p>
            <w:pPr>
              <w:pStyle w:val="Compact"/>
              <w:jc w:val="left"/>
            </w:pPr>
            <w:r>
              <w:t xml:space="preserve">Capped at the decile’s population share.</w:t>
            </w:r>
          </w:p>
        </w:tc>
      </w:tr>
      <w:tr>
        <w:tc>
          <w:tcPr/>
          <w:p>
            <w:pPr>
              <w:pStyle w:val="Compact"/>
              <w:jc w:val="left"/>
            </w:pPr>
            <w:r>
              <w:t xml:space="preserve">C.V/C.VI basket (e.g. Q1607)</w:t>
            </w:r>
          </w:p>
        </w:tc>
        <w:tc>
          <w:tcPr/>
          <w:p>
            <w:pPr>
              <w:pStyle w:val="Compact"/>
              <w:jc w:val="left"/>
            </w:pPr>
            <w:r>
              <w:t xml:space="preserve">The basket uses decile 1’s elasticity adjustment and exemption test.</w:t>
            </w:r>
          </w:p>
        </w:tc>
        <w:tc>
          <w:tcPr/>
          <w:p>
            <w:pPr>
              <w:pStyle w:val="Compact"/>
              <w:jc w:val="left"/>
            </w:pPr>
            <w:r>
              <w:t xml:space="preserve">The basket uses the basket elasticity and is never exempt.</w:t>
            </w:r>
          </w:p>
        </w:tc>
      </w:tr>
      <w:tr>
        <w:tc>
          <w:tcPr/>
          <w:p>
            <w:pPr>
              <w:pStyle w:val="Compact"/>
              <w:jc w:val="left"/>
            </w:pPr>
            <w:r>
              <w:t xml:space="preserve">Q2633</w:t>
            </w:r>
          </w:p>
        </w:tc>
        <w:tc>
          <w:tcPr/>
          <w:p>
            <w:pPr>
              <w:pStyle w:val="Compact"/>
              <w:jc w:val="left"/>
            </w:pPr>
            <w:r>
              <w:t xml:space="preserve">Current spending tests the ASPIRE flag of the targeted transfer (I213), not of current spending (I214).</w:t>
            </w:r>
          </w:p>
        </w:tc>
        <w:tc>
          <w:tcPr/>
          <w:p>
            <w:pPr>
              <w:pStyle w:val="Compact"/>
              <w:jc w:val="left"/>
            </w:pPr>
            <w:r>
              <w:t xml:space="preserve">No flag: the ASPIRE program of the chosen type, 0 if absent.</w:t>
            </w:r>
          </w:p>
        </w:tc>
      </w:tr>
      <w:tr>
        <w:tc>
          <w:tcPr/>
          <w:p>
            <w:pPr>
              <w:pStyle w:val="Compact"/>
              <w:jc w:val="left"/>
            </w:pPr>
            <w:r>
              <w:t xml:space="preserve">2701-2707</w:t>
            </w:r>
          </w:p>
        </w:tc>
        <w:tc>
          <w:tcPr/>
          <w:p>
            <w:pPr>
              <w:pStyle w:val="Compact"/>
              <w:jc w:val="left"/>
            </w:pPr>
            <w:r>
              <w:t xml:space="preserve">Public investment and current spending are 0 when the transfer coverage or percentile is 0.</w:t>
            </w:r>
          </w:p>
        </w:tc>
        <w:tc>
          <w:tcPr/>
          <w:p>
            <w:pPr>
              <w:pStyle w:val="Compact"/>
              <w:jc w:val="left"/>
            </w:pPr>
            <w:r>
              <w:t xml:space="preserve">Independent of the transfer settings.</w:t>
            </w:r>
          </w:p>
        </w:tc>
      </w:tr>
      <w:tr>
        <w:tc>
          <w:tcPr/>
          <w:p>
            <w:pPr>
              <w:pStyle w:val="Compact"/>
              <w:jc w:val="left"/>
            </w:pPr>
            <w:r>
              <w:t xml:space="preserve">Q2749</w:t>
            </w:r>
          </w:p>
        </w:tc>
        <w:tc>
          <w:tcPr/>
          <w:p>
            <w:pPr>
              <w:pStyle w:val="Compact"/>
              <w:jc w:val="left"/>
            </w:pPr>
            <w:r>
              <w:t xml:space="preserve">The targeted exemption is capped by all carbon-pricing revenue (I154), not the PIT share (I163); urban and rural values are not per capita.</w:t>
            </w:r>
          </w:p>
        </w:tc>
        <w:tc>
          <w:tcPr/>
          <w:p>
            <w:pPr>
              <w:pStyle w:val="Compact"/>
              <w:jc w:val="left"/>
            </w:pPr>
            <w:r>
              <w:t xml:space="preserve">Capped by the PIT revenue; per capita in every sample.</w:t>
            </w:r>
          </w:p>
        </w:tc>
      </w:tr>
      <w:tr>
        <w:tc>
          <w:tcPr/>
          <w:p>
            <w:pPr>
              <w:pStyle w:val="Compact"/>
              <w:jc w:val="left"/>
            </w:pPr>
            <w:r>
              <w:t xml:space="preserve">Q3259, Q3263</w:t>
            </w:r>
          </w:p>
        </w:tc>
        <w:tc>
          <w:tcPr/>
          <w:p>
            <w:pPr>
              <w:pStyle w:val="Compact"/>
              <w:jc w:val="left"/>
            </w:pPr>
            <w:r>
              <w:t xml:space="preserve">The urban and rural compensation shares divide by overall consumption weights (they sum to 52 and 47).</w:t>
            </w:r>
          </w:p>
        </w:tc>
        <w:tc>
          <w:tcPr/>
          <w:p>
            <w:pPr>
              <w:pStyle w:val="Compact"/>
              <w:jc w:val="left"/>
            </w:pPr>
            <w:r>
              <w:t xml:space="preserve">Each sample’s own weights: each sums to 100.</w:t>
            </w:r>
          </w:p>
        </w:tc>
      </w:tr>
      <w:tr>
        <w:tc>
          <w:tcPr/>
          <w:p>
            <w:pPr>
              <w:pStyle w:val="Compact"/>
              <w:jc w:val="left"/>
            </w:pPr>
            <w:r>
              <w:t xml:space="preserve">859-883</w:t>
            </w:r>
          </w:p>
        </w:tc>
        <w:tc>
          <w:tcPr/>
          <w:p>
            <w:pPr>
              <w:pStyle w:val="Compact"/>
              <w:jc w:val="left"/>
            </w:pPr>
            <w:r>
              <w:t xml:space="preserve">Deadweight loss is a price fraction subtracted from a % of consumption.</w:t>
            </w:r>
          </w:p>
        </w:tc>
        <w:tc>
          <w:tcPr/>
          <w:p>
            <w:pPr>
              <w:pStyle w:val="Compact"/>
              <w:jc w:val="left"/>
            </w:pPr>
            <w:r>
              <w:t xml:space="preserve">DWLTri x (1 - factor) x the effect (same units).</w:t>
            </w:r>
          </w:p>
        </w:tc>
      </w:tr>
      <w:tr>
        <w:tc>
          <w:tcPr/>
          <w:p>
            <w:pPr>
              <w:pStyle w:val="Compact"/>
              <w:jc w:val="left"/>
            </w:pPr>
            <w:r>
              <w:t xml:space="preserve">LiveOutputs 1001-1002</w:t>
            </w:r>
          </w:p>
        </w:tc>
        <w:tc>
          <w:tcPr/>
          <w:p>
            <w:pPr>
              <w:pStyle w:val="Compact"/>
              <w:jc w:val="left"/>
            </w:pPr>
            <w:r>
              <w:t xml:space="preserve">dist.year and dist.stat read ScenarioDefinition column D (0 in dashboard mode).</w:t>
            </w:r>
          </w:p>
        </w:tc>
        <w:tc>
          <w:tcPr/>
          <w:p>
            <w:pPr>
              <w:pStyle w:val="Compact"/>
              <w:jc w:val="left"/>
            </w:pPr>
            <w:r>
              <w:t xml:space="preserve">The analysis year and statistic of the group.</w:t>
            </w:r>
          </w:p>
        </w:tc>
      </w:tr>
    </w:tbl>
    <w:p>
      <w:pPr>
        <w:pStyle w:val="BodyText"/>
      </w:pPr>
      <w:r>
        <w:t xml:space="preserve">The bug fixes change Egypt’s legacy numbers only a little: the targeted transfer in deciles 1-4 moves by up to 0.13 points of consumption, and the Gini change with recycling by 0.0006 points. The urban and rural compensation shares move most, because each now sums to 100.</w:t>
      </w:r>
    </w:p>
    <w:bookmarkEnd w:id="136"/>
    <w:bookmarkStart w:id="137" w:name="issues-replicated-tracked"/>
    <w:p>
      <w:pPr>
        <w:pStyle w:val="Heading3"/>
      </w:pPr>
      <w:r>
        <w:t xml:space="preserve">4. Issues replicated (tracked)</w:t>
      </w:r>
    </w:p>
    <w:p>
      <w:pPr>
        <w:numPr>
          <w:ilvl w:val="0"/>
          <w:numId w:val="1073"/>
        </w:numPr>
        <w:pStyle w:val="Compact"/>
      </w:pPr>
      <w:r>
        <w:rPr>
          <w:bCs/>
          <w:b/>
        </w:rPr>
        <w:t xml:space="preserve">Spending year:</w:t>
      </w:r>
      <w:r>
        <w:t xml:space="preserve"> </w:t>
      </w:r>
      <w:r>
        <w:t xml:space="preserve">fuel spending in the base year (legacy: first calculation year), with analysis-year price changes.</w:t>
      </w:r>
    </w:p>
    <w:p>
      <w:pPr>
        <w:numPr>
          <w:ilvl w:val="0"/>
          <w:numId w:val="1073"/>
        </w:numPr>
        <w:pStyle w:val="Compact"/>
      </w:pPr>
      <w:r>
        <w:rPr>
          <w:bCs/>
          <w:b/>
        </w:rPr>
        <w:t xml:space="preserve">Deflator:</w:t>
      </w:r>
      <w:r>
        <w:t xml:space="preserve"> </w:t>
      </w:r>
      <w:r>
        <w:t xml:space="preserve">the GTAP values are converted with the local GDP deflator (legacy I244).</w:t>
      </w:r>
    </w:p>
    <w:p>
      <w:pPr>
        <w:numPr>
          <w:ilvl w:val="0"/>
          <w:numId w:val="1073"/>
        </w:numPr>
        <w:pStyle w:val="Compact"/>
      </w:pPr>
      <w:r>
        <w:rPr>
          <w:bCs/>
          <w:b/>
        </w:rPr>
        <w:t xml:space="preserve">Elasticities:</w:t>
      </w:r>
      <w:r>
        <w:t xml:space="preserve"> </w:t>
      </w:r>
      <w:r>
        <w:t xml:space="preserve">always overall, mean (the data have no other).</w:t>
      </w:r>
    </w:p>
    <w:p>
      <w:pPr>
        <w:numPr>
          <w:ilvl w:val="0"/>
          <w:numId w:val="1073"/>
        </w:numPr>
        <w:pStyle w:val="Compact"/>
      </w:pPr>
      <w:r>
        <w:rPr>
          <w:bCs/>
          <w:b/>
        </w:rPr>
        <w:t xml:space="preserve">Recycled amounts:</w:t>
      </w:r>
      <w:r>
        <w:t xml:space="preserve"> </w:t>
      </w:r>
      <w:r>
        <w:t xml:space="preserve">per capita from the overall sample, applied to urban and rural consumption.</w:t>
      </w:r>
    </w:p>
    <w:p>
      <w:pPr>
        <w:numPr>
          <w:ilvl w:val="0"/>
          <w:numId w:val="1073"/>
        </w:numPr>
        <w:pStyle w:val="Compact"/>
      </w:pPr>
      <w:r>
        <w:rPr>
          <w:bCs/>
          <w:b/>
        </w:rPr>
        <w:t xml:space="preserve">Lorenz-fit Gini</w:t>
      </w:r>
      <w:r>
        <w:t xml:space="preserve"> </w:t>
      </w:r>
      <w:r>
        <w:t xml:space="preserve">(section 2).</w:t>
      </w:r>
    </w:p>
    <w:p>
      <w:pPr>
        <w:numPr>
          <w:ilvl w:val="0"/>
          <w:numId w:val="1073"/>
        </w:numPr>
        <w:pStyle w:val="Compact"/>
      </w:pPr>
      <w:r>
        <w:rPr>
          <w:bCs/>
          <w:b/>
        </w:rPr>
        <w:t xml:space="preserve">Revenue:</w:t>
      </w:r>
      <w:r>
        <w:t xml:space="preserve"> </w:t>
      </w:r>
      <w:r>
        <w:t xml:space="preserve">revenue from new policies (</w:t>
      </w:r>
      <w:r>
        <w:rPr>
          <w:rStyle w:val="VerbatimChar"/>
        </w:rPr>
        <w:t xml:space="preserve">rnew</w:t>
      </w:r>
      <w:r>
        <w:t xml:space="preserve">) stands for legacy’s carbon-pricing revenue (carbon tax, VAT on it, auctioned ETS).</w:t>
      </w:r>
    </w:p>
    <w:bookmarkEnd w:id="137"/>
    <w:bookmarkStart w:id="138" w:name="X4cf0bac8f7d64b088a7746f3230a3c38c79ee2a"/>
    <w:p>
      <w:pPr>
        <w:pStyle w:val="Heading3"/>
      </w:pPr>
      <w:r>
        <w:t xml:space="preserve">5. Options and outputs added in v6.0 (every legacy option now modelled)</w:t>
      </w:r>
    </w:p>
    <w:p>
      <w:pPr>
        <w:numPr>
          <w:ilvl w:val="0"/>
          <w:numId w:val="1074"/>
        </w:numPr>
        <w:pStyle w:val="Compact"/>
      </w:pPr>
      <w:r>
        <w:rPr>
          <w:bCs/>
          <w:b/>
        </w:rPr>
        <w:t xml:space="preserve">Targeted transfer</w:t>
      </w:r>
      <w:r>
        <w:t xml:space="preserve"> </w:t>
      </w:r>
      <w:r>
        <w:t xml:space="preserve">(section 8): one formula for the three legacy modes. Weight per decile w = 1 (Cash), the share</w:t>
      </w:r>
      <w:r>
        <w:t xml:space="preserve"> </w:t>
      </w:r>
      <w:r>
        <w:t xml:space="preserve">below the poverty line (TargetBelow, with Cash only; HHSurvey</w:t>
      </w:r>
      <w:r>
        <w:t xml:space="preserve"> </w:t>
      </w:r>
      <w:r>
        <w:rPr>
          <w:rStyle w:val="VerbatimChar"/>
        </w:rPr>
        <w:t xml:space="preserve">pct_belowpl_*</w:t>
      </w:r>
      <w:r>
        <w:t xml:space="preserve"> </w:t>
      </w:r>
      <w:r>
        <w:t xml:space="preserve">x 10, at most 100%, mean as legacy) or</w:t>
      </w:r>
      <w:r>
        <w:t xml:space="preserve"> </w:t>
      </w:r>
      <w:r>
        <w:t xml:space="preserve">the ASPIRE benefit of the TransferType program for the decile’s quintile. Transfer per capita = revenue x w x share</w:t>
      </w:r>
      <w:r>
        <w:t xml:space="preserve"> </w:t>
      </w:r>
      <w:r>
        <w:t xml:space="preserve">receiving / Σ w x share receiving x population, so the payout equals the revenue (legacy pays 125-129% on the ASPIRE</w:t>
      </w:r>
      <w:r>
        <w:t xml:space="preserve"> </w:t>
      </w:r>
      <w:r>
        <w:t xml:space="preserve">path, D10). A program without data for the country falls back to cash and the settings check says so (legacy drops</w:t>
      </w:r>
      <w:r>
        <w:t xml:space="preserve"> </w:t>
      </w:r>
      <w:r>
        <w:t xml:space="preserve">the transfer, D11). Median statistic: the transfer reaches only deciles where more than half receive (legacy row 2685;</w:t>
      </w:r>
      <w:r>
        <w:t xml:space="preserve"> </w:t>
      </w:r>
      <w:r>
        <w:t xml:space="preserve">the money not paid is not redistributed, as legacy); public investment and current spending are not flagged (D13).</w:t>
      </w:r>
      <w:r>
        <w:t xml:space="preserve"> </w:t>
      </w:r>
      <w:r>
        <w:t xml:space="preserve">Switch tests (Egypt): Cash Transfers program 1, 1, 0.691, 0.691, 0.047 of decile 1; poverty line 6.85: 1, 1, 1,</w:t>
      </w:r>
      <w:r>
        <w:t xml:space="preserve"> </w:t>
      </w:r>
      <w:r>
        <w:t xml:space="preserve">0.507, 0.003; as the legacy formulas with the fixes applied to legacy’s cached inputs.</w:t>
      </w:r>
    </w:p>
    <w:p>
      <w:pPr>
        <w:numPr>
          <w:ilvl w:val="0"/>
          <w:numId w:val="1074"/>
        </w:numPr>
        <w:pStyle w:val="Compact"/>
      </w:pPr>
      <w:r>
        <w:rPr>
          <w:bCs/>
          <w:b/>
        </w:rPr>
        <w:t xml:space="preserve">Outputs for charts</w:t>
      </w:r>
      <w:r>
        <w:t xml:space="preserve"> </w:t>
      </w:r>
      <w:r>
        <w:t xml:space="preserve">(section 10, legacy D.I-D.V): decile labels (QuantilesLCU: consumption brackets in real local</w:t>
      </w:r>
      <w:r>
        <w:t xml:space="preserve"> </w:t>
      </w:r>
      <w:r>
        <w:t xml:space="preserve">currency of the analysis year, D20-D21), budget shares by group, urban and rural direct and indirect effects by item,</w:t>
      </w:r>
      <w:r>
        <w:t xml:space="preserve"> </w:t>
      </w:r>
      <w:r>
        <w:t xml:space="preserve">per-capita (local currency) budgets, effects and net effect, Lorenz curves (baseline as legacy: 4.016, 9.045, 16.106),</w:t>
      </w:r>
      <w:r>
        <w:t xml:space="preserve"> </w:t>
      </w:r>
      <w:r>
        <w:t xml:space="preserve">cumulative compensation, the 25th and 75th percentile households (D18-D19), Gini change in points.</w:t>
      </w:r>
    </w:p>
    <w:p>
      <w:pPr>
        <w:numPr>
          <w:ilvl w:val="0"/>
          <w:numId w:val="1074"/>
        </w:numPr>
        <w:pStyle w:val="Compact"/>
      </w:pPr>
      <w:r>
        <w:rPr>
          <w:bCs/>
          <w:b/>
        </w:rPr>
        <w:t xml:space="preserve">Production sectors</w:t>
      </w:r>
      <w:r>
        <w:t xml:space="preserve"> </w:t>
      </w:r>
      <w:r>
        <w:t xml:space="preserve">(section 11, legacy D.VI): input-cost price change of each GTAP sector (Leontief</w:t>
      </w:r>
      <w:r>
        <w:t xml:space="preserve"> </w:t>
      </w:r>
      <w:r>
        <w:t xml:space="preserve">coefficients x fuel-group factors, the identity of section 2), output price after pass-through (PassthroughDist;</w:t>
      </w:r>
      <w:r>
        <w:t xml:space="preserve"> </w:t>
      </w:r>
      <w:r>
        <w:t xml:space="preserve">coefficients by CPAT sector, D26), rank and top 20 (ties broken, D25), 14 CPAT sectors (chemicals and power added, D24)</w:t>
      </w:r>
      <w:r>
        <w:t xml:space="preserve"> </w:t>
      </w:r>
      <w:r>
        <w:t xml:space="preserve">with demand and output shares and weighted prices; LiveOutputs</w:t>
      </w:r>
      <w:r>
        <w:t xml:space="preserve"> </w:t>
      </w:r>
      <w:r>
        <w:rPr>
          <w:rStyle w:val="VerbatimChar"/>
        </w:rPr>
        <w:t xml:space="preserve">ppic</w:t>
      </w:r>
      <w:r>
        <w:t xml:space="preserve">,</w:t>
      </w:r>
      <w:r>
        <w:t xml:space="preserve"> </w:t>
      </w:r>
      <w:r>
        <w:rPr>
          <w:rStyle w:val="VerbatimChar"/>
        </w:rPr>
        <w:t xml:space="preserve">ppici</w:t>
      </w:r>
      <w:r>
        <w:t xml:space="preserve">,</w:t>
      </w:r>
      <w:r>
        <w:t xml:space="preserve"> </w:t>
      </w:r>
      <w:r>
        <w:rPr>
          <w:rStyle w:val="VerbatimChar"/>
        </w:rPr>
        <w:t xml:space="preserve">outpriin</w:t>
      </w:r>
      <w:r>
        <w:t xml:space="preserve"> </w:t>
      </w:r>
      <w:r>
        <w:t xml:space="preserve">by sector code (D27).</w:t>
      </w:r>
      <w:r>
        <w:t xml:space="preserve"> </w:t>
      </w:r>
      <w:r>
        <w:t xml:space="preserve">Data:</w:t>
      </w:r>
      <w:r>
        <w:t xml:space="preserve"> </w:t>
      </w:r>
      <w:r>
        <w:rPr>
          <w:rStyle w:val="VerbatimChar"/>
        </w:rPr>
        <w:t xml:space="preserve">data/distn_gtapmap.csv</w:t>
      </w:r>
      <w:r>
        <w:t xml:space="preserve"> </w:t>
      </w:r>
      <w:r>
        <w:t xml:space="preserve">(legacy Mapping F/R/H),</w:t>
      </w:r>
      <w:r>
        <w:t xml:space="preserve"> </w:t>
      </w:r>
      <w:r>
        <w:rPr>
          <w:rStyle w:val="VerbatimChar"/>
        </w:rPr>
        <w:t xml:space="preserve">data/distn_passthrough.csv</w:t>
      </w:r>
      <w:r>
        <w:t xml:space="preserve"> </w:t>
      </w:r>
      <w:r>
        <w:t xml:space="preserve">(legacy Distribution I470:I486).</w:t>
      </w:r>
    </w:p>
    <w:p>
      <w:pPr>
        <w:numPr>
          <w:ilvl w:val="0"/>
          <w:numId w:val="1074"/>
        </w:numPr>
        <w:pStyle w:val="Compact"/>
      </w:pPr>
      <w:r>
        <w:rPr>
          <w:bCs/>
          <w:b/>
        </w:rPr>
        <w:t xml:space="preserve">Charts</w:t>
      </w:r>
      <w:r>
        <w:t xml:space="preserve"> </w:t>
      </w:r>
      <w:r>
        <w:t xml:space="preserve">(sheet Charts, below the mitigation charts): the legacy Dashboard distribution charts from group 2.</w:t>
      </w:r>
    </w:p>
    <w:bookmarkEnd w:id="138"/>
    <w:bookmarkStart w:id="139" w:name="checks"/>
    <w:p>
      <w:pPr>
        <w:pStyle w:val="Heading3"/>
      </w:pPr>
      <w:r>
        <w:t xml:space="preserve">6. Checks</w:t>
      </w:r>
    </w:p>
    <w:p>
      <w:pPr>
        <w:numPr>
          <w:ilvl w:val="0"/>
          <w:numId w:val="1075"/>
        </w:numPr>
        <w:pStyle w:val="Compact"/>
      </w:pPr>
      <w:r>
        <w:rPr>
          <w:bCs/>
          <w:b/>
        </w:rPr>
        <w:t xml:space="preserve">Python reference:</w:t>
      </w:r>
      <w:r>
        <w:t xml:space="preserve"> </w:t>
      </w:r>
      <w:r>
        <w:t xml:space="preserve">fed with legacy’s cached Egypt inputs, it reproduces legacy’s outputs to the precision of the cache (</w:t>
      </w:r>
      <w:r>
        <w:rPr>
          <w:rStyle w:val="VerbatimChar"/>
        </w:rPr>
        <w:t xml:space="preserve">python distribution_ref_v7_0.py</w:t>
      </w:r>
      <w:r>
        <w:t xml:space="preserve">): effects, recycling, net effect and compensation to 4e-4, Gini changes to 7e-6.</w:t>
      </w:r>
    </w:p>
    <w:p>
      <w:pPr>
        <w:numPr>
          <w:ilvl w:val="0"/>
          <w:numId w:val="1075"/>
        </w:numPr>
        <w:pStyle w:val="Compact"/>
      </w:pPr>
      <w:r>
        <w:rPr>
          <w:bCs/>
          <w:b/>
        </w:rPr>
        <w:t xml:space="preserve">Quick check:</w:t>
      </w:r>
    </w:p>
    <w:p>
      <w:pPr>
        <w:numPr>
          <w:ilvl w:val="1"/>
          <w:numId w:val="1076"/>
        </w:numPr>
        <w:pStyle w:val="Compact"/>
      </w:pPr>
      <w:r>
        <w:t xml:space="preserve">group 2 of the sheet equals the reference fed with the sheet’s own inputs;</w:t>
      </w:r>
    </w:p>
    <w:p>
      <w:pPr>
        <w:numPr>
          <w:ilvl w:val="1"/>
          <w:numId w:val="1076"/>
        </w:numPr>
        <w:pStyle w:val="Compact"/>
      </w:pPr>
      <w:r>
        <w:t xml:space="preserve">the LAMBDA group equals group 2;</w:t>
      </w:r>
    </w:p>
    <w:p>
      <w:pPr>
        <w:numPr>
          <w:ilvl w:val="1"/>
          <w:numId w:val="1076"/>
        </w:numPr>
        <w:pStyle w:val="Compact"/>
      </w:pPr>
      <w:r>
        <w:t xml:space="preserve">no error values;</w:t>
      </w:r>
    </w:p>
    <w:p>
      <w:pPr>
        <w:numPr>
          <w:ilvl w:val="1"/>
          <w:numId w:val="1076"/>
        </w:numPr>
        <w:pStyle w:val="Compact"/>
      </w:pPr>
      <w:r>
        <w:t xml:space="preserve">scenario numbers align with Mitigation group by group.</w:t>
      </w:r>
    </w:p>
    <w:p>
      <w:pPr>
        <w:numPr>
          <w:ilvl w:val="0"/>
          <w:numId w:val="1075"/>
        </w:numPr>
        <w:pStyle w:val="Compact"/>
      </w:pPr>
      <w:r>
        <w:rPr>
          <w:bCs/>
          <w:b/>
        </w:rPr>
        <w:t xml:space="preserve">Paste test</w:t>
      </w:r>
      <w:r>
        <w:t xml:space="preserve"> </w:t>
      </w:r>
      <w:r>
        <w:t xml:space="preserve">(</w:t>
      </w:r>
      <w:r>
        <w:rPr>
          <w:rStyle w:val="VerbatimChar"/>
        </w:rPr>
        <w:t xml:space="preserve">check_paste_v7_0.py</w:t>
      </w:r>
      <w:r>
        <w:t xml:space="preserve">): Distribution groups 4-7 are pasted with Mitigation’s.</w:t>
      </w:r>
    </w:p>
    <w:bookmarkEnd w:id="139"/>
    <w:bookmarkEnd w:id="140"/>
    <w:bookmarkStart w:id="143" w:name="X146e11f4e44f69791fca58fd06a90cc5aa30e8c"/>
    <w:p>
      <w:pPr>
        <w:pStyle w:val="Heading1"/>
      </w:pPr>
      <w:r>
        <w:t xml:space="preserve">Data tabs: legacy tables and how to load a country</w:t>
      </w:r>
    </w:p>
    <w:p>
      <w:pPr>
        <w:pStyle w:val="FirstParagraph"/>
      </w:pPr>
      <w:r>
        <w:rPr>
          <w:iCs/>
          <w:i/>
        </w:rPr>
        <w:t xml:space="preserve">Source:</w:t>
      </w:r>
      <w:r>
        <w:rPr>
          <w:iCs/>
          <w:i/>
        </w:rPr>
        <w:t xml:space="preserve"> </w:t>
      </w:r>
      <w:r>
        <w:rPr>
          <w:rStyle w:val="VerbatimChar"/>
          <w:iCs/>
          <w:i/>
        </w:rPr>
        <w:t xml:space="preserve">DataTabs_v7_0.md</w:t>
      </w:r>
      <w:r>
        <w:rPr>
          <w:iCs/>
          <w:i/>
        </w:rPr>
        <w:t xml:space="preserve">.</w:t>
      </w:r>
    </w:p>
    <w:p>
      <w:pPr>
        <w:pStyle w:val="BodyText"/>
      </w:pPr>
      <w:r>
        <w:t xml:space="preserve">User request (2026-10-17): align the data tabs with legacy CPAT (grouped by module, legacy order, legacy names and</w:t>
      </w:r>
      <w:r>
        <w:t xml:space="preserve"> </w:t>
      </w:r>
      <w:r>
        <w:t xml:space="preserve">content where possible, without undoing principled decisions); check that the model would work with the full</w:t>
      </w:r>
      <w:r>
        <w:t xml:space="preserve"> </w:t>
      </w:r>
      <w:r>
        <w:t xml:space="preserve">all-country data; put every Egypt-only table alone on its tab or at the bottom; check how far the legacy data tables</w:t>
      </w:r>
      <w:r>
        <w:t xml:space="preserve"> </w:t>
      </w:r>
      <w:r>
        <w:t xml:space="preserve">can be copied in. Then (same day): align more fully, going with the recommendations. The norm is NORMS.md 1.5.</w:t>
      </w:r>
    </w:p>
    <w:bookmarkStart w:id="141" w:name="summary"/>
    <w:p>
      <w:pPr>
        <w:pStyle w:val="Heading3"/>
      </w:pPr>
      <w:r>
        <w:t xml:space="preserve">Summary</w:t>
      </w:r>
    </w:p>
    <w:p>
      <w:pPr>
        <w:numPr>
          <w:ilvl w:val="0"/>
          <w:numId w:val="1077"/>
        </w:numPr>
        <w:pStyle w:val="Compact"/>
      </w:pPr>
      <w:r>
        <w:rPr>
          <w:bCs/>
          <w:b/>
        </w:rPr>
        <w:t xml:space="preserve">Order.</w:t>
      </w:r>
      <w:r>
        <w:t xml:space="preserve"> </w:t>
      </w:r>
      <w:r>
        <w:t xml:space="preserve">The data tabs sit under the legacy dividers in legacy order:</w:t>
      </w:r>
      <w:r>
        <w:t xml:space="preserve"> </w:t>
      </w:r>
      <w:r>
        <w:rPr>
          <w:rStyle w:val="VerbatimChar"/>
        </w:rPr>
        <w:t xml:space="preserve">DATA_MITIGATION-&gt;&gt;</w:t>
      </w:r>
      <w:r>
        <w:t xml:space="preserve">,</w:t>
      </w:r>
      <w:r>
        <w:t xml:space="preserve"> </w:t>
      </w:r>
      <w:r>
        <w:rPr>
          <w:rStyle w:val="VerbatimChar"/>
        </w:rPr>
        <w:t xml:space="preserve">DATA_DISTN-&gt;&gt;</w:t>
      </w:r>
      <w:r>
        <w:t xml:space="preserve">,</w:t>
      </w:r>
      <w:r>
        <w:t xml:space="preserve"> </w:t>
      </w:r>
      <w:r>
        <w:rPr>
          <w:rStyle w:val="VerbatimChar"/>
        </w:rPr>
        <w:t xml:space="preserve">DATA_TRAN-&gt;&gt;</w:t>
      </w:r>
      <w:r>
        <w:t xml:space="preserve">,</w:t>
      </w:r>
      <w:r>
        <w:t xml:space="preserve"> </w:t>
      </w:r>
      <w:r>
        <w:rPr>
          <w:rStyle w:val="VerbatimChar"/>
        </w:rPr>
        <w:t xml:space="preserve">DATA_OUTPUT-&gt;&gt;</w:t>
      </w:r>
      <w:r>
        <w:t xml:space="preserve">; tabs without a legacy data tab come last under</w:t>
      </w:r>
      <w:r>
        <w:t xml:space="preserve"> </w:t>
      </w:r>
      <w:r>
        <w:rPr>
          <w:rStyle w:val="VerbatimChar"/>
        </w:rPr>
        <w:t xml:space="preserve">DATA_OTHER-&gt;&gt;</w:t>
      </w:r>
      <w:r>
        <w:t xml:space="preserve"> </w:t>
      </w:r>
      <w:r>
        <w:t xml:space="preserve">(BaselineCO2 only).</w:t>
      </w:r>
    </w:p>
    <w:p>
      <w:pPr>
        <w:numPr>
          <w:ilvl w:val="0"/>
          <w:numId w:val="1077"/>
        </w:numPr>
        <w:pStyle w:val="Compact"/>
      </w:pPr>
      <w:r>
        <w:rPr>
          <w:bCs/>
          <w:b/>
        </w:rPr>
        <w:t xml:space="preserve">Copy-in rules (NORMS 1.5).</w:t>
      </w:r>
    </w:p>
    <w:p>
      <w:pPr>
        <w:numPr>
          <w:ilvl w:val="1"/>
          <w:numId w:val="1078"/>
        </w:numPr>
        <w:pStyle w:val="Compact"/>
      </w:pPr>
      <w:r>
        <w:rPr>
          <w:bCs/>
          <w:b/>
        </w:rPr>
        <w:t xml:space="preserve">L, a single legacy table:</w:t>
      </w:r>
      <w:r>
        <w:t xml:space="preserve"> </w:t>
      </w:r>
      <w:r>
        <w:t xml:space="preserve">the table itself, unchanged (same columns, column letters and codes; header row 3,</w:t>
      </w:r>
      <w:r>
        <w:t xml:space="preserve"> </w:t>
      </w:r>
      <w:r>
        <w:t xml:space="preserve">data from A4; a key formula column right of the table where legacy has no unique key). Paste the legacy data rows</w:t>
      </w:r>
      <w:r>
        <w:t xml:space="preserve"> </w:t>
      </w:r>
      <w:r>
        <w:t xml:space="preserve">at A4. 17 tabs: Balances, EnergyCons, CH4Inputs, UNPop, OilProductShares (v4.12), WEO, EF_GHG, SCC, EF_PM,</w:t>
      </w:r>
      <w:r>
        <w:t xml:space="preserve"> </w:t>
      </w:r>
      <w:r>
        <w:t xml:space="preserve">IO_GTAP, HHSurvey, HH_Elast, ASPIRE, WHOCooking, GDPRatios, Transport1, Transport2.</w:t>
      </w:r>
    </w:p>
    <w:p>
      <w:pPr>
        <w:numPr>
          <w:ilvl w:val="1"/>
          <w:numId w:val="1078"/>
        </w:numPr>
        <w:pStyle w:val="Compact"/>
      </w:pPr>
      <w:r>
        <w:rPr>
          <w:bCs/>
          <w:b/>
        </w:rPr>
        <w:t xml:space="preserve">A, a legacy tab with several tables:</w:t>
      </w:r>
      <w:r>
        <w:t xml:space="preserve"> </w:t>
      </w:r>
      <w:r>
        <w:t xml:space="preserve">kept at its legacy cell addresses from row 3 (rows 1-2: source line and</w:t>
      </w:r>
      <w:r>
        <w:t xml:space="preserve"> </w:t>
      </w:r>
      <w:r>
        <w:t xml:space="preserve">title bar). Paste the legacy tab from row 3. 10 tabs: Countries, Elasticities, ETS+LTS, Multipliers, Prices_int,</w:t>
      </w:r>
      <w:r>
        <w:t xml:space="preserve"> </w:t>
      </w:r>
      <w:r>
        <w:t xml:space="preserve">ECP, Transport3 (stored results, rows 5+) and, since v4.7, Power, CoC and GHGs (the inventory and, rows</w:t>
      </w:r>
      <w:r>
        <w:t xml:space="preserve"> </w:t>
      </w:r>
      <w:r>
        <w:t xml:space="preserve">1201-1388, the 2023-2024 emission shocks of the power model).</w:t>
      </w:r>
    </w:p>
    <w:p>
      <w:pPr>
        <w:numPr>
          <w:ilvl w:val="1"/>
          <w:numId w:val="1078"/>
        </w:numPr>
        <w:pStyle w:val="Compact"/>
      </w:pPr>
      <w:r>
        <w:t xml:space="preserve">**L*, Prices_dom:** legacy header rows and codes; paste legacy rows 4 onwards at A1.</w:t>
      </w:r>
    </w:p>
    <w:p>
      <w:pPr>
        <w:numPr>
          <w:ilvl w:val="0"/>
          <w:numId w:val="1077"/>
        </w:numPr>
        <w:pStyle w:val="Compact"/>
      </w:pPr>
      <w:r>
        <w:rPr>
          <w:bCs/>
          <w:b/>
        </w:rPr>
        <w:t xml:space="preserve">Country selection is a data step (NORMS 1.5, rule 2c).</w:t>
      </w:r>
      <w:r>
        <w:t xml:space="preserve"> </w:t>
      </w:r>
      <w:r>
        <w:t xml:space="preserve">What legacy Mitigation computes from these tabs for the</w:t>
      </w:r>
      <w:r>
        <w:t xml:space="preserve"> </w:t>
      </w:r>
      <w:r>
        <w:t xml:space="preserve">selected country sits in blocks of the Inputs tab, by formula, under the keys the model already used:</w:t>
      </w:r>
    </w:p>
    <w:p>
      <w:pPr>
        <w:numPr>
          <w:ilvl w:val="1"/>
          <w:numId w:val="1079"/>
        </w:numPr>
        <w:pStyle w:val="Compact"/>
      </w:pPr>
      <w:r>
        <w:t xml:space="preserve">Inputs_ela: elasticities (the country’s column of Elasticities, as legacy column G);</w:t>
      </w:r>
    </w:p>
    <w:p>
      <w:pPr>
        <w:numPr>
          <w:ilvl w:val="1"/>
          <w:numId w:val="1079"/>
        </w:numPr>
        <w:pStyle w:val="Compact"/>
      </w:pPr>
      <w:r>
        <w:t xml:space="preserve">Inputs_mult: multipliers (median ± standard deviation by group, instrument and lag);</w:t>
      </w:r>
    </w:p>
    <w:p>
      <w:pPr>
        <w:numPr>
          <w:ilvl w:val="1"/>
          <w:numId w:val="1079"/>
        </w:numPr>
        <w:pStyle w:val="Compact"/>
      </w:pPr>
      <w:r>
        <w:t xml:space="preserve">Inputs_macro: GDP growth and levels, deflators, exchange rate (WEO series with legacy’s extension past the last data</w:t>
      </w:r>
      <w:r>
        <w:t xml:space="preserve"> </w:t>
      </w:r>
      <w:r>
        <w:t xml:space="preserve">year, rows 417-467) and the energy trade balance and share traded (rows 741-743, from Balances);</w:t>
      </w:r>
    </w:p>
    <w:p>
      <w:pPr>
        <w:numPr>
          <w:ilvl w:val="1"/>
          <w:numId w:val="1079"/>
        </w:numPr>
        <w:pStyle w:val="Compact"/>
      </w:pPr>
      <w:r>
        <w:t xml:space="preserve">Inputs_pint: international price series by source (rows 633-695);</w:t>
      </w:r>
    </w:p>
    <w:p>
      <w:pPr>
        <w:numPr>
          <w:ilvl w:val="1"/>
          <w:numId w:val="1079"/>
        </w:numPr>
        <w:pStyle w:val="Compact"/>
      </w:pPr>
      <w:r>
        <w:t xml:space="preserve">Inputs_ecp: existing carbon pricing (rows 1675-1764; v4.12: carbon tax with single and fuel rates, national ETS and</w:t>
      </w:r>
      <w:r>
        <w:t xml:space="preserve"> </w:t>
      </w:r>
      <w:r>
        <w:t xml:space="preserve">EU ETS, each code looked up in its own legacy block of ECP, coverage by data year, and two tables by ECP sector and</w:t>
      </w:r>
      <w:r>
        <w:t xml:space="preserve"> </w:t>
      </w:r>
      <w:r>
        <w:t xml:space="preserve">fuel: carbon tax and ETS in $/tCO2);</w:t>
      </w:r>
    </w:p>
    <w:p>
      <w:pPr>
        <w:numPr>
          <w:ilvl w:val="1"/>
          <w:numId w:val="1079"/>
        </w:numPr>
        <w:pStyle w:val="Compact"/>
      </w:pPr>
      <w:r>
        <w:t xml:space="preserve">Inputs_ef: CO2 emission factors (rows 980-1011);</w:t>
      </w:r>
    </w:p>
    <w:p>
      <w:pPr>
        <w:numPr>
          <w:ilvl w:val="1"/>
          <w:numId w:val="1079"/>
        </w:numPr>
        <w:pStyle w:val="Compact"/>
      </w:pPr>
      <w:r>
        <w:t xml:space="preserve">v4.7, power (legacy section 4, rows 2954-4300): Inputs_pset (the power settings of ScenarioDefinition scenario 1 and derived</w:t>
      </w:r>
      <w:r>
        <w:t xml:space="preserve"> </w:t>
      </w:r>
      <w:r>
        <w:t xml:space="preserve">values, each a defined name Ps…), Inputs_ptech (one row per generation type, the former PowerTech: country, else</w:t>
      </w:r>
      <w:r>
        <w:t xml:space="preserve"> </w:t>
      </w:r>
      <w:r>
        <w:t xml:space="preserve">world parameters, efficiency and generation from Balances, WACC from CoC, capacity factors), Inputs_ppath (year</w:t>
      </w:r>
      <w:r>
        <w:t xml:space="preserve"> </w:t>
      </w:r>
      <w:r>
        <w:t xml:space="preserve">paths, the former PowerPaths: capex time factors, storage, income factor, fuel price shocks, prices) and</w:t>
      </w:r>
      <w:r>
        <w:t xml:space="preserve"> </w:t>
      </w:r>
      <w:r>
        <w:t xml:space="preserve">Inputs_ppar (parameters, the former PowerParams). The chains are mapped in</w:t>
      </w:r>
      <w:r>
        <w:t xml:space="preserve"> </w:t>
      </w:r>
      <w:r>
        <w:rPr>
          <w:rStyle w:val="VerbatimChar"/>
        </w:rPr>
        <w:t xml:space="preserve">PowerData_Chain_v7_0.md</w:t>
      </w:r>
      <w:r>
        <w:t xml:space="preserve">.</w:t>
      </w:r>
      <w:r>
        <w:t xml:space="preserve"> </w:t>
      </w:r>
      <w:r>
        <w:t xml:space="preserve">The Egypt values reproduce legacy’s cached values (macro series to 1e-15; power data to 1e-12), apart from one legacy</w:t>
      </w:r>
      <w:r>
        <w:t xml:space="preserve"> </w:t>
      </w:r>
      <w:r>
        <w:t xml:space="preserve">bug fixed (L51: the coal trade balance was valued at the oil price) and one stale value in legacy’s stored run (I38:</w:t>
      </w:r>
      <w:r>
        <w:t xml:space="preserve"> </w:t>
      </w:r>
      <w:r>
        <w:t xml:space="preserve">the wind and solar capex time factors for 2039-2041 differ from the legacy Power cells they reference; the MVP</w:t>
      </w:r>
      <w:r>
        <w:t xml:space="preserve"> </w:t>
      </w:r>
      <w:r>
        <w:t xml:space="preserve">follows the Power tab).</w:t>
      </w:r>
    </w:p>
    <w:p>
      <w:pPr>
        <w:numPr>
          <w:ilvl w:val="0"/>
          <w:numId w:val="1077"/>
        </w:numPr>
        <w:pStyle w:val="Compact"/>
      </w:pPr>
      <w:r>
        <w:rPr>
          <w:bCs/>
          <w:b/>
        </w:rPr>
        <w:t xml:space="preserve">Proprietary tables.</w:t>
      </w:r>
      <w:r>
        <w:t xml:space="preserve"> </w:t>
      </w:r>
      <w:r>
        <w:t xml:space="preserve">The public legacy file (</w:t>
      </w:r>
      <w:r>
        <w:rPr>
          <w:rStyle w:val="VerbatimChar"/>
        </w:rPr>
        <w:t xml:space="preserve">CPAT 1.0pre_456_NoPropData.xlsb</w:t>
      </w:r>
      <w:r>
        <w:t xml:space="preserve">) holds Egypt only in Balances,</w:t>
      </w:r>
      <w:r>
        <w:t xml:space="preserve"> </w:t>
      </w:r>
      <w:r>
        <w:t xml:space="preserve">EnergyCons (empty), Prices_dom, EF_PM, IO_GTAP, HHSurvey, ASPIRE, WHOCooking, CalVal and Tran_Scatter. The model</w:t>
      </w:r>
      <w:r>
        <w:t xml:space="preserve"> </w:t>
      </w:r>
      <w:r>
        <w:t xml:space="preserve">uses the first eight; all eight paste in directly.</w:t>
      </w:r>
    </w:p>
    <w:p>
      <w:pPr>
        <w:numPr>
          <w:ilvl w:val="0"/>
          <w:numId w:val="1077"/>
        </w:numPr>
        <w:pStyle w:val="Compact"/>
      </w:pPr>
      <w:r>
        <w:rPr>
          <w:bCs/>
          <w:b/>
        </w:rPr>
        <w:t xml:space="preserve">All-country test: PASS.</w:t>
      </w:r>
      <w:r>
        <w:t xml:space="preserve"> </w:t>
      </w:r>
      <w:r>
        <w:rPr>
          <w:rStyle w:val="VerbatimChar"/>
        </w:rPr>
        <w:t xml:space="preserve">check_allcountry_v7_0.py</w:t>
      </w:r>
      <w:r>
        <w:t xml:space="preserve"> </w:t>
      </w:r>
      <w:r>
        <w:t xml:space="preserve">clones every Egypt row of every single-table tab under a dummy</w:t>
      </w:r>
      <w:r>
        <w:t xml:space="preserve"> </w:t>
      </w:r>
      <w:r>
        <w:t xml:space="preserve">country (XEG) at the bottom of its table, renames Egypt’s codes to XEG in place on the tabs kept at legacy addresses,</w:t>
      </w:r>
      <w:r>
        <w:t xml:space="preserve"> </w:t>
      </w:r>
      <w:r>
        <w:t xml:space="preserve">selects XEG and recalculates: no error values, every output of Mitigation and Distribution identical to Egypt’s.</w:t>
      </w:r>
    </w:p>
    <w:p>
      <w:pPr>
        <w:numPr>
          <w:ilvl w:val="0"/>
          <w:numId w:val="1077"/>
        </w:numPr>
        <w:pStyle w:val="Compact"/>
      </w:pPr>
      <w:r>
        <w:rPr>
          <w:bCs/>
          <w:b/>
        </w:rPr>
        <w:t xml:space="preserve">No table from legacy’s cached Egypt run is left (v4.7).</w:t>
      </w:r>
      <w:r>
        <w:t xml:space="preserve"> </w:t>
      </w:r>
      <w:r>
        <w:t xml:space="preserve">The former PowerTech, PowerPaths and PowerParams are</w:t>
      </w:r>
      <w:r>
        <w:t xml:space="preserve"> </w:t>
      </w:r>
      <w:r>
        <w:t xml:space="preserve">computed from the legacy tabs on Inputs. BaselineCO2 (the scenario-1 CO2 the calibration uses) is derived by the</w:t>
      </w:r>
      <w:r>
        <w:t xml:space="preserve"> </w:t>
      </w:r>
      <w:r>
        <w:t xml:space="preserve">build.</w:t>
      </w:r>
    </w:p>
    <w:p>
      <w:pPr>
        <w:numPr>
          <w:ilvl w:val="0"/>
          <w:numId w:val="1077"/>
        </w:numPr>
        <w:pStyle w:val="Compact"/>
      </w:pPr>
      <w:r>
        <w:rPr>
          <w:bCs/>
          <w:b/>
        </w:rPr>
        <w:t xml:space="preserve">Legacy bugs in the power data: all fixed (v4.10, NORMS 0; v4.7 still copied them):</w:t>
      </w:r>
      <w:r>
        <w:t xml:space="preserve"> </w:t>
      </w:r>
      <w:r>
        <w:t xml:space="preserve">L52 every generation type</w:t>
      </w:r>
      <w:r>
        <w:t xml:space="preserve"> </w:t>
      </w:r>
      <w:r>
        <w:t xml:space="preserve">takes the country parameters where they exist (Egypt: solar fixed O&amp;M 11.831 instead of 15 $/kW/y); L53 the actual</w:t>
      </w:r>
      <w:r>
        <w:t xml:space="preserve"> </w:t>
      </w:r>
      <w:r>
        <w:t xml:space="preserve">capacity factor of the base year (installed capacity, Power rows 358-1635) is used inside the CFOverride bounds (Egypt:</w:t>
      </w:r>
      <w:r>
        <w:t xml:space="preserve"> </w:t>
      </w:r>
      <w:r>
        <w:t xml:space="preserve">gas 0.385, wind 0.436, solar 0.347, hydro 0.592; base-year gas capacity 52 GW instead of 35); L54 hydro invests from</w:t>
      </w:r>
      <w:r>
        <w:t xml:space="preserve"> </w:t>
      </w:r>
      <w:r>
        <w:t xml:space="preserve">the base year only when its generation share is above 50% (Egypt: from 2030); L55 the country rows are looked up in</w:t>
      </w:r>
      <w:r>
        <w:t xml:space="preserve"> </w:t>
      </w:r>
      <w:r>
        <w:t xml:space="preserve">the country block first (China, Japan, Korea); L56 countries without CoC risk data take the default WACC, flagged.</w:t>
      </w:r>
    </w:p>
    <w:p>
      <w:pPr>
        <w:numPr>
          <w:ilvl w:val="0"/>
          <w:numId w:val="1077"/>
        </w:numPr>
        <w:pStyle w:val="Compact"/>
      </w:pPr>
      <w:r>
        <w:t xml:space="preserve">Balances, EnergyCons, EF_PM, IO_GTAP, HHSurvey, HH_Elast, ASPIRE, WHOCooking and GDPRatios became legacy tables</w:t>
      </w:r>
      <w:r>
        <w:t xml:space="preserve"> </w:t>
      </w:r>
      <w:r>
        <w:t xml:space="preserve">(v4.5). Then GHGs, CH4Inputs, UNPop, EF_GHG, SCC, Transport1 and Transport2 followed. The tables come</w:t>
      </w:r>
      <w:r>
        <w:t xml:space="preserve"> </w:t>
      </w:r>
      <w:r>
        <w:t xml:space="preserve">from</w:t>
      </w:r>
      <w:r>
        <w:t xml:space="preserve"> </w:t>
      </w:r>
      <w:r>
        <w:rPr>
          <w:rStyle w:val="VerbatimChar"/>
        </w:rPr>
        <w:t xml:space="preserve">extract_legacy_tables_v7_0.py</w:t>
      </w:r>
      <w:r>
        <w:t xml:space="preserve">, which writes</w:t>
      </w:r>
      <w:r>
        <w:t xml:space="preserve"> </w:t>
      </w:r>
      <w:r>
        <w:rPr>
          <w:rStyle w:val="VerbatimChar"/>
        </w:rPr>
        <w:t xml:space="preserve">data/mvp_legacy_extracts/legacy_&lt;Tab&gt;.csv</w:t>
      </w:r>
      <w:r>
        <w:t xml:space="preserve"> </w:t>
      </w:r>
      <w:r>
        <w:t xml:space="preserve">verbatim from the legacy file.</w:t>
      </w:r>
    </w:p>
    <w:p>
      <w:pPr>
        <w:numPr>
          <w:ilvl w:val="0"/>
          <w:numId w:val="1077"/>
        </w:numPr>
        <w:pStyle w:val="Compact"/>
      </w:pPr>
      <w:r>
        <w:t xml:space="preserve">Base-year fuel use and power demand now come from Balances through legacy’s flow mapping (Mapping columns J-M), as</w:t>
      </w:r>
      <w:r>
        <w:t xml:space="preserve"> </w:t>
      </w:r>
      <w:r>
        <w:t xml:space="preserve">legacy does with BalancesOrConsumption = Balances; the old PowerDemand tab was dropped.</w:t>
      </w:r>
    </w:p>
    <w:p>
      <w:pPr>
        <w:numPr>
          <w:ilvl w:val="0"/>
          <w:numId w:val="1077"/>
        </w:numPr>
        <w:pStyle w:val="Compact"/>
      </w:pPr>
      <w:r>
        <w:t xml:space="preserve">CO2 emission factors: the legacy EF_GHG table replaces the Egypt factors copied from legacy’s run. The selection of</w:t>
      </w:r>
      <w:r>
        <w:t xml:space="preserve"> </w:t>
      </w:r>
      <w:r>
        <w:t xml:space="preserve">legacy Mitigation rows 980-1011 is now a data step on Inputs, and it reproduces the Egypt factors exactly:</w:t>
      </w:r>
    </w:p>
    <w:p>
      <w:pPr>
        <w:numPr>
          <w:ilvl w:val="1"/>
          <w:numId w:val="1080"/>
        </w:numPr>
        <w:pStyle w:val="Compact"/>
      </w:pPr>
      <w:r>
        <w:t xml:space="preserve">the country’s code, else its World Bank region, else the world;</w:t>
      </w:r>
    </w:p>
    <w:p>
      <w:pPr>
        <w:numPr>
          <w:ilvl w:val="1"/>
          <w:numId w:val="1080"/>
        </w:numPr>
        <w:pStyle w:val="Compact"/>
      </w:pPr>
      <w:r>
        <w:t xml:space="preserve">LPG and kerosene in power, and coal, LPG, kerosene and other oil products in road, take the row legacy points to;</w:t>
      </w:r>
    </w:p>
    <w:p>
      <w:pPr>
        <w:numPr>
          <w:ilvl w:val="1"/>
          <w:numId w:val="1080"/>
        </w:numPr>
        <w:pStyle w:val="Compact"/>
      </w:pPr>
      <w:r>
        <w:t xml:space="preserve">jet fuel uses the IEA factor (EFJetIEA);</w:t>
      </w:r>
    </w:p>
    <w:p>
      <w:pPr>
        <w:numPr>
          <w:ilvl w:val="1"/>
          <w:numId w:val="1080"/>
        </w:numPr>
        <w:pStyle w:val="Compact"/>
      </w:pPr>
      <w:r>
        <w:t xml:space="preserve">biomass is zero.</w:t>
      </w:r>
    </w:p>
    <w:p>
      <w:pPr>
        <w:numPr>
          <w:ilvl w:val="0"/>
          <w:numId w:val="1077"/>
        </w:numPr>
        <w:pStyle w:val="Compact"/>
      </w:pPr>
      <w:r>
        <w:t xml:space="preserve">GHGs: the legacy table adds Zimbabwe 2021 (legacy row 947). The previous extract stopped at row 946.</w:t>
      </w:r>
    </w:p>
    <w:p>
      <w:pPr>
        <w:numPr>
          <w:ilvl w:val="0"/>
          <w:numId w:val="1077"/>
        </w:numPr>
        <w:pStyle w:val="Compact"/>
      </w:pPr>
      <w:r>
        <w:t xml:space="preserve">All named ranges over data tables reach the capacity of the full legacy tables, with margin.</w:t>
      </w:r>
    </w:p>
    <w:p>
      <w:pPr>
        <w:numPr>
          <w:ilvl w:val="0"/>
          <w:numId w:val="1077"/>
        </w:numPr>
        <w:pStyle w:val="Compact"/>
      </w:pPr>
      <w:r>
        <w:t xml:space="preserve">v4.6: Countries, Elasticities, ETS+LTS, Multipliers, Prices_int, ECP and Transport3 became legacy tabs at legacy</w:t>
      </w:r>
      <w:r>
        <w:t xml:space="preserve"> </w:t>
      </w:r>
      <w:r>
        <w:t xml:space="preserve">addresses (</w:t>
      </w:r>
      <w:r>
        <w:rPr>
          <w:rStyle w:val="VerbatimChar"/>
        </w:rPr>
        <w:t xml:space="preserve">data/mvp_legacy_extracts/legacy_&lt;Tab&gt;_cells.csv</w:t>
      </w:r>
      <w:r>
        <w:t xml:space="preserve">), WEO the legacy table; the selections legacy makes for the country became</w:t>
      </w:r>
      <w:r>
        <w:t xml:space="preserve"> </w:t>
      </w:r>
      <w:r>
        <w:t xml:space="preserve">the Inputs blocks above; the GHG inventory year and every other lookup are unchanged.</w:t>
      </w:r>
    </w:p>
    <w:p>
      <w:pPr>
        <w:numPr>
          <w:ilvl w:val="0"/>
          <w:numId w:val="1077"/>
        </w:numPr>
        <w:pStyle w:val="Compact"/>
      </w:pPr>
      <w:r>
        <w:t xml:space="preserve">v4.6 results against v4.5: unchanged except the coal trade balance (L51 fixed; external balance rows xtb, about</w:t>
      </w:r>
      <w:r>
        <w:t xml:space="preserve"> </w:t>
      </w:r>
      <w:r>
        <w:t xml:space="preserve">0.6 bn USD a year for Egypt) and the base-year lagged GDP growth of the road model (trgdl, 2022: the WEO 2021 growth</w:t>
      </w:r>
      <w:r>
        <w:t xml:space="preserve"> </w:t>
      </w:r>
      <w:r>
        <w:t xml:space="preserve">3.25 % instead of 0, transport bug B2 now fixed, as the builder intended; the old WEO copy had no 2021 growth).</w:t>
      </w:r>
    </w:p>
    <w:p>
      <w:pPr>
        <w:numPr>
          <w:ilvl w:val="0"/>
          <w:numId w:val="1077"/>
        </w:numPr>
        <w:pStyle w:val="Compact"/>
      </w:pPr>
      <w:r>
        <w:t xml:space="preserve">v4.7: Power, CoC and GHGs became legacy tabs at legacy addresses; the power data of the country (the former tabs</w:t>
      </w:r>
      <w:r>
        <w:t xml:space="preserve"> </w:t>
      </w:r>
      <w:r>
        <w:t xml:space="preserve">PowerTech, PowerPaths and PowerParams, copied from legacy’s Egypt run) became the Inputs power blocks, formulas only</w:t>
      </w:r>
      <w:r>
        <w:t xml:space="preserve"> </w:t>
      </w:r>
      <w:r>
        <w:t xml:space="preserve">(country, else world parameters; efficiency and generation from Balances; WACC from CoC; capex time factors, storage,</w:t>
      </w:r>
      <w:r>
        <w:t xml:space="preserve"> </w:t>
      </w:r>
      <w:r>
        <w:t xml:space="preserve">income factor, emission shocks; settings from ScenarioDefinition scenario 1). The values reproduce the former tables, except</w:t>
      </w:r>
      <w:r>
        <w:t xml:space="preserve"> </w:t>
      </w:r>
      <w:r>
        <w:t xml:space="preserve">the wind and solar capex time factors for 2039-2041 (I38). Effect on Egypt’s results: none before 2039; from 2039</w:t>
      </w:r>
      <w:r>
        <w:t xml:space="preserve"> </w:t>
      </w:r>
      <w:r>
        <w:t xml:space="preserve">new capacity and investment of solar, wind and gas, then power fuel use and emissions (525 output codes; largest:</w:t>
      </w:r>
      <w:r>
        <w:t xml:space="preserve"> </w:t>
      </w:r>
      <w:r>
        <w:t xml:space="preserve">new solar investment in the baseline, by up to 149 MW a year).</w:t>
      </w:r>
    </w:p>
    <w:p>
      <w:pPr>
        <w:numPr>
          <w:ilvl w:val="0"/>
          <w:numId w:val="1077"/>
        </w:numPr>
        <w:pStyle w:val="Compact"/>
      </w:pPr>
      <w:r>
        <w:t xml:space="preserve">Dropped in v4.7: PowerTech, PowerPaths, PowerParams (now Inputs blocks from Power, CoC, Balances, WEO, GHGs).</w:t>
      </w:r>
    </w:p>
    <w:p>
      <w:pPr>
        <w:numPr>
          <w:ilvl w:val="0"/>
          <w:numId w:val="1077"/>
        </w:numPr>
        <w:pStyle w:val="Compact"/>
      </w:pPr>
      <w:r>
        <w:t xml:space="preserve">v4.12: OilProductShares (legacy table, all countries; household share of diesel, kerosene, LPG and gasoline, and</w:t>
      </w:r>
      <w:r>
        <w:t xml:space="preserve"> </w:t>
      </w:r>
      <w:r>
        <w:t xml:space="preserve">their road shares) after UNPop, as legacy. Inputs_prices multiplies the VAT rate of gasoline, diesel, LPG and</w:t>
      </w:r>
      <w:r>
        <w:t xml:space="preserve"> </w:t>
      </w:r>
      <w:r>
        <w:t xml:space="preserve">kerosene by the household share, as legacy rows 797-816 (LD5, issue I39). Settings rows 46-51: the methane fee</w:t>
      </w:r>
      <w:r>
        <w:t xml:space="preserve"> </w:t>
      </w:r>
      <w:r>
        <w:t xml:space="preserve">switches per source of legacy Manual inputs J196-J200 (LD46; since v5.2 on sheet Manual inputs, shown on Settings). Inputs columns efxs:eff (nearest GAINS factors, bug</w:t>
      </w:r>
      <w:r>
        <w:t xml:space="preserve"> </w:t>
      </w:r>
      <w:r>
        <w:t xml:space="preserve">L59) and ecpk, xcp0 (existing carbon pricing), which replace ctc and etc.</w:t>
      </w:r>
    </w:p>
    <w:bookmarkEnd w:id="141"/>
    <w:bookmarkStart w:id="142" w:name="Xaa836125319ada1232089877d701452408d43e9"/>
    <w:p>
      <w:pPr>
        <w:pStyle w:val="Heading3"/>
      </w:pPr>
      <w:r>
        <w:t xml:space="preserve">Manual inputs: the second input source, at the legacy addresses</w:t>
      </w:r>
    </w:p>
    <w:p>
      <w:pPr>
        <w:pStyle w:val="FirstParagraph"/>
      </w:pPr>
      <w:r>
        <w:t xml:space="preserve">Sheet</w:t>
      </w:r>
      <w:r>
        <w:t xml:space="preserve"> </w:t>
      </w:r>
      <w:r>
        <w:rPr>
          <w:rStyle w:val="VerbatimChar"/>
        </w:rPr>
        <w:t xml:space="preserve">Manual inputs</w:t>
      </w:r>
      <w:r>
        <w:t xml:space="preserve"> </w:t>
      </w:r>
      <w:r>
        <w:t xml:space="preserve">(tab group INPUTS-&gt;&gt;, after ScenarioDefinition) is the whole legacy tab of that name, rows 3-378 at their</w:t>
      </w:r>
      <w:r>
        <w:t xml:space="preserve"> </w:t>
      </w:r>
      <w:r>
        <w:t xml:space="preserve">legacy cell addresses (rows 1-2: source line and title bar), so the legacy tab pasted from row 3 replaces it. The cells</w:t>
      </w:r>
      <w:r>
        <w:t xml:space="preserve"> </w:t>
      </w:r>
      <w:r>
        <w:t xml:space="preserve">come from</w:t>
      </w:r>
      <w:r>
        <w:t xml:space="preserve"> </w:t>
      </w:r>
      <w:r>
        <w:rPr>
          <w:rStyle w:val="VerbatimChar"/>
        </w:rPr>
        <w:t xml:space="preserve">data/mvp_legacy_extracts/legacy_ManualInputs_cells.csv</w:t>
      </w:r>
      <w:r>
        <w:t xml:space="preserve"> </w:t>
      </w:r>
      <w:r>
        <w:t xml:space="preserve">(</w:t>
      </w:r>
      <w:r>
        <w:rPr>
          <w:rStyle w:val="VerbatimChar"/>
        </w:rPr>
        <w:t xml:space="preserve">extract_legacy_tables_v7_0.py manual</w:t>
      </w:r>
      <w:r>
        <w:t xml:space="preserve">): legacy values typed, light</w:t>
      </w:r>
      <w:r>
        <w:t xml:space="preserve"> </w:t>
      </w:r>
      <w:r>
        <w:t xml:space="preserve">green on the input cells. Legacy formulas within the sheet are kept (unit labels, the SCC path, the memo rows, the</w:t>
      </w:r>
      <w:r>
        <w:t xml:space="preserve"> </w:t>
      </w:r>
      <w:r>
        <w:t xml:space="preserve">residual of the PM2.5 apportionment); formulas that read other legacy tabs are replaced by the MVP equivalent (country</w:t>
      </w:r>
      <w:r>
        <w:t xml:space="preserve"> </w:t>
      </w:r>
      <w:r>
        <w:t xml:space="preserve">name and code, ScenarioDefinition scenario 1, the Elasticities tab) or typed as their legacy default value, and the note on the</w:t>
      </w:r>
      <w:r>
        <w:t xml:space="preserve"> </w:t>
      </w:r>
      <w:r>
        <w:t xml:space="preserve">block’s title row (column J) says which. ScenarioDefinition stays the main input sheet (NORMS 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Rows</w:t>
            </w:r>
          </w:p>
        </w:tc>
        <w:tc>
          <w:tcPr/>
          <w:p>
            <w:pPr>
              <w:pStyle w:val="Compact"/>
              <w:jc w:val="left"/>
            </w:pPr>
            <w:r>
              <w:t xml:space="preserve">Block</w:t>
            </w:r>
          </w:p>
        </w:tc>
        <w:tc>
          <w:tcPr/>
          <w:p>
            <w:pPr>
              <w:pStyle w:val="Compact"/>
              <w:jc w:val="left"/>
            </w:pPr>
            <w:r>
              <w:t xml:space="preserve">Read by the MVP</w:t>
            </w:r>
          </w:p>
        </w:tc>
      </w:tr>
      <w:tr>
        <w:tc>
          <w:tcPr/>
          <w:p>
            <w:pPr>
              <w:pStyle w:val="Compact"/>
              <w:jc w:val="left"/>
            </w:pPr>
            <w:r>
              <w:t xml:space="preserve">5-15</w:t>
            </w:r>
          </w:p>
        </w:tc>
        <w:tc>
          <w:tcPr/>
          <w:p>
            <w:pPr>
              <w:pStyle w:val="Compact"/>
              <w:jc w:val="left"/>
            </w:pPr>
            <w:r>
              <w:t xml:space="preserve">ETS: advanced parameters, sector inclusion, override price</w:t>
            </w:r>
          </w:p>
        </w:tc>
        <w:tc>
          <w:tcPr/>
          <w:p>
            <w:pPr>
              <w:pStyle w:val="Compact"/>
              <w:jc w:val="left"/>
            </w:pPr>
            <w:r>
              <w:t xml:space="preserve">E10:E12, the goal-seek settings (names ETSMaxIterations, ETSStartFreshContinue, ETSErrorTolerance; MVP values 20, Continue, 0.005; legacy 30, Continue, 0.001): macro SolveETS and</w:t>
            </w:r>
            <w:r>
              <w:t xml:space="preserve"> </w:t>
            </w:r>
            <w:r>
              <w:rPr>
                <w:rStyle w:val="VerbatimChar"/>
              </w:rPr>
              <w:t xml:space="preserve">ets_goalseek_v7_0.py</w:t>
            </w:r>
            <w:r>
              <w:t xml:space="preserve">. Not read: E7:E9, the inclusion rows and the override row, which the MVP holds per scenario (ScenarioDefinition rows 95-97, 99-115; row ets.ovr of each scenario group)</w:t>
            </w:r>
          </w:p>
        </w:tc>
      </w:tr>
      <w:tr>
        <w:tc>
          <w:tcPr/>
          <w:p>
            <w:pPr>
              <w:pStyle w:val="Compact"/>
              <w:jc w:val="left"/>
            </w:pPr>
            <w:r>
              <w:t xml:space="preserve">18-47</w:t>
            </w:r>
          </w:p>
        </w:tc>
        <w:tc>
          <w:tcPr/>
          <w:p>
            <w:pPr>
              <w:pStyle w:val="Compact"/>
              <w:jc w:val="left"/>
            </w:pPr>
            <w:r>
              <w:t xml:space="preserve">Process emissions (CBAM goods): coverage, emission factors, half elasticities</w:t>
            </w:r>
          </w:p>
        </w:tc>
        <w:tc>
          <w:tcPr/>
          <w:p>
            <w:pPr>
              <w:pStyle w:val="Compact"/>
              <w:jc w:val="left"/>
            </w:pPr>
            <w:r>
              <w:t xml:space="preserve">No: feature not built</w:t>
            </w:r>
          </w:p>
        </w:tc>
      </w:tr>
      <w:tr>
        <w:tc>
          <w:tcPr/>
          <w:p>
            <w:pPr>
              <w:pStyle w:val="Compact"/>
              <w:jc w:val="left"/>
            </w:pPr>
            <w:r>
              <w:t xml:space="preserve">49-54</w:t>
            </w:r>
          </w:p>
        </w:tc>
        <w:tc>
          <w:tcPr/>
          <w:p>
            <w:pPr>
              <w:pStyle w:val="Compact"/>
              <w:jc w:val="left"/>
            </w:pPr>
            <w:r>
              <w:t xml:space="preserve">Feebates: sector flags</w:t>
            </w:r>
          </w:p>
        </w:tc>
        <w:tc>
          <w:tcPr/>
          <w:p>
            <w:pPr>
              <w:pStyle w:val="Compact"/>
              <w:jc w:val="left"/>
            </w:pPr>
            <w:r>
              <w:t xml:space="preserve">No: ScenarioDefinition rows 66-82 per scenario</w:t>
            </w:r>
          </w:p>
        </w:tc>
      </w:tr>
      <w:tr>
        <w:tc>
          <w:tcPr/>
          <w:p>
            <w:pPr>
              <w:pStyle w:val="Compact"/>
              <w:jc w:val="left"/>
            </w:pPr>
            <w:r>
              <w:t xml:space="preserve">57-146</w:t>
            </w:r>
          </w:p>
        </w:tc>
        <w:tc>
          <w:tcPr/>
          <w:p>
            <w:pPr>
              <w:pStyle w:val="Compact"/>
              <w:jc w:val="left"/>
            </w:pPr>
            <w:r>
              <w:t xml:space="preserve">Domestic energy prices and taxes (manual)</w:t>
            </w:r>
          </w:p>
        </w:tc>
        <w:tc>
          <w:tcPr/>
          <w:p>
            <w:pPr>
              <w:pStyle w:val="Compact"/>
              <w:jc w:val="left"/>
            </w:pPr>
            <w:r>
              <w:t xml:space="preserve">No: feature not built (prices: Prices_dom)</w:t>
            </w:r>
          </w:p>
        </w:tc>
      </w:tr>
      <w:tr>
        <w:tc>
          <w:tcPr/>
          <w:p>
            <w:pPr>
              <w:pStyle w:val="Compact"/>
              <w:jc w:val="left"/>
            </w:pPr>
            <w:r>
              <w:t xml:space="preserve">148-163</w:t>
            </w:r>
          </w:p>
        </w:tc>
        <w:tc>
          <w:tcPr/>
          <w:p>
            <w:pPr>
              <w:pStyle w:val="Compact"/>
              <w:jc w:val="left"/>
            </w:pPr>
            <w:r>
              <w:t xml:space="preserve">Excise reform (additional excise)</w:t>
            </w:r>
          </w:p>
        </w:tc>
        <w:tc>
          <w:tcPr/>
          <w:p>
            <w:pPr>
              <w:pStyle w:val="Compact"/>
              <w:jc w:val="left"/>
            </w:pPr>
            <w:r>
              <w:t xml:space="preserve">No: feature not built</w:t>
            </w:r>
          </w:p>
        </w:tc>
      </w:tr>
      <w:tr>
        <w:tc>
          <w:tcPr/>
          <w:p>
            <w:pPr>
              <w:pStyle w:val="Compact"/>
              <w:jc w:val="left"/>
            </w:pPr>
            <w:r>
              <w:t xml:space="preserve">165-180</w:t>
            </w:r>
          </w:p>
        </w:tc>
        <w:tc>
          <w:tcPr/>
          <w:p>
            <w:pPr>
              <w:pStyle w:val="Compact"/>
              <w:jc w:val="left"/>
            </w:pPr>
            <w:r>
              <w:t xml:space="preserve">Domestic energy price controls</w:t>
            </w:r>
          </w:p>
        </w:tc>
        <w:tc>
          <w:tcPr/>
          <w:p>
            <w:pPr>
              <w:pStyle w:val="Compact"/>
              <w:jc w:val="left"/>
            </w:pPr>
            <w:r>
              <w:t xml:space="preserve">J167:J180 by code (names PCtrlKey, PCtrlVal): Inputs_prices column pcm, the pass-through when GovPriceControls = Manual (blank = 1, as legacy); electricity rows not read</w:t>
            </w:r>
          </w:p>
        </w:tc>
      </w:tr>
      <w:tr>
        <w:tc>
          <w:tcPr/>
          <w:p>
            <w:pPr>
              <w:pStyle w:val="Compact"/>
              <w:jc w:val="left"/>
            </w:pPr>
            <w:r>
              <w:t xml:space="preserve">183-200</w:t>
            </w:r>
          </w:p>
        </w:tc>
        <w:tc>
          <w:tcPr/>
          <w:p>
            <w:pPr>
              <w:pStyle w:val="Compact"/>
              <w:jc w:val="left"/>
            </w:pPr>
            <w:r>
              <w:t xml:space="preserve">Methane fee</w:t>
            </w:r>
          </w:p>
        </w:tc>
        <w:tc>
          <w:tcPr/>
          <w:p>
            <w:pPr>
              <w:pStyle w:val="Compact"/>
              <w:jc w:val="left"/>
            </w:pPr>
            <w:r>
              <w:t xml:space="preserve">J196:J200, the fee scope by source (names MFeeBio, MFeeDG, MFeeFF, MFeeAgr, MFeeWst; shown on Settings rows 47-51). Not read: J185:J194 (not built)</w:t>
            </w:r>
          </w:p>
        </w:tc>
      </w:tr>
      <w:tr>
        <w:tc>
          <w:tcPr/>
          <w:p>
            <w:pPr>
              <w:pStyle w:val="Compact"/>
              <w:jc w:val="left"/>
            </w:pPr>
            <w:r>
              <w:t xml:space="preserve">202-215</w:t>
            </w:r>
          </w:p>
        </w:tc>
        <w:tc>
          <w:tcPr/>
          <w:p>
            <w:pPr>
              <w:pStyle w:val="Compact"/>
              <w:jc w:val="left"/>
            </w:pPr>
            <w:r>
              <w:t xml:space="preserve">Imperfect pass-through (Distribution)</w:t>
            </w:r>
          </w:p>
        </w:tc>
        <w:tc>
          <w:tcPr/>
          <w:p>
            <w:pPr>
              <w:pStyle w:val="Compact"/>
              <w:jc w:val="left"/>
            </w:pPr>
            <w:r>
              <w:t xml:space="preserve">No: not built (legacy does not wire it either)</w:t>
            </w:r>
          </w:p>
        </w:tc>
      </w:tr>
      <w:tr>
        <w:tc>
          <w:tcPr/>
          <w:p>
            <w:pPr>
              <w:pStyle w:val="Compact"/>
              <w:jc w:val="left"/>
            </w:pPr>
            <w:r>
              <w:t xml:space="preserve">218-225</w:t>
            </w:r>
          </w:p>
        </w:tc>
        <w:tc>
          <w:tcPr/>
          <w:p>
            <w:pPr>
              <w:pStyle w:val="Compact"/>
              <w:jc w:val="left"/>
            </w:pPr>
            <w:r>
              <w:t xml:space="preserve">International energy price forecasts (manual)</w:t>
            </w:r>
          </w:p>
        </w:tc>
        <w:tc>
          <w:tcPr/>
          <w:p>
            <w:pPr>
              <w:pStyle w:val="Compact"/>
              <w:jc w:val="left"/>
            </w:pPr>
            <w:r>
              <w:t xml:space="preserve">J221:AF225 by label and year (names PIntManVal, PIntManLab, PIntManYear): Inputs_pint rows Manual from 2026, when IntEnerPricForeSource = Manual</w:t>
            </w:r>
          </w:p>
        </w:tc>
      </w:tr>
      <w:tr>
        <w:tc>
          <w:tcPr/>
          <w:p>
            <w:pPr>
              <w:pStyle w:val="Compact"/>
              <w:jc w:val="left"/>
            </w:pPr>
            <w:r>
              <w:t xml:space="preserve">228-231</w:t>
            </w:r>
          </w:p>
        </w:tc>
        <w:tc>
          <w:tcPr/>
          <w:p>
            <w:pPr>
              <w:pStyle w:val="Compact"/>
              <w:jc w:val="left"/>
            </w:pPr>
            <w:r>
              <w:t xml:space="preserve">GDP forecasts (manual)</w:t>
            </w:r>
          </w:p>
        </w:tc>
        <w:tc>
          <w:tcPr/>
          <w:p>
            <w:pPr>
              <w:pStyle w:val="Compact"/>
              <w:jc w:val="left"/>
            </w:pPr>
            <w:r>
              <w:t xml:space="preserve">No: feature not built</w:t>
            </w:r>
          </w:p>
        </w:tc>
      </w:tr>
      <w:tr>
        <w:tc>
          <w:tcPr/>
          <w:p>
            <w:pPr>
              <w:pStyle w:val="Compact"/>
              <w:jc w:val="left"/>
            </w:pPr>
            <w:r>
              <w:t xml:space="preserve">234-240</w:t>
            </w:r>
          </w:p>
        </w:tc>
        <w:tc>
          <w:tcPr/>
          <w:p>
            <w:pPr>
              <w:pStyle w:val="Compact"/>
              <w:jc w:val="left"/>
            </w:pPr>
            <w:r>
              <w:t xml:space="preserve">Social cost of carbon</w:t>
            </w:r>
          </w:p>
        </w:tc>
        <w:tc>
          <w:tcPr/>
          <w:p>
            <w:pPr>
              <w:pStyle w:val="Compact"/>
              <w:jc w:val="left"/>
            </w:pPr>
            <w:r>
              <w:t xml:space="preserve">Yes since v5.2: row 237 is the Manual option of NSCCSource / GSCCSource (legacy bug L103: legacy reads the path typed on Mitigation row 17683 and leaves this block dead)</w:t>
            </w:r>
          </w:p>
        </w:tc>
      </w:tr>
      <w:tr>
        <w:tc>
          <w:tcPr/>
          <w:p>
            <w:pPr>
              <w:pStyle w:val="Compact"/>
              <w:jc w:val="left"/>
            </w:pPr>
            <w:r>
              <w:t xml:space="preserve">243-254</w:t>
            </w:r>
          </w:p>
        </w:tc>
        <w:tc>
          <w:tcPr/>
          <w:p>
            <w:pPr>
              <w:pStyle w:val="Compact"/>
              <w:jc w:val="left"/>
            </w:pPr>
            <w:r>
              <w:t xml:space="preserve">PM2.5 source apportionment</w:t>
            </w:r>
          </w:p>
        </w:tc>
        <w:tc>
          <w:tcPr/>
          <w:p>
            <w:pPr>
              <w:pStyle w:val="Compact"/>
              <w:jc w:val="left"/>
            </w:pPr>
            <w:r>
              <w:t xml:space="preserve">No: feature not built</w:t>
            </w:r>
          </w:p>
        </w:tc>
      </w:tr>
      <w:tr>
        <w:tc>
          <w:tcPr/>
          <w:p>
            <w:pPr>
              <w:pStyle w:val="Compact"/>
              <w:jc w:val="left"/>
            </w:pPr>
            <w:r>
              <w:t xml:space="preserve">257-269</w:t>
            </w:r>
          </w:p>
        </w:tc>
        <w:tc>
          <w:tcPr/>
          <w:p>
            <w:pPr>
              <w:pStyle w:val="Compact"/>
              <w:jc w:val="left"/>
            </w:pPr>
            <w:r>
              <w:t xml:space="preserve">Fiscal multipliers</w:t>
            </w:r>
          </w:p>
        </w:tc>
        <w:tc>
          <w:tcPr/>
          <w:p>
            <w:pPr>
              <w:pStyle w:val="Compact"/>
              <w:jc w:val="left"/>
            </w:pPr>
            <w:r>
              <w:t xml:space="preserve">J261:U268 (names MultMan, MultManKey): Inputs_mult, when MultipliersSource = Manual</w:t>
            </w:r>
          </w:p>
        </w:tc>
      </w:tr>
      <w:tr>
        <w:tc>
          <w:tcPr/>
          <w:p>
            <w:pPr>
              <w:pStyle w:val="Compact"/>
              <w:jc w:val="left"/>
            </w:pPr>
            <w:r>
              <w:t xml:space="preserve">271-327</w:t>
            </w:r>
          </w:p>
        </w:tc>
        <w:tc>
          <w:tcPr/>
          <w:p>
            <w:pPr>
              <w:pStyle w:val="Compact"/>
              <w:jc w:val="left"/>
            </w:pPr>
            <w:r>
              <w:t xml:space="preserve">Elasticities and efficiency improvements</w:t>
            </w:r>
          </w:p>
        </w:tc>
        <w:tc>
          <w:tcPr/>
          <w:p>
            <w:pPr>
              <w:pStyle w:val="Compact"/>
              <w:jc w:val="left"/>
            </w:pPr>
            <w:r>
              <w:t xml:space="preserve">K326:M327, the non-energy GHG elasticities (names GhgElCat, GhgElPop, GhgElInc): section 14 rows ghg.dr and ch4.act. Not read: the manual energy elasticities (not built)</w:t>
            </w:r>
          </w:p>
        </w:tc>
      </w:tr>
      <w:tr>
        <w:tc>
          <w:tcPr/>
          <w:p>
            <w:pPr>
              <w:pStyle w:val="Compact"/>
              <w:jc w:val="left"/>
            </w:pPr>
            <w:r>
              <w:t xml:space="preserve">330-340</w:t>
            </w:r>
          </w:p>
        </w:tc>
        <w:tc>
          <w:tcPr/>
          <w:p>
            <w:pPr>
              <w:pStyle w:val="Compact"/>
              <w:jc w:val="left"/>
            </w:pPr>
            <w:r>
              <w:t xml:space="preserve">Additional mitigation effort (non-energy)</w:t>
            </w:r>
          </w:p>
        </w:tc>
        <w:tc>
          <w:tcPr/>
          <w:p>
            <w:pPr>
              <w:pStyle w:val="Compact"/>
              <w:jc w:val="left"/>
            </w:pPr>
            <w:r>
              <w:t xml:space="preserve">No: feature not built</w:t>
            </w:r>
          </w:p>
        </w:tc>
      </w:tr>
      <w:tr>
        <w:tc>
          <w:tcPr/>
          <w:p>
            <w:pPr>
              <w:pStyle w:val="Compact"/>
              <w:jc w:val="left"/>
            </w:pPr>
            <w:r>
              <w:t xml:space="preserve">342-372</w:t>
            </w:r>
          </w:p>
        </w:tc>
        <w:tc>
          <w:tcPr/>
          <w:p>
            <w:pPr>
              <w:pStyle w:val="Compact"/>
              <w:jc w:val="left"/>
            </w:pPr>
            <w:r>
              <w:t xml:space="preserve">New investments in power (manual capacity)</w:t>
            </w:r>
          </w:p>
        </w:tc>
        <w:tc>
          <w:tcPr/>
          <w:p>
            <w:pPr>
              <w:pStyle w:val="Compact"/>
              <w:jc w:val="left"/>
            </w:pPr>
            <w:r>
              <w:t xml:space="preserve">No: built later with the power features</w:t>
            </w:r>
          </w:p>
        </w:tc>
      </w:tr>
      <w:tr>
        <w:tc>
          <w:tcPr/>
          <w:p>
            <w:pPr>
              <w:pStyle w:val="Compact"/>
              <w:jc w:val="left"/>
            </w:pPr>
            <w:r>
              <w:t xml:space="preserve">373-378</w:t>
            </w:r>
          </w:p>
        </w:tc>
        <w:tc>
          <w:tcPr/>
          <w:p>
            <w:pPr>
              <w:pStyle w:val="Compact"/>
              <w:jc w:val="left"/>
            </w:pPr>
            <w:r>
              <w:t xml:space="preserve">Transport: fuel economy of new EVs</w:t>
            </w:r>
          </w:p>
        </w:tc>
        <w:tc>
          <w:tcPr/>
          <w:p>
            <w:pPr>
              <w:pStyle w:val="Compact"/>
              <w:jc w:val="left"/>
            </w:pPr>
            <w:r>
              <w:t xml:space="preserve">J375:AC377 by label (D375:D377) and year (names BEVFEVal, BEVFELab, BEVFEYr): section 5b rows trfen</w:t>
            </w:r>
          </w:p>
        </w:tc>
      </w:tr>
    </w:tbl>
    <w:bookmarkEnd w:id="142"/>
    <w:bookmarkEnd w:id="143"/>
    <w:bookmarkStart w:id="144" w:name="Xb74af0d78e3e2da57f8e12d0f20f7bc8b8d9236"/>
    <w:p>
      <w:pPr>
        <w:pStyle w:val="Heading1"/>
      </w:pPr>
      <w:r>
        <w:t xml:space="preserve">Bugs, issues, differences with legacy and upgrades</w:t>
      </w:r>
    </w:p>
    <w:p>
      <w:pPr>
        <w:pStyle w:val="FirstParagraph"/>
      </w:pPr>
      <w:r>
        <w:t xml:space="preserve">In the register</w:t>
      </w:r>
      <w:r>
        <w:t xml:space="preserve"> </w:t>
      </w:r>
      <w:r>
        <w:rPr>
          <w:rStyle w:val="VerbatimChar"/>
        </w:rPr>
        <w:t xml:space="preserve">CPAT-AI-Mitigation-MVP_BugsAndIssues_v7.2.docx</w:t>
      </w:r>
      <w:r>
        <w:t xml:space="preserve"> </w:t>
      </w:r>
      <w:r>
        <w:t xml:space="preserve">(same folder): the legacy CPAT bugs (79 differences with legacy are listed there too) with the bug-fixing procedure and the cell-level plans (</w:t>
      </w:r>
      <w:r>
        <w:rPr>
          <w:rStyle w:val="VerbatimChar"/>
        </w:rPr>
        <w:t xml:space="preserve">bugfixes/</w:t>
      </w:r>
      <w:r>
        <w:t xml:space="preserve">), the issues, the departures from legacy and the potential upgrades. This document does not repeat them.</w:t>
      </w:r>
    </w:p>
    <w:bookmarkEnd w:id="144"/>
    <w:bookmarkStart w:id="145" w:name="appendix-a.-version-log"/>
    <w:p>
      <w:pPr>
        <w:pStyle w:val="Heading1"/>
      </w:pPr>
      <w:r>
        <w:t xml:space="preserve">Appendix A. Version log</w:t>
      </w:r>
    </w:p>
    <w:p>
      <w:pPr>
        <w:pStyle w:val="FirstParagraph"/>
      </w:pPr>
      <w:r>
        <w:rPr>
          <w:iCs/>
          <w:i/>
        </w:rPr>
        <w:t xml:space="preserve">Source: workbook sheet</w:t>
      </w:r>
      <w:r>
        <w:rPr>
          <w:iCs/>
          <w:i/>
        </w:rPr>
        <w:t xml:space="preserve"> </w:t>
      </w:r>
      <w:r>
        <w:rPr>
          <w:rStyle w:val="VerbatimChar"/>
          <w:iCs/>
          <w:i/>
        </w:rPr>
        <w:t xml:space="preserve">Settings</w:t>
      </w:r>
      <w:r>
        <w:rPr>
          <w:iCs/>
          <w:i/>
        </w:rPr>
        <w:t xml:space="preserve">.</w:t>
      </w:r>
    </w:p>
    <w:tbl>
      <w:tblPr>
        <w:tblStyle w:val="Table"/>
        <w:tblW w:type="pct" w:w="5000"/>
        <w:tblLook w:firstRow="1" w:lastRow="0" w:firstColumn="0" w:lastColumn="0" w:noHBand="0" w:noVBand="0" w:val="0020"/>
        <w:jc w:val="start"/>
      </w:tblPr>
      <w:tblGrid>
        <w:gridCol w:w="720"/>
        <w:gridCol w:w="1080"/>
        <w:gridCol w:w="4320"/>
        <w:gridCol w:w="180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Max abs regression diff</w:t>
            </w:r>
          </w:p>
        </w:tc>
      </w:tr>
      <w:tr>
        <w:tc>
          <w:tcPr/>
          <w:p>
            <w:pPr>
              <w:pStyle w:val="Compact"/>
              <w:jc w:val="left"/>
            </w:pPr>
            <w:r>
              <w:t xml:space="preserve">0.1</w:t>
            </w:r>
          </w:p>
        </w:tc>
        <w:tc>
          <w:tcPr/>
          <w:p>
            <w:pPr>
              <w:pStyle w:val="Compact"/>
              <w:jc w:val="left"/>
            </w:pPr>
            <w:r>
              <w:t xml:space="preserve">2026-10-08</w:t>
            </w:r>
          </w:p>
        </w:tc>
        <w:tc>
          <w:tcPr/>
          <w:p>
            <w:pPr>
              <w:pStyle w:val="Compact"/>
              <w:jc w:val="left"/>
            </w:pPr>
            <w:r>
              <w:t xml:space="preserve">First build: design 2 price -&gt; fuel-use prototype, Egypt base data, 2 scenarios.</w:t>
            </w:r>
          </w:p>
        </w:tc>
        <w:tc>
          <w:tcPr/>
          <w:p>
            <w:pPr>
              <w:pStyle w:val="Compact"/>
              <w:jc w:val="left"/>
            </w:pPr>
            <w:r>
              <w:t xml:space="preserve">n/a (first version)</w:t>
            </w:r>
          </w:p>
        </w:tc>
      </w:tr>
      <w:tr>
        <w:tc>
          <w:tcPr/>
          <w:p>
            <w:pPr>
              <w:pStyle w:val="Compact"/>
              <w:jc w:val="left"/>
            </w:pPr>
            <w:r>
              <w:t xml:space="preserve">0.2</w:t>
            </w:r>
          </w:p>
        </w:tc>
        <w:tc>
          <w:tcPr/>
          <w:p>
            <w:pPr>
              <w:pStyle w:val="Compact"/>
              <w:jc w:val="left"/>
            </w:pPr>
            <w:r>
              <w:t xml:space="preserve">2026-10-08</w:t>
            </w:r>
          </w:p>
        </w:tc>
        <w:tc>
          <w:tcPr/>
          <w:p>
            <w:pPr>
              <w:pStyle w:val="Compact"/>
              <w:jc w:val="left"/>
            </w:pPr>
            <w:r>
              <w:t xml:space="preserve">Inputs sheet by fuel/subsector (lookups separated from formulas); 4 hidden parameter columns D:G, global parameters; base year 2022 in column L; named LAMBDAs in 2035.</w:t>
            </w:r>
          </w:p>
        </w:tc>
        <w:tc>
          <w:tcPr/>
          <w:p>
            <w:pPr>
              <w:pStyle w:val="Compact"/>
              <w:jc w:val="left"/>
            </w:pPr>
            <w:r>
              <w:t xml:space="preserve">0 (vs v0.1)</w:t>
            </w:r>
          </w:p>
        </w:tc>
      </w:tr>
      <w:tr>
        <w:tc>
          <w:tcPr/>
          <w:p>
            <w:pPr>
              <w:pStyle w:val="Compact"/>
              <w:jc w:val="left"/>
            </w:pPr>
            <w:r>
              <w:t xml:space="preserve">0.3</w:t>
            </w:r>
          </w:p>
        </w:tc>
        <w:tc>
          <w:tcPr/>
          <w:p>
            <w:pPr>
              <w:pStyle w:val="Compact"/>
              <w:jc w:val="left"/>
            </w:pPr>
            <w:r>
              <w:t xml:space="preserve">2026-10-08</w:t>
            </w:r>
          </w:p>
        </w:tc>
        <w:tc>
          <w:tcPr/>
          <w:p>
            <w:pPr>
              <w:pStyle w:val="Compact"/>
              <w:jc w:val="left"/>
            </w:pPr>
            <w:r>
              <w:t xml:space="preserve">Variable codes in column A; labels from Variables; code column per scenario with full CPAT codes (auto-numbered).</w:t>
            </w:r>
          </w:p>
        </w:tc>
        <w:tc>
          <w:tcPr/>
          <w:p>
            <w:pPr>
              <w:pStyle w:val="Compact"/>
              <w:jc w:val="left"/>
            </w:pPr>
            <w:r>
              <w:t xml:space="preserve">0 (vs v0.2)</w:t>
            </w:r>
          </w:p>
        </w:tc>
      </w:tr>
      <w:tr>
        <w:tc>
          <w:tcPr/>
          <w:p>
            <w:pPr>
              <w:pStyle w:val="Compact"/>
              <w:jc w:val="left"/>
            </w:pPr>
            <w:r>
              <w:t xml:space="preserve">0.4</w:t>
            </w:r>
          </w:p>
        </w:tc>
        <w:tc>
          <w:tcPr/>
          <w:p>
            <w:pPr>
              <w:pStyle w:val="Compact"/>
              <w:jc w:val="left"/>
            </w:pPr>
            <w:r>
              <w:t xml:space="preserve">2026-10-08</w:t>
            </w:r>
          </w:p>
        </w:tc>
        <w:tc>
          <w:tcPr/>
          <w:p>
            <w:pPr>
              <w:pStyle w:val="Compact"/>
              <w:jc w:val="left"/>
            </w:pPr>
            <w:r>
              <w:t xml:space="preserve">Row outline: blocks roll up.</w:t>
            </w:r>
          </w:p>
        </w:tc>
        <w:tc>
          <w:tcPr/>
          <w:p>
            <w:pPr>
              <w:pStyle w:val="Compact"/>
              <w:jc w:val="left"/>
            </w:pPr>
            <w:r>
              <w:t xml:space="preserve">0 (vs v0.3)</w:t>
            </w:r>
          </w:p>
        </w:tc>
      </w:tr>
      <w:tr>
        <w:tc>
          <w:tcPr/>
          <w:p>
            <w:pPr>
              <w:pStyle w:val="Compact"/>
              <w:jc w:val="left"/>
            </w:pPr>
            <w:r>
              <w:t xml:space="preserve">0.5</w:t>
            </w:r>
          </w:p>
        </w:tc>
        <w:tc>
          <w:tcPr/>
          <w:p>
            <w:pPr>
              <w:pStyle w:val="Compact"/>
              <w:jc w:val="left"/>
            </w:pPr>
            <w:r>
              <w:t xml:space="preserve">2026-10-08</w:t>
            </w:r>
          </w:p>
        </w:tc>
        <w:tc>
          <w:tcPr/>
          <w:p>
            <w:pPr>
              <w:pStyle w:val="Compact"/>
              <w:jc w:val="left"/>
            </w:pPr>
            <w:r>
              <w:t xml:space="preserve">White band text; summary lines under bands.</w:t>
            </w:r>
          </w:p>
        </w:tc>
        <w:tc>
          <w:tcPr/>
          <w:p>
            <w:pPr>
              <w:pStyle w:val="Compact"/>
              <w:jc w:val="left"/>
            </w:pPr>
            <w:r>
              <w:t xml:space="preserve">0 (vs v0.4)</w:t>
            </w:r>
          </w:p>
        </w:tc>
      </w:tr>
      <w:tr>
        <w:tc>
          <w:tcPr/>
          <w:p>
            <w:pPr>
              <w:pStyle w:val="Compact"/>
              <w:jc w:val="left"/>
            </w:pPr>
            <w:r>
              <w:t xml:space="preserve">0.6</w:t>
            </w:r>
          </w:p>
        </w:tc>
        <w:tc>
          <w:tcPr/>
          <w:p>
            <w:pPr>
              <w:pStyle w:val="Compact"/>
              <w:jc w:val="left"/>
            </w:pPr>
            <w:r>
              <w:t xml:space="preserve">2026-10-08</w:t>
            </w:r>
          </w:p>
        </w:tc>
        <w:tc>
          <w:tcPr/>
          <w:p>
            <w:pPr>
              <w:pStyle w:val="Compact"/>
              <w:jc w:val="left"/>
            </w:pPr>
            <w:r>
              <w:t xml:space="preserve">MTInputs sheet per scenario; carbon price from MTInputs.</w:t>
            </w:r>
          </w:p>
        </w:tc>
        <w:tc>
          <w:tcPr/>
          <w:p>
            <w:pPr>
              <w:pStyle w:val="Compact"/>
              <w:jc w:val="left"/>
            </w:pPr>
            <w:r>
              <w:t xml:space="preserve">0 (vs v0.5)</w:t>
            </w:r>
          </w:p>
        </w:tc>
      </w:tr>
      <w:tr>
        <w:tc>
          <w:tcPr/>
          <w:p>
            <w:pPr>
              <w:pStyle w:val="Compact"/>
              <w:jc w:val="left"/>
            </w:pPr>
            <w:r>
              <w:t xml:space="preserve">0.7</w:t>
            </w:r>
          </w:p>
        </w:tc>
        <w:tc>
          <w:tcPr/>
          <w:p>
            <w:pPr>
              <w:pStyle w:val="Compact"/>
              <w:jc w:val="left"/>
            </w:pPr>
            <w:r>
              <w:t xml:space="preserve">2026-10-08</w:t>
            </w:r>
          </w:p>
        </w:tc>
        <w:tc>
          <w:tcPr/>
          <w:p>
            <w:pPr>
              <w:pStyle w:val="Compact"/>
              <w:jc w:val="left"/>
            </w:pPr>
            <w:r>
              <w:t xml:space="preserve">Legacy CPAT section layout (1 Policies, 3 Power, 5-8 sectors, 11 Results; subsector &gt; variable &gt; fuel); policy wedges: new carbon tax with MTInputs coverage, new excise (fuel price reform), total new policy; feebate shadow price (not yet used).</w:t>
            </w:r>
          </w:p>
        </w:tc>
        <w:tc>
          <w:tcPr/>
          <w:p>
            <w:pPr>
              <w:pStyle w:val="Compact"/>
              <w:jc w:val="left"/>
            </w:pPr>
            <w:r>
              <w:t xml:space="preserve">0 (common codes vs v0.6)</w:t>
            </w:r>
          </w:p>
        </w:tc>
      </w:tr>
      <w:tr>
        <w:tc>
          <w:tcPr/>
          <w:p>
            <w:pPr>
              <w:pStyle w:val="Compact"/>
              <w:jc w:val="left"/>
            </w:pPr>
            <w:r>
              <w:t xml:space="preserve">0.8</w:t>
            </w:r>
          </w:p>
        </w:tc>
        <w:tc>
          <w:tcPr/>
          <w:p>
            <w:pPr>
              <w:pStyle w:val="Compact"/>
              <w:jc w:val="left"/>
            </w:pPr>
            <w:r>
              <w:t xml:space="preserve">2026-10-08</w:t>
            </w:r>
          </w:p>
        </w:tc>
        <w:tc>
          <w:tcPr/>
          <w:p>
            <w:pPr>
              <w:pStyle w:val="Compact"/>
              <w:jc w:val="left"/>
            </w:pPr>
            <w:r>
              <w:t xml:space="preserve">Shadow price on the efficiency margin of fuel use; shadow prices by sector and share impacting efficiency in section 1; all policy paths continue linearly; biomass carbon-tax coverage TRUE.</w:t>
            </w:r>
          </w:p>
        </w:tc>
        <w:tc>
          <w:tcPr/>
          <w:p>
            <w:pPr>
              <w:pStyle w:val="Compact"/>
              <w:jc w:val="left"/>
            </w:pPr>
            <w:r>
              <w:t xml:space="preserve">0 (common codes vs v0.7, no feebate)</w:t>
            </w:r>
          </w:p>
        </w:tc>
      </w:tr>
      <w:tr>
        <w:tc>
          <w:tcPr/>
          <w:p>
            <w:pPr>
              <w:pStyle w:val="Compact"/>
              <w:jc w:val="left"/>
            </w:pPr>
            <w:r>
              <w:t xml:space="preserve">0.9</w:t>
            </w:r>
          </w:p>
        </w:tc>
        <w:tc>
          <w:tcPr/>
          <w:p>
            <w:pPr>
              <w:pStyle w:val="Compact"/>
              <w:jc w:val="left"/>
            </w:pPr>
            <w:r>
              <w:t xml:space="preserve">2026-10-08</w:t>
            </w:r>
          </w:p>
        </w:tc>
        <w:tc>
          <w:tcPr/>
          <w:p>
            <w:pPr>
              <w:pStyle w:val="Compact"/>
              <w:jc w:val="left"/>
            </w:pPr>
            <w:r>
              <w:t xml:space="preserve">Domestic price projection (legacy method) in section 2: international prices by source, supply cost, excise and other taxes with pass-through, retail price before new policies; real USD of ResultsYear (CPI and deflator indices); historical prices 2022-2024 from data; per subsector atp = rpb + nce x (1 + VAT).</w:t>
            </w:r>
          </w:p>
        </w:tc>
        <w:tc>
          <w:tcPr/>
          <w:p>
            <w:pPr>
              <w:pStyle w:val="Compact"/>
              <w:jc w:val="left"/>
            </w:pPr>
            <w:r>
              <w:t xml:space="preserve">intended change: all prices and fuel use (see check report)</w:t>
            </w:r>
          </w:p>
        </w:tc>
      </w:tr>
      <w:tr>
        <w:tc>
          <w:tcPr/>
          <w:p>
            <w:pPr>
              <w:pStyle w:val="Compact"/>
              <w:jc w:val="left"/>
            </w:pPr>
            <w:r>
              <w:t xml:space="preserve">0.10</w:t>
            </w:r>
          </w:p>
        </w:tc>
        <w:tc>
          <w:tcPr/>
          <w:p>
            <w:pPr>
              <w:pStyle w:val="Compact"/>
              <w:jc w:val="left"/>
            </w:pPr>
            <w:r>
              <w:t xml:space="preserve">2026-10-08</w:t>
            </w:r>
          </w:p>
        </w:tc>
        <w:tc>
          <w:tcPr/>
          <w:p>
            <w:pPr>
              <w:pStyle w:val="Compact"/>
              <w:jc w:val="left"/>
            </w:pPr>
            <w:r>
              <w:t xml:space="preserve">Other oil products treated like the other oil products (pass-through and margin from data); VAT-rate assumption where data blank (VAT_WEO for residential and oil products); changed data marked bright yellow.</w:t>
            </w:r>
          </w:p>
        </w:tc>
        <w:tc>
          <w:tcPr/>
          <w:p>
            <w:pPr>
              <w:pStyle w:val="Compact"/>
              <w:jc w:val="left"/>
            </w:pPr>
            <w:r>
              <w:t xml:space="preserve">intended change: prices with VAT, other oil products, fuel use</w:t>
            </w:r>
          </w:p>
        </w:tc>
      </w:tr>
      <w:tr>
        <w:tc>
          <w:tcPr/>
          <w:p>
            <w:pPr>
              <w:pStyle w:val="Compact"/>
              <w:jc w:val="left"/>
            </w:pPr>
            <w:r>
              <w:t xml:space="preserve">0.11</w:t>
            </w:r>
          </w:p>
        </w:tc>
        <w:tc>
          <w:tcPr/>
          <w:p>
            <w:pPr>
              <w:pStyle w:val="Compact"/>
              <w:jc w:val="left"/>
            </w:pPr>
            <w:r>
              <w:t xml:space="preserve">2026-10-09</w:t>
            </w:r>
          </w:p>
        </w:tc>
        <w:tc>
          <w:tcPr/>
          <w:p>
            <w:pPr>
              <w:pStyle w:val="Compact"/>
              <w:jc w:val="left"/>
            </w:pPr>
            <w:r>
              <w:t xml:space="preserve">Horizon 2040; food &amp; forestry with services elasticities; new ETS (price = carbon price inputs, replaces the carbon tax where it covers); sectoral shadow prices (feebates + regulations placeholder); section 2: VAT payment, existing taxes and subsidies, subsidy per price unit; LAMBDA in the right column of every calculated row; separate history / projection column blocks; LegacyDiff sheet; 12. Revenues prepared.</w:t>
            </w:r>
          </w:p>
        </w:tc>
        <w:tc>
          <w:tcPr/>
          <w:p>
            <w:pPr>
              <w:pStyle w:val="Compact"/>
              <w:jc w:val="left"/>
            </w:pPr>
            <w:r>
              <w:t xml:space="preserve">0 to 2035 on unaffected codes (see check report); foo and horizon changes intended</w:t>
            </w:r>
          </w:p>
        </w:tc>
      </w:tr>
      <w:tr>
        <w:tc>
          <w:tcPr/>
          <w:p>
            <w:pPr>
              <w:pStyle w:val="Compact"/>
              <w:jc w:val="left"/>
            </w:pPr>
            <w:r>
              <w:t xml:space="preserve">0.12</w:t>
            </w:r>
          </w:p>
        </w:tc>
        <w:tc>
          <w:tcPr/>
          <w:p>
            <w:pPr>
              <w:pStyle w:val="Compact"/>
              <w:jc w:val="left"/>
            </w:pPr>
            <w:r>
              <w:t xml:space="preserve">2026-10-09</w:t>
            </w:r>
          </w:p>
        </w:tc>
        <w:tc>
          <w:tcPr/>
          <w:p>
            <w:pPr>
              <w:pStyle w:val="Compact"/>
              <w:jc w:val="left"/>
            </w:pPr>
            <w:r>
              <w:t xml:space="preserve">Revenues: existing tax revenue, existing subsidy cost and new-policy revenue as separate calculations per subsector and fuel; section 12 totals by sector, net existing, total and change vs scenario 1.</w:t>
            </w:r>
          </w:p>
        </w:tc>
        <w:tc>
          <w:tcPr/>
          <w:p>
            <w:pPr>
              <w:pStyle w:val="Compact"/>
              <w:jc w:val="left"/>
            </w:pPr>
            <w:r>
              <w:t xml:space="preserve">0 on all v0.11 codes</w:t>
            </w:r>
          </w:p>
        </w:tc>
      </w:tr>
      <w:tr>
        <w:tc>
          <w:tcPr/>
          <w:p>
            <w:pPr>
              <w:pStyle w:val="Compact"/>
              <w:jc w:val="left"/>
            </w:pPr>
            <w:r>
              <w:t xml:space="preserve">0.13</w:t>
            </w:r>
          </w:p>
        </w:tc>
        <w:tc>
          <w:tcPr/>
          <w:p>
            <w:pPr>
              <w:pStyle w:val="Compact"/>
              <w:jc w:val="left"/>
            </w:pPr>
            <w:r>
              <w:t xml:space="preserve">2026-10-09</w:t>
            </w:r>
          </w:p>
        </w:tc>
        <w:tc>
          <w:tcPr/>
          <w:p>
            <w:pPr>
              <w:pStyle w:val="Compact"/>
              <w:jc w:val="left"/>
            </w:pPr>
            <w:r>
              <w:t xml:space="preserve">CO2 emissions from fuel combustion per subsector and fuel (fuel use x EF); section 13 totals by sector and fuel, change vs scenario 1.</w:t>
            </w:r>
          </w:p>
        </w:tc>
        <w:tc>
          <w:tcPr/>
          <w:p>
            <w:pPr>
              <w:pStyle w:val="Compact"/>
              <w:jc w:val="left"/>
            </w:pPr>
            <w:r>
              <w:t xml:space="preserve">0 on all v0.12 codes</w:t>
            </w:r>
          </w:p>
        </w:tc>
      </w:tr>
      <w:tr>
        <w:tc>
          <w:tcPr/>
          <w:p>
            <w:pPr>
              <w:pStyle w:val="Compact"/>
              <w:jc w:val="left"/>
            </w:pPr>
            <w:r>
              <w:t xml:space="preserve">0.14</w:t>
            </w:r>
          </w:p>
        </w:tc>
        <w:tc>
          <w:tcPr/>
          <w:p>
            <w:pPr>
              <w:pStyle w:val="Compact"/>
              <w:jc w:val="left"/>
            </w:pPr>
            <w:r>
              <w:t xml:space="preserve">2026-10-09</w:t>
            </w:r>
          </w:p>
        </w:tc>
        <w:tc>
          <w:tcPr/>
          <w:p>
            <w:pPr>
              <w:pStyle w:val="Compact"/>
              <w:jc w:val="left"/>
            </w:pPr>
            <w:r>
              <w:t xml:space="preserve">Corrected Egypt price block (user); changed cells bright yellow in Prices_dom; VAT assumption only where the data cell is blank.</w:t>
            </w:r>
          </w:p>
        </w:tc>
        <w:tc>
          <w:tcPr/>
          <w:p>
            <w:pPr>
              <w:pStyle w:val="Compact"/>
              <w:jc w:val="left"/>
            </w:pPr>
            <w:r>
              <w:t xml:space="preserve">intended: prices, taxes, subsidies, fuel use, revenue, CO2 (see check report)</w:t>
            </w:r>
          </w:p>
        </w:tc>
      </w:tr>
      <w:tr>
        <w:tc>
          <w:tcPr/>
          <w:p>
            <w:pPr>
              <w:pStyle w:val="Compact"/>
              <w:jc w:val="left"/>
            </w:pPr>
            <w:r>
              <w:t xml:space="preserve">0.15</w:t>
            </w:r>
          </w:p>
        </w:tc>
        <w:tc>
          <w:tcPr/>
          <w:p>
            <w:pPr>
              <w:pStyle w:val="Compact"/>
              <w:jc w:val="left"/>
            </w:pPr>
            <w:r>
              <w:t xml:space="preserve">2026-10-09</w:t>
            </w:r>
          </w:p>
        </w:tc>
        <w:tc>
          <w:tcPr/>
          <w:p>
            <w:pPr>
              <w:pStyle w:val="Compact"/>
              <w:jc w:val="left"/>
            </w:pPr>
            <w:r>
              <w:t xml:space="preserve">Layout: columns B:C and I:K grouped (D:G nested), row group buttons below, opens rolled up; Mitigation first tab at 75% zoom.</w:t>
            </w:r>
          </w:p>
        </w:tc>
        <w:tc>
          <w:tcPr/>
          <w:p>
            <w:pPr>
              <w:pStyle w:val="Compact"/>
              <w:jc w:val="left"/>
            </w:pPr>
            <w:r>
              <w:t xml:space="preserve">0 (all codes vs v0.14)</w:t>
            </w:r>
          </w:p>
        </w:tc>
      </w:tr>
      <w:tr>
        <w:tc>
          <w:tcPr/>
          <w:p>
            <w:pPr>
              <w:pStyle w:val="Compact"/>
              <w:jc w:val="left"/>
            </w:pPr>
            <w:r>
              <w:t xml:space="preserve">0.16</w:t>
            </w:r>
          </w:p>
        </w:tc>
        <w:tc>
          <w:tcPr/>
          <w:p>
            <w:pPr>
              <w:pStyle w:val="Compact"/>
              <w:jc w:val="left"/>
            </w:pPr>
            <w:r>
              <w:t xml:space="preserve">2026-10-09</w:t>
            </w:r>
          </w:p>
        </w:tc>
        <w:tc>
          <w:tcPr/>
          <w:p>
            <w:pPr>
              <w:pStyle w:val="Compact"/>
              <w:jc w:val="left"/>
            </w:pPr>
            <w:r>
              <w:t xml:space="preserve">Layout: one level of column groups (B:G, I:K, 2030-2039 per scenario); light beige for the LAMBDA column and the 2023-2024 price history block; blank column between scenario groups.</w:t>
            </w:r>
          </w:p>
        </w:tc>
        <w:tc>
          <w:tcPr/>
          <w:p>
            <w:pPr>
              <w:pStyle w:val="Compact"/>
              <w:jc w:val="left"/>
            </w:pPr>
            <w:r>
              <w:t xml:space="preserve">0 (all codes vs v0.15)</w:t>
            </w:r>
          </w:p>
        </w:tc>
      </w:tr>
      <w:tr>
        <w:tc>
          <w:tcPr/>
          <w:p>
            <w:pPr>
              <w:pStyle w:val="Compact"/>
              <w:jc w:val="left"/>
            </w:pPr>
            <w:r>
              <w:t xml:space="preserve">1.00</w:t>
            </w:r>
          </w:p>
        </w:tc>
        <w:tc>
          <w:tcPr/>
          <w:p>
            <w:pPr>
              <w:pStyle w:val="Compact"/>
              <w:jc w:val="left"/>
            </w:pPr>
            <w:r>
              <w:t xml:space="preserve">2026-10-09</w:t>
            </w:r>
          </w:p>
        </w:tc>
        <w:tc>
          <w:tcPr/>
          <w:p>
            <w:pPr>
              <w:pStyle w:val="Compact"/>
              <w:jc w:val="left"/>
            </w:pPr>
            <w:r>
              <w:t xml:space="preserve">Renamed CPAT-AI-Mitigation-MVP and upgraded to v1.00 (content as v0.16).</w:t>
            </w:r>
          </w:p>
        </w:tc>
        <w:tc>
          <w:tcPr/>
          <w:p>
            <w:pPr>
              <w:pStyle w:val="Compact"/>
              <w:jc w:val="left"/>
            </w:pPr>
            <w:r>
              <w:t xml:space="preserve">0 (all codes vs v0.16)</w:t>
            </w:r>
          </w:p>
        </w:tc>
      </w:tr>
      <w:tr>
        <w:tc>
          <w:tcPr/>
          <w:p>
            <w:pPr>
              <w:pStyle w:val="Compact"/>
              <w:jc w:val="left"/>
            </w:pPr>
            <w:r>
              <w:t xml:space="preserve">1.01</w:t>
            </w:r>
          </w:p>
        </w:tc>
        <w:tc>
          <w:tcPr/>
          <w:p>
            <w:pPr>
              <w:pStyle w:val="Compact"/>
              <w:jc w:val="left"/>
            </w:pPr>
            <w:r>
              <w:t xml:space="preserve">2026-10-09</w:t>
            </w:r>
          </w:p>
        </w:tc>
        <w:tc>
          <w:tcPr/>
          <w:p>
            <w:pPr>
              <w:pStyle w:val="Compact"/>
              <w:jc w:val="left"/>
            </w:pPr>
            <w:r>
              <w:t xml:space="preserve">MTOutputs sheet: key results per scenario by output code (copy-pasteable row blocks); Charts sheet.</w:t>
            </w:r>
          </w:p>
        </w:tc>
        <w:tc>
          <w:tcPr/>
          <w:p>
            <w:pPr>
              <w:pStyle w:val="Compact"/>
              <w:jc w:val="left"/>
            </w:pPr>
            <w:r>
              <w:t xml:space="preserve">0 (all Mitigation codes vs v1.00)</w:t>
            </w:r>
          </w:p>
        </w:tc>
      </w:tr>
      <w:tr>
        <w:tc>
          <w:tcPr/>
          <w:p>
            <w:pPr>
              <w:pStyle w:val="Compact"/>
              <w:jc w:val="left"/>
            </w:pPr>
            <w:r>
              <w:t xml:space="preserve">1.02</w:t>
            </w:r>
          </w:p>
        </w:tc>
        <w:tc>
          <w:tcPr/>
          <w:p>
            <w:pPr>
              <w:pStyle w:val="Compact"/>
              <w:jc w:val="left"/>
            </w:pPr>
            <w:r>
              <w:t xml:space="preserve">2026-10-09</w:t>
            </w:r>
          </w:p>
        </w:tc>
        <w:tc>
          <w:tcPr/>
          <w:p>
            <w:pPr>
              <w:pStyle w:val="Compact"/>
              <w:jc w:val="left"/>
            </w:pPr>
            <w:r>
              <w:t xml:space="preserve">New ETS with a cap: baseline covered emissions (data from scenario 1), fast price estimate, override row and goal-seek script; benchmarks replace the auction share (OBR part as a shadow price on the efficiency margin); volatility adjustment; cap check in section 13.</w:t>
            </w:r>
          </w:p>
        </w:tc>
        <w:tc>
          <w:tcPr/>
          <w:p>
            <w:pPr>
              <w:pStyle w:val="Compact"/>
              <w:jc w:val="left"/>
            </w:pPr>
            <w:r>
              <w:t xml:space="preserve">0 (all codes shared with v1.01; ETS scenarios change)</w:t>
            </w:r>
          </w:p>
        </w:tc>
      </w:tr>
      <w:tr>
        <w:tc>
          <w:tcPr/>
          <w:p>
            <w:pPr>
              <w:pStyle w:val="Compact"/>
              <w:jc w:val="left"/>
            </w:pPr>
            <w:r>
              <w:t xml:space="preserve">1.03</w:t>
            </w:r>
          </w:p>
        </w:tc>
        <w:tc>
          <w:tcPr/>
          <w:p>
            <w:pPr>
              <w:pStyle w:val="Compact"/>
              <w:jc w:val="left"/>
            </w:pPr>
            <w:r>
              <w:t xml:space="preserve">2026-10-09</w:t>
            </w:r>
          </w:p>
        </w:tc>
        <w:tc>
          <w:tcPr/>
          <w:p>
            <w:pPr>
              <w:pStyle w:val="Compact"/>
              <w:jc w:val="left"/>
            </w:pPr>
            <w:r>
              <w:t xml:space="preserve">Multiple scenarios: scenario definitions on MTInputs (combined packages), VBA module CPATScenarios (batch run with ETS goal seek, results stored as values), sheets StoredResults and ScenarioCompare; workbook is .xlsm.</w:t>
            </w:r>
          </w:p>
        </w:tc>
        <w:tc>
          <w:tcPr/>
          <w:p>
            <w:pPr>
              <w:pStyle w:val="Compact"/>
              <w:jc w:val="left"/>
            </w:pPr>
            <w:r>
              <w:t xml:space="preserve">0 (all codes vs v1.02)</w:t>
            </w:r>
          </w:p>
        </w:tc>
      </w:tr>
      <w:tr>
        <w:tc>
          <w:tcPr/>
          <w:p>
            <w:pPr>
              <w:pStyle w:val="Compact"/>
              <w:jc w:val="left"/>
            </w:pPr>
            <w:r>
              <w:t xml:space="preserve">1.04</w:t>
            </w:r>
          </w:p>
        </w:tc>
        <w:tc>
          <w:tcPr/>
          <w:p>
            <w:pPr>
              <w:pStyle w:val="Compact"/>
              <w:jc w:val="left"/>
            </w:pPr>
            <w:r>
              <w:t xml:space="preserve">2026-10-10</w:t>
            </w:r>
          </w:p>
        </w:tc>
        <w:tc>
          <w:tcPr/>
          <w:p>
            <w:pPr>
              <w:pStyle w:val="Compact"/>
              <w:jc w:val="left"/>
            </w:pPr>
            <w:r>
              <w:t xml:space="preserve">First-run test for Excel: macro CheckBatchRun (lookups, baseline recalculated by the host vs stored, batch rerun vs stored values) with its report on the new sheet MacroCheck.</w:t>
            </w:r>
          </w:p>
        </w:tc>
        <w:tc>
          <w:tcPr/>
          <w:p>
            <w:pPr>
              <w:pStyle w:val="Compact"/>
              <w:jc w:val="left"/>
            </w:pPr>
            <w:r>
              <w:t xml:space="preserve">0 (all codes vs v1.03)</w:t>
            </w:r>
          </w:p>
        </w:tc>
      </w:tr>
      <w:tr>
        <w:tc>
          <w:tcPr/>
          <w:p>
            <w:pPr>
              <w:pStyle w:val="Compact"/>
              <w:jc w:val="left"/>
            </w:pPr>
            <w:r>
              <w:t xml:space="preserve">1.05</w:t>
            </w:r>
          </w:p>
        </w:tc>
        <w:tc>
          <w:tcPr/>
          <w:p>
            <w:pPr>
              <w:pStyle w:val="Compact"/>
              <w:jc w:val="left"/>
            </w:pPr>
            <w:r>
              <w:t xml:space="preserve">2026-10-10</w:t>
            </w:r>
          </w:p>
        </w:tc>
        <w:tc>
          <w:tcPr/>
          <w:p>
            <w:pPr>
              <w:pStyle w:val="Compact"/>
              <w:jc w:val="left"/>
            </w:pPr>
            <w:r>
              <w:t xml:space="preserve">Power sector, price side: section 3 with legacy sub-tables A, B, C, D, E, G, J (generation costs by type, average generation cost, storage cost of variable renewables, residential and industrial electricity prices, power revenues); sheets Inputs_power, PowerTech, PowerPaths, PowerParams; generation and investment shares and consumption interim data; 3 MTOutputs indicators added.</w:t>
            </w:r>
          </w:p>
        </w:tc>
        <w:tc>
          <w:tcPr/>
          <w:p>
            <w:pPr>
              <w:pStyle w:val="Compact"/>
              <w:jc w:val="left"/>
            </w:pPr>
            <w:r>
              <w:t xml:space="preserve">0 (all codes vs v1.04)</w:t>
            </w:r>
          </w:p>
        </w:tc>
      </w:tr>
      <w:tr>
        <w:tc>
          <w:tcPr/>
          <w:p>
            <w:pPr>
              <w:pStyle w:val="Compact"/>
              <w:jc w:val="left"/>
            </w:pPr>
            <w:r>
              <w:t xml:space="preserve">1.06</w:t>
            </w:r>
          </w:p>
        </w:tc>
        <w:tc>
          <w:tcPr/>
          <w:p>
            <w:pPr>
              <w:pStyle w:val="Compact"/>
              <w:jc w:val="left"/>
            </w:pPr>
            <w:r>
              <w:t xml:space="preserve">2026-10-10</w:t>
            </w:r>
          </w:p>
        </w:tc>
        <w:tc>
          <w:tcPr/>
          <w:p>
            <w:pPr>
              <w:pStyle w:val="Compact"/>
              <w:jc w:val="left"/>
            </w:pPr>
            <w:r>
              <w:t xml:space="preserve">Power engineer model: demand, dispatch, retirement and capacity, investment (legacy H, I, K, L) with D6, D9, E1; generation and investment shares and consumption modelled; power CO2 in section 13; ten legacy bugs fixed (separate Word report); demand-shock switch (Settings C19); 5 MTOutputs indicators added.</w:t>
            </w:r>
          </w:p>
        </w:tc>
        <w:tc>
          <w:tcPr/>
          <w:p>
            <w:pPr>
              <w:pStyle w:val="Compact"/>
              <w:jc w:val="left"/>
            </w:pPr>
            <w:r>
              <w:t xml:space="preserve">intended: power block, CO2 totals, ETS with power (see check report)</w:t>
            </w:r>
          </w:p>
        </w:tc>
      </w:tr>
      <w:tr>
        <w:tc>
          <w:tcPr/>
          <w:p>
            <w:pPr>
              <w:pStyle w:val="Compact"/>
              <w:jc w:val="left"/>
            </w:pPr>
            <w:r>
              <w:t xml:space="preserve">1.07</w:t>
            </w:r>
          </w:p>
        </w:tc>
        <w:tc>
          <w:tcPr/>
          <w:p>
            <w:pPr>
              <w:pStyle w:val="Compact"/>
              <w:jc w:val="left"/>
            </w:pPr>
            <w:r>
              <w:t xml:space="preserve">2026-10-11</w:t>
            </w:r>
          </w:p>
        </w:tc>
        <w:tc>
          <w:tcPr/>
          <w:p>
            <w:pPr>
              <w:pStyle w:val="Compact"/>
              <w:jc w:val="left"/>
            </w:pPr>
            <w:r>
              <w:t xml:space="preserve">Short formulas: every cell formula has at most 100 characters (defined names for the data tables, helper rows and columns, policy rates by sector in section 1, LAMBDA ROWLABEL for descriptions); planned retirement by generation type (data rows, switch per type, off for Egypt); memo lines of electricity demand by subsector and sector; 18 power indicators on MTOutputs, 6 power charts. Decisions: 2023 demand jump accepted; sector policies kept separate from power demand.</w:t>
            </w:r>
          </w:p>
        </w:tc>
        <w:tc>
          <w:tcPr/>
          <w:p>
            <w:pPr>
              <w:pStyle w:val="Compact"/>
              <w:jc w:val="left"/>
            </w:pPr>
            <w:r>
              <w:t xml:space="preserve">0 on all v1.06 codes (see check report)</w:t>
            </w:r>
          </w:p>
        </w:tc>
      </w:tr>
      <w:tr>
        <w:tc>
          <w:tcPr/>
          <w:p>
            <w:pPr>
              <w:pStyle w:val="Compact"/>
              <w:jc w:val="left"/>
            </w:pPr>
            <w:r>
              <w:t xml:space="preserve">1.08</w:t>
            </w:r>
          </w:p>
        </w:tc>
        <w:tc>
          <w:tcPr/>
          <w:p>
            <w:pPr>
              <w:pStyle w:val="Compact"/>
              <w:jc w:val="left"/>
            </w:pPr>
            <w:r>
              <w:t xml:space="preserve">2026-10-11</w:t>
            </w:r>
          </w:p>
        </w:tc>
        <w:tc>
          <w:tcPr/>
          <w:p>
            <w:pPr>
              <w:pStyle w:val="Compact"/>
              <w:jc w:val="left"/>
            </w:pPr>
            <w:r>
              <w:t xml:space="preserve">Works without LAMBDA support: plain formulas (at most 100 characters) in every cell, the right column (2040) included; descriptions from a member-label table on Mapping; the named LAMBDAs kept as an optional library (sheet Lambdas: the LAMBDA formula of every calculated row).</w:t>
            </w:r>
          </w:p>
        </w:tc>
        <w:tc>
          <w:tcPr/>
          <w:p>
            <w:pPr>
              <w:pStyle w:val="Compact"/>
              <w:jc w:val="left"/>
            </w:pPr>
            <w:r>
              <w:t xml:space="preserve">0 on all v1.07 codes (see check report)</w:t>
            </w:r>
          </w:p>
        </w:tc>
      </w:tr>
      <w:tr>
        <w:tc>
          <w:tcPr/>
          <w:p>
            <w:pPr>
              <w:pStyle w:val="Compact"/>
              <w:jc w:val="left"/>
            </w:pPr>
            <w:r>
              <w:t xml:space="preserve">1.09</w:t>
            </w:r>
          </w:p>
        </w:tc>
        <w:tc>
          <w:tcPr/>
          <w:p>
            <w:pPr>
              <w:pStyle w:val="Compact"/>
              <w:jc w:val="left"/>
            </w:pPr>
            <w:r>
              <w:t xml:space="preserve">2026-10-11</w:t>
            </w:r>
          </w:p>
        </w:tc>
        <w:tc>
          <w:tcPr/>
          <w:p>
            <w:pPr>
              <w:pStyle w:val="Compact"/>
              <w:jc w:val="left"/>
            </w:pPr>
            <w:r>
              <w:t xml:space="preserve">Existing carbon pricing (sheet ECP: legacy data for 52 countries, none for Egypt; MTInputs 208-214; change against the price data in prices and revenue; complementary carbon tax); power in the main thread: generation fuel use in the fuel totals, power revenues (fuel taxes and subsidies, electricity VAT and subsidy gap, new policies with the ETS at the permit price) in the revenue totals; check rows rev.chk, co2.chk.</w:t>
            </w:r>
          </w:p>
        </w:tc>
        <w:tc>
          <w:tcPr/>
          <w:p>
            <w:pPr>
              <w:pStyle w:val="Compact"/>
              <w:jc w:val="left"/>
            </w:pPr>
            <w:r>
              <w:t xml:space="preserve">Fuel and revenue totals now include power (intended); all other v1.08 codes 0 (see check report)</w:t>
            </w:r>
          </w:p>
        </w:tc>
      </w:tr>
      <w:tr>
        <w:tc>
          <w:tcPr/>
          <w:p>
            <w:pPr>
              <w:pStyle w:val="Compact"/>
              <w:jc w:val="left"/>
            </w:pPr>
            <w:r>
              <w:t xml:space="preserve">2.2</w:t>
            </w:r>
          </w:p>
        </w:tc>
        <w:tc>
          <w:tcPr/>
          <w:p>
            <w:pPr>
              <w:pStyle w:val="Compact"/>
              <w:jc w:val="left"/>
            </w:pPr>
            <w:r>
              <w:t xml:space="preserve">2026-10-11</w:t>
            </w:r>
          </w:p>
        </w:tc>
        <w:tc>
          <w:tcPr/>
          <w:p>
            <w:pPr>
              <w:pStyle w:val="Compact"/>
              <w:jc w:val="left"/>
            </w:pPr>
            <w:r>
              <w:t xml:space="preserve">One version number (2.2) for the workbook, scripts, method notes, VBA module, documents and deck; LegacyDiff updated; bugs, issues and upgrades in one Word register; Word documentation opens with a quick start and a guide to the repository.</w:t>
            </w:r>
          </w:p>
        </w:tc>
        <w:tc>
          <w:tcPr/>
          <w:p>
            <w:pPr>
              <w:pStyle w:val="Compact"/>
              <w:jc w:val="left"/>
            </w:pPr>
            <w:r>
              <w:t xml:space="preserve">0 on all v1.09 codes (see check report)</w:t>
            </w:r>
          </w:p>
        </w:tc>
      </w:tr>
      <w:tr>
        <w:tc>
          <w:tcPr/>
          <w:p>
            <w:pPr>
              <w:pStyle w:val="Compact"/>
              <w:jc w:val="left"/>
            </w:pPr>
            <w:r>
              <w:t xml:space="preserve">2.3</w:t>
            </w:r>
          </w:p>
        </w:tc>
        <w:tc>
          <w:tcPr/>
          <w:p>
            <w:pPr>
              <w:pStyle w:val="Compact"/>
              <w:jc w:val="left"/>
            </w:pPr>
            <w:r>
              <w:t xml:space="preserve">2026-10-12</w:t>
            </w:r>
          </w:p>
        </w:tc>
        <w:tc>
          <w:tcPr/>
          <w:p>
            <w:pPr>
              <w:pStyle w:val="Compact"/>
              <w:jc w:val="left"/>
            </w:pPr>
            <w:r>
              <w:t xml:space="preserve">Last year 2041 (legacy horizon) as the LAMBDA year: every calculated cell of 2041 calls its named LAMBDA; fuel prices for power as legacy (centred 5-year moving average, SpotPow switch); levelised variable cost window to 2041 as legacy.</w:t>
            </w:r>
          </w:p>
        </w:tc>
        <w:tc>
          <w:tcPr/>
          <w:p>
            <w:pPr>
              <w:pStyle w:val="Compact"/>
              <w:jc w:val="left"/>
            </w:pPr>
            <w:r>
              <w:t xml:space="preserve">Price and subsector rows 0; power and the totals that include it change (intended; see check report)</w:t>
            </w:r>
          </w:p>
        </w:tc>
      </w:tr>
      <w:tr>
        <w:tc>
          <w:tcPr/>
          <w:p>
            <w:pPr>
              <w:pStyle w:val="Compact"/>
              <w:jc w:val="left"/>
            </w:pPr>
            <w:r>
              <w:t xml:space="preserve">2.4</w:t>
            </w:r>
          </w:p>
        </w:tc>
        <w:tc>
          <w:tcPr/>
          <w:p>
            <w:pPr>
              <w:pStyle w:val="Compact"/>
              <w:jc w:val="left"/>
            </w:pPr>
            <w:r>
              <w:t xml:space="preserve">2026-10-13</w:t>
            </w:r>
          </w:p>
        </w:tc>
        <w:tc>
          <w:tcPr/>
          <w:p>
            <w:pPr>
              <w:pStyle w:val="Compact"/>
              <w:jc w:val="left"/>
            </w:pPr>
            <w:r>
              <w:t xml:space="preserve">Mitigation: years in row 1; a label row above every block names the parameters in D:G; one level of row groups; nothing typed (MTInputs rows looked up on Mapping, constants and assumptions on the new sheet Constants, baseline CO2 on the new sheet BaselineCO2); subsidies negative (esub, esubpu, rsub, prsub, sgap, rgap; rnet = rtx + rsub).</w:t>
            </w:r>
          </w:p>
        </w:tc>
        <w:tc>
          <w:tcPr/>
          <w:p>
            <w:pPr>
              <w:pStyle w:val="Compact"/>
              <w:jc w:val="left"/>
            </w:pPr>
            <w:r>
              <w:t xml:space="preserve">Subsidy rows change sign (intended); all other codes 0 (see check report)</w:t>
            </w:r>
          </w:p>
        </w:tc>
      </w:tr>
      <w:tr>
        <w:tc>
          <w:tcPr/>
          <w:p>
            <w:pPr>
              <w:pStyle w:val="Compact"/>
              <w:jc w:val="left"/>
            </w:pPr>
            <w:r>
              <w:t xml:space="preserve">2.5</w:t>
            </w:r>
          </w:p>
        </w:tc>
        <w:tc>
          <w:tcPr/>
          <w:p>
            <w:pPr>
              <w:pStyle w:val="Compact"/>
              <w:jc w:val="left"/>
            </w:pPr>
            <w:r>
              <w:t xml:space="preserve">2026-10-13</w:t>
            </w:r>
          </w:p>
        </w:tc>
        <w:tc>
          <w:tcPr/>
          <w:p>
            <w:pPr>
              <w:pStyle w:val="Compact"/>
              <w:jc w:val="left"/>
            </w:pPr>
            <w:r>
              <w:t xml:space="preserve">Section 2 as a price build-up by fuel (heading row) and sector (block): fixed part of the supply cost (new row spf), supply cost, excise and other taxes before the floor (txf), excise and other taxes, tax and subsidy parts, VAT, retail price before new policies, subsidy per unit; D:G one meaning in every block (pass-through, VAT rate, GJ per price unit, international price position); last historical values read from the row itself (row 4 helper); price rows found by block position.</w:t>
            </w:r>
          </w:p>
        </w:tc>
        <w:tc>
          <w:tcPr/>
          <w:p>
            <w:pPr>
              <w:pStyle w:val="Compact"/>
              <w:jc w:val="left"/>
            </w:pPr>
            <w:r>
              <w:t xml:space="preserve">All codes 0 except txf (redefined); new rows spf (see check report)</w:t>
            </w:r>
          </w:p>
        </w:tc>
      </w:tr>
      <w:tr>
        <w:tc>
          <w:tcPr/>
          <w:p>
            <w:pPr>
              <w:pStyle w:val="Compact"/>
              <w:jc w:val="left"/>
            </w:pPr>
            <w:r>
              <w:t xml:space="preserve">2.6</w:t>
            </w:r>
          </w:p>
        </w:tc>
        <w:tc>
          <w:tcPr/>
          <w:p>
            <w:pPr>
              <w:pStyle w:val="Compact"/>
              <w:jc w:val="left"/>
            </w:pPr>
            <w:r>
              <w:t xml:space="preserve">2026-10-13</w:t>
            </w:r>
          </w:p>
        </w:tc>
        <w:tc>
          <w:tcPr/>
          <w:p>
            <w:pPr>
              <w:pStyle w:val="Compact"/>
              <w:jc w:val="left"/>
            </w:pPr>
            <w:r>
              <w:t xml:space="preserve">Formatting: each price block opens with a parameter table (heading row, parameter row pset) and the international reference price (gpi) and fixed part rows, blank rows between blocks; one row group per section with its summary row last (the only row shown rolled up; power: new row pet); names in A:C never bold; no fill colour in D:G; tab groups MAIN, INPUTS, REF, DATA.</w:t>
            </w:r>
          </w:p>
        </w:tc>
        <w:tc>
          <w:tcPr/>
          <w:p>
            <w:pPr>
              <w:pStyle w:val="Compact"/>
              <w:jc w:val="left"/>
            </w:pPr>
            <w:r>
              <w:t xml:space="preserve">0 on all v2.5 codes (see check report)</w:t>
            </w:r>
          </w:p>
        </w:tc>
      </w:tr>
      <w:tr>
        <w:tc>
          <w:tcPr/>
          <w:p>
            <w:pPr>
              <w:pStyle w:val="Compact"/>
              <w:jc w:val="left"/>
            </w:pPr>
            <w:r>
              <w:t xml:space="preserve">2.7</w:t>
            </w:r>
          </w:p>
        </w:tc>
        <w:tc>
          <w:tcPr/>
          <w:p>
            <w:pPr>
              <w:pStyle w:val="Compact"/>
              <w:jc w:val="left"/>
            </w:pPr>
            <w:r>
              <w:t xml:space="preserve">2026-10-13</w:t>
            </w:r>
          </w:p>
        </w:tc>
        <w:tc>
          <w:tcPr/>
          <w:p>
            <w:pPr>
              <w:pStyle w:val="Compact"/>
              <w:jc w:val="left"/>
            </w:pPr>
            <w:r>
              <w:t xml:space="preserve">Excel repair error fixed: LAMBDA parameters y1, co2, c, tco2_kwh read as cell references, so Excel removed the 2041 cells calling them (2041 power fell to 0); renamed (defined names BCO2* also renamed BaseCO2*); macro buttons on ScenarioCompare; title Mitigation Module; short section headings; summary rows 0 dp and the only bold rows; column width 10.14; variable names in light green text; MTInputs and Settings in the INPUTS tab group.</w:t>
            </w:r>
          </w:p>
        </w:tc>
        <w:tc>
          <w:tcPr/>
          <w:p>
            <w:pPr>
              <w:pStyle w:val="Compact"/>
              <w:jc w:val="left"/>
            </w:pPr>
            <w:r>
              <w:t xml:space="preserve">0 on all v2.6 codes (see check report)</w:t>
            </w:r>
          </w:p>
        </w:tc>
      </w:tr>
      <w:tr>
        <w:tc>
          <w:tcPr/>
          <w:p>
            <w:pPr>
              <w:pStyle w:val="Compact"/>
              <w:jc w:val="left"/>
            </w:pPr>
            <w:r>
              <w:t xml:space="preserve">2.8</w:t>
            </w:r>
          </w:p>
        </w:tc>
        <w:tc>
          <w:tcPr/>
          <w:p>
            <w:pPr>
              <w:pStyle w:val="Compact"/>
              <w:jc w:val="left"/>
            </w:pPr>
            <w:r>
              <w:t xml:space="preserve">2026-10-14</w:t>
            </w:r>
          </w:p>
        </w:tc>
        <w:tc>
          <w:tcPr/>
          <w:p>
            <w:pPr>
              <w:pStyle w:val="Compact"/>
              <w:jc w:val="left"/>
            </w:pPr>
            <w:r>
              <w:t xml:space="preserve">Non-CO2 GHGs and methane: new section 14 (methane by source with the methane fee and its abatement curves, combustion CH4 by sector, GHG inventory categories projected, totals by gas and category; summary line total GHGs excluding LULUCF); methane fee inputs in section 1 (MTInputs 184-189) and its revenue in section 12; ch4 rows in every sector block; data sheets GHGs, CH4Inputs, EF_PM, UNPop, Balances; legacy bugs L18-L21 fixed.</w:t>
            </w:r>
          </w:p>
        </w:tc>
        <w:tc>
          <w:tcPr/>
          <w:p>
            <w:pPr>
              <w:pStyle w:val="Compact"/>
              <w:jc w:val="left"/>
            </w:pPr>
            <w:r>
              <w:t xml:space="preserve">0 on all v2.7 codes (see check report)</w:t>
            </w:r>
          </w:p>
        </w:tc>
      </w:tr>
      <w:tr>
        <w:tc>
          <w:tcPr/>
          <w:p>
            <w:pPr>
              <w:pStyle w:val="Compact"/>
              <w:jc w:val="left"/>
            </w:pPr>
            <w:r>
              <w:t xml:space="preserve">2.9</w:t>
            </w:r>
          </w:p>
        </w:tc>
        <w:tc>
          <w:tcPr/>
          <w:p>
            <w:pPr>
              <w:pStyle w:val="Compact"/>
              <w:jc w:val="left"/>
            </w:pPr>
            <w:r>
              <w:t xml:space="preserve">2026-10-14</w:t>
            </w:r>
          </w:p>
        </w:tc>
        <w:tc>
          <w:tcPr/>
          <w:p>
            <w:pPr>
              <w:pStyle w:val="Compact"/>
              <w:jc w:val="left"/>
            </w:pPr>
            <w:r>
              <w:t xml:space="preserve">Local air pollutants: new section 15 (PM2.5, NOx, SO2, VOC, black and organic carbon, CO by subsector and power; GAINS base and final factors in Inputs and Inputs_power, weighted on a linear path to EFEndYear; totals by pollutant; forcing memo with GWP100 of the GAINS region); data sheets EF_GHG (gwp100 rows) and Countries (column O); legacy bug L22 fixed.</w:t>
            </w:r>
          </w:p>
        </w:tc>
        <w:tc>
          <w:tcPr/>
          <w:p>
            <w:pPr>
              <w:pStyle w:val="Compact"/>
              <w:jc w:val="left"/>
            </w:pPr>
            <w:r>
              <w:t xml:space="preserve">0 on all v2.8 codes (see check report)</w:t>
            </w:r>
          </w:p>
        </w:tc>
      </w:tr>
      <w:tr>
        <w:tc>
          <w:tcPr/>
          <w:p>
            <w:pPr>
              <w:pStyle w:val="Compact"/>
              <w:jc w:val="left"/>
            </w:pPr>
            <w:r>
              <w:t xml:space="preserve">3.0</w:t>
            </w:r>
          </w:p>
        </w:tc>
        <w:tc>
          <w:tcPr/>
          <w:p>
            <w:pPr>
              <w:pStyle w:val="Compact"/>
              <w:jc w:val="left"/>
            </w:pPr>
            <w:r>
              <w:t xml:space="preserve">2026-10-14</w:t>
            </w:r>
          </w:p>
        </w:tc>
        <w:tc>
          <w:tcPr/>
          <w:p>
            <w:pPr>
              <w:pStyle w:val="Compact"/>
              <w:jc w:val="left"/>
            </w:pPr>
            <w:r>
              <w:t xml:space="preserve">Air-pollution module inputs in section 15: the seven pollutants by air-pollution sector (coal, gas and other power plants, ground level road, ground level other, other, food &amp; forestry), primary organic matter (PomPerOC x OC) and other PM2.5; GHG and pollutant indicators in MTOutputs (10 rows) and four new charts; legacy bug L23 fixed; legacy comparison with a pollutant table.</w:t>
            </w:r>
          </w:p>
        </w:tc>
        <w:tc>
          <w:tcPr/>
          <w:p>
            <w:pPr>
              <w:pStyle w:val="Compact"/>
              <w:jc w:val="left"/>
            </w:pPr>
            <w:r>
              <w:t xml:space="preserve">0 on all v2.9 codes (see check report)</w:t>
            </w:r>
          </w:p>
        </w:tc>
      </w:tr>
      <w:tr>
        <w:tc>
          <w:tcPr/>
          <w:p>
            <w:pPr>
              <w:pStyle w:val="Compact"/>
              <w:jc w:val="left"/>
            </w:pPr>
            <w:r>
              <w:t xml:space="preserve">3.1</w:t>
            </w:r>
          </w:p>
        </w:tc>
        <w:tc>
          <w:tcPr/>
          <w:p>
            <w:pPr>
              <w:pStyle w:val="Compact"/>
              <w:jc w:val="left"/>
            </w:pPr>
            <w:r>
              <w:t xml:space="preserve">2026-10-14</w:t>
            </w:r>
          </w:p>
        </w:tc>
        <w:tc>
          <w:tcPr/>
          <w:p>
            <w:pPr>
              <w:pStyle w:val="Compact"/>
              <w:jc w:val="left"/>
            </w:pPr>
            <w:r>
              <w:t xml:space="preserve">GDP effects: new section 16 (fiscal space = new-policy revenue above scenario 1; impulses by lag; GDP effect of the revenue use with fiscal multipliers by income group and range, sheet Multipliers; MTInputs rows 197-201, 226, 263, 267); GDP growth (row 7) after the feedback, one-year lag; legacy bug L24 fixed (effect added to growth every year); scenario-1 lookups end at their own column (no circular reference); MTOutputs +3 rows, chart of the GDP effect.</w:t>
            </w:r>
          </w:p>
        </w:tc>
        <w:tc>
          <w:tcPr/>
          <w:p>
            <w:pPr>
              <w:pStyle w:val="Compact"/>
              <w:jc w:val="left"/>
            </w:pPr>
            <w:r>
              <w:t xml:space="preserve">Scenario 1: 0 on all v3.0 codes; policy scenarios change through GDP (see check report)</w:t>
            </w:r>
          </w:p>
        </w:tc>
      </w:tr>
      <w:tr>
        <w:tc>
          <w:tcPr/>
          <w:p>
            <w:pPr>
              <w:pStyle w:val="Compact"/>
              <w:jc w:val="left"/>
            </w:pPr>
            <w:r>
              <w:t xml:space="preserve">3.2</w:t>
            </w:r>
          </w:p>
        </w:tc>
        <w:tc>
          <w:tcPr/>
          <w:p>
            <w:pPr>
              <w:pStyle w:val="Compact"/>
              <w:jc w:val="left"/>
            </w:pPr>
            <w:r>
              <w:t xml:space="preserve">2026-10-14</w:t>
            </w:r>
          </w:p>
        </w:tc>
        <w:tc>
          <w:tcPr/>
          <w:p>
            <w:pPr>
              <w:pStyle w:val="Compact"/>
              <w:jc w:val="left"/>
            </w:pPr>
            <w:r>
              <w:t xml:space="preserve">Energy CO2 calibrated to the GHG inventory: every CO2 EF (Inputs, Inputs_power) x EFCalib (Settings C27-C30) = inventory energy CO2 / scenario-1 energy CO2 with uncalibrated EFs in GHGYear (sheet BaselineCO2 row raw, refreshed by the build); emissions, carbon tax and ETS costs follow; register I18 resolved.</w:t>
            </w:r>
          </w:p>
        </w:tc>
        <w:tc>
          <w:tcPr/>
          <w:p>
            <w:pPr>
              <w:pStyle w:val="Compact"/>
              <w:jc w:val="left"/>
            </w:pPr>
            <w:r>
              <w:t xml:space="preserve">Fuel use of scenario 1: 0 on all v3.1 codes; CO2 x EFCalib; policy scenarios change (see check report)</w:t>
            </w:r>
          </w:p>
        </w:tc>
      </w:tr>
      <w:tr>
        <w:tc>
          <w:tcPr/>
          <w:p>
            <w:pPr>
              <w:pStyle w:val="Compact"/>
              <w:jc w:val="left"/>
            </w:pPr>
            <w:r>
              <w:t xml:space="preserve">3.3</w:t>
            </w:r>
          </w:p>
        </w:tc>
        <w:tc>
          <w:tcPr/>
          <w:p>
            <w:pPr>
              <w:pStyle w:val="Compact"/>
              <w:jc w:val="left"/>
            </w:pPr>
            <w:r>
              <w:t xml:space="preserve">2026-10-14</w:t>
            </w:r>
          </w:p>
        </w:tc>
        <w:tc>
          <w:tcPr/>
          <w:p>
            <w:pPr>
              <w:pStyle w:val="Compact"/>
              <w:jc w:val="left"/>
            </w:pPr>
            <w:r>
              <w:t xml:space="preserve">No country-specific number outside the reference tables: ETS semi-elasticities from sheet ETSSemi (legacy ETS+LTS, 175 countries) by country instead of typed Egypt values; PowerTech, PowerPaths, PowerParams, PowerDemand, Balances and BaselineCO2 keyed country/item; country of the build in one setting (COUNTRY = Settings C4).</w:t>
            </w:r>
          </w:p>
        </w:tc>
        <w:tc>
          <w:tcPr/>
          <w:p>
            <w:pPr>
              <w:pStyle w:val="Compact"/>
              <w:jc w:val="left"/>
            </w:pPr>
            <w:r>
              <w:t xml:space="preserve">0 on all v3.2 codes (same Egypt data)</w:t>
            </w:r>
          </w:p>
        </w:tc>
      </w:tr>
      <w:tr>
        <w:tc>
          <w:tcPr/>
          <w:p>
            <w:pPr>
              <w:pStyle w:val="Compact"/>
              <w:jc w:val="left"/>
            </w:pPr>
            <w:r>
              <w:t xml:space="preserve">3.4</w:t>
            </w:r>
          </w:p>
        </w:tc>
        <w:tc>
          <w:tcPr/>
          <w:p>
            <w:pPr>
              <w:pStyle w:val="Compact"/>
              <w:jc w:val="left"/>
            </w:pPr>
            <w:r>
              <w:t xml:space="preserve">2026-10-14</w:t>
            </w:r>
          </w:p>
        </w:tc>
        <w:tc>
          <w:tcPr/>
          <w:p>
            <w:pPr>
              <w:pStyle w:val="Compact"/>
              <w:jc w:val="left"/>
            </w:pPr>
            <w:r>
              <w:t xml:space="preserve">No numeric literal in any formula: pass-through buckets, GJ per kWh, capex average share and dispatch tie breaker are named constants (sheet Constants); the check reads every constant from the build. CO2 calibration: switch Settings C27, default No (EFCalib = 1).</w:t>
            </w:r>
          </w:p>
        </w:tc>
        <w:tc>
          <w:tcPr/>
          <w:p>
            <w:pPr>
              <w:pStyle w:val="Compact"/>
              <w:jc w:val="left"/>
            </w:pPr>
            <w:r>
              <w:t xml:space="preserve">Scenario 1 fuel use, prices, revenues: 0 vs v3.3; CO2 back to uncalibrated (v3.1 levels)</w:t>
            </w:r>
          </w:p>
        </w:tc>
      </w:tr>
      <w:tr>
        <w:tc>
          <w:tcPr/>
          <w:p>
            <w:pPr>
              <w:pStyle w:val="Compact"/>
              <w:jc w:val="left"/>
            </w:pPr>
            <w:r>
              <w:t xml:space="preserve">3.5</w:t>
            </w:r>
          </w:p>
        </w:tc>
        <w:tc>
          <w:tcPr/>
          <w:p>
            <w:pPr>
              <w:pStyle w:val="Compact"/>
              <w:jc w:val="left"/>
            </w:pPr>
            <w:r>
              <w:t xml:space="preserve">2026-10-14</w:t>
            </w:r>
          </w:p>
        </w:tc>
        <w:tc>
          <w:tcPr/>
          <w:p>
            <w:pPr>
              <w:pStyle w:val="Compact"/>
              <w:jc w:val="left"/>
            </w:pPr>
            <w:r>
              <w:t xml:space="preserve">Engineer road transport model (legacy section 5 with 17 bugs fixed, Transport_vs_Legacy_v7_0.md) as section 5b of every scenario group: data sheets Transport1-3, TransportParams, TransportPaths; transport policies in MTInputs rows 418-479; switch TrModel (MTInputs row 340, default Elasticity): Engineer replaces road gasoline, diesel, LPG, gas and biofuels (section 5, ener) and road electricity demand (section 3 H) (Transport_Workbook_Notes_v7_0.md).</w:t>
            </w:r>
          </w:p>
        </w:tc>
        <w:tc>
          <w:tcPr/>
          <w:p>
            <w:pPr>
              <w:pStyle w:val="Compact"/>
              <w:jc w:val="left"/>
            </w:pPr>
            <w:r>
              <w:t xml:space="preserve">0 on all v3.4 codes (Elasticity by default)</w:t>
            </w:r>
          </w:p>
        </w:tc>
      </w:tr>
      <w:tr>
        <w:tc>
          <w:tcPr/>
          <w:p>
            <w:pPr>
              <w:pStyle w:val="Compact"/>
              <w:jc w:val="left"/>
            </w:pPr>
            <w:r>
              <w:t xml:space="preserve">3.6</w:t>
            </w:r>
          </w:p>
        </w:tc>
        <w:tc>
          <w:tcPr/>
          <w:p>
            <w:pPr>
              <w:pStyle w:val="Compact"/>
              <w:jc w:val="left"/>
            </w:pPr>
            <w:r>
              <w:t xml:space="preserve">2026-10-15</w:t>
            </w:r>
          </w:p>
        </w:tc>
        <w:tc>
          <w:tcPr/>
          <w:p>
            <w:pPr>
              <w:pStyle w:val="Compact"/>
              <w:jc w:val="left"/>
            </w:pPr>
            <w:r>
              <w:t xml:space="preserve">Tabs consolidated (user request): Inputs = Inputs + Inputs_prices + Inputs_power; Settings = Settings + Constants + Mapping; Version Log and Reference = version log + ReadMe + LegacyDiff; Check, Lambdas, Variables = Lambdas + Variables + MacroCheck; reference tabs last; macro buttons except Run all scenarios on Version Log and Reference.</w:t>
            </w:r>
          </w:p>
        </w:tc>
        <w:tc>
          <w:tcPr/>
          <w:p>
            <w:pPr>
              <w:pStyle w:val="Compact"/>
              <w:jc w:val="left"/>
            </w:pPr>
            <w:r>
              <w:t xml:space="preserve">0 on all v3.5 codes (layout only)</w:t>
            </w:r>
          </w:p>
        </w:tc>
      </w:tr>
      <w:tr>
        <w:tc>
          <w:tcPr/>
          <w:p>
            <w:pPr>
              <w:pStyle w:val="Compact"/>
              <w:jc w:val="left"/>
            </w:pPr>
            <w:r>
              <w:t xml:space="preserve">3.7</w:t>
            </w:r>
          </w:p>
        </w:tc>
        <w:tc>
          <w:tcPr/>
          <w:p>
            <w:pPr>
              <w:pStyle w:val="Compact"/>
              <w:jc w:val="left"/>
            </w:pPr>
            <w:r>
              <w:t xml:space="preserve">2026-10-15</w:t>
            </w:r>
          </w:p>
        </w:tc>
        <w:tc>
          <w:tcPr/>
          <w:p>
            <w:pPr>
              <w:pStyle w:val="Compact"/>
              <w:jc w:val="left"/>
            </w:pPr>
            <w:r>
              <w:t xml:space="preserve">Excel repair error fixed: Excel 365 removed the cell formulas calling the LAMBDAs SCALE and SHARE (sheet Mitigation); renamed SCALEBY and SHAREOF. Defaults closer to legacy (user decision): last historical price year 2022 (Settings C10; was 2024); ETS benchmarks 1.0 flat (nothing auctioned, the legacy default; was 1.0 -&gt; 0.8). Replication lists (cpat_excel/NOTREPLICATED-MostlyBugs.md, REPLICATED-MostlyIssues.md).</w:t>
            </w:r>
          </w:p>
        </w:tc>
        <w:tc>
          <w:tcPr/>
          <w:p>
            <w:pPr>
              <w:pStyle w:val="Compact"/>
              <w:jc w:val="left"/>
            </w:pPr>
            <w:r>
              <w:t xml:space="preserve">Intended: prices from 2023 and all that follows; ETS allocation. Other codes 0</w:t>
            </w:r>
          </w:p>
        </w:tc>
      </w:tr>
      <w:tr>
        <w:tc>
          <w:tcPr/>
          <w:p>
            <w:pPr>
              <w:pStyle w:val="Compact"/>
              <w:jc w:val="left"/>
            </w:pPr>
            <w:r>
              <w:t xml:space="preserve">3.8</w:t>
            </w:r>
          </w:p>
        </w:tc>
        <w:tc>
          <w:tcPr/>
          <w:p>
            <w:pPr>
              <w:pStyle w:val="Compact"/>
              <w:jc w:val="left"/>
            </w:pPr>
            <w:r>
              <w:t xml:space="preserve">2026-10-15</w:t>
            </w:r>
          </w:p>
        </w:tc>
        <w:tc>
          <w:tcPr/>
          <w:p>
            <w:pPr>
              <w:pStyle w:val="Compact"/>
              <w:jc w:val="left"/>
            </w:pPr>
            <w:r>
              <w:t xml:space="preserve">Rebuild of v3.7 from the merged builder: the v3.7 defaults (prices to 2022, ETS benchmarks 1.0) with the LAMBDAs SCALEBY and SHAREOF. The shipped v3.7 file was built before the merge, without the defaults; v3.7.1 lost the 2041 cells of SCALE and SHARE in a repair.</w:t>
            </w:r>
          </w:p>
        </w:tc>
        <w:tc>
          <w:tcPr/>
          <w:p>
            <w:pPr>
              <w:pStyle w:val="Compact"/>
              <w:jc w:val="left"/>
            </w:pPr>
            <w:r>
              <w:t xml:space="preserve">Intended vs v3.7: prices from 2023 and all that follows; ETS allocation. Other codes 0</w:t>
            </w:r>
          </w:p>
        </w:tc>
      </w:tr>
      <w:tr>
        <w:tc>
          <w:tcPr/>
          <w:p>
            <w:pPr>
              <w:pStyle w:val="Compact"/>
              <w:jc w:val="left"/>
            </w:pPr>
            <w:r>
              <w:t xml:space="preserve">3.9</w:t>
            </w:r>
          </w:p>
        </w:tc>
        <w:tc>
          <w:tcPr/>
          <w:p>
            <w:pPr>
              <w:pStyle w:val="Compact"/>
              <w:jc w:val="left"/>
            </w:pPr>
            <w:r>
              <w:t xml:space="preserve">2026-10-16</w:t>
            </w:r>
          </w:p>
        </w:tc>
        <w:tc>
          <w:tcPr/>
          <w:p>
            <w:pPr>
              <w:pStyle w:val="Compact"/>
              <w:jc w:val="left"/>
            </w:pPr>
            <w:r>
              <w:t xml:space="preserve">Style guide (NORMS 2): two blank rows before each section band and one after, one between blocks, two before a sub-section; sub-section headings on their own row in column B, bold underlined; header (label) rows bold with a thin bottom border; top border on each price block; borders on parameter cells; Arial 10; legacy band (number in A, title in B) and title fill; column B stays visible; codes italic, notes italic grey. Rows move.</w:t>
            </w:r>
          </w:p>
        </w:tc>
        <w:tc>
          <w:tcPr/>
          <w:p>
            <w:pPr>
              <w:pStyle w:val="Compact"/>
              <w:jc w:val="left"/>
            </w:pPr>
            <w:r>
              <w:t xml:space="preserve">0 on all v3.8 codes (layout only)</w:t>
            </w:r>
          </w:p>
        </w:tc>
      </w:tr>
      <w:tr>
        <w:tc>
          <w:tcPr/>
          <w:p>
            <w:pPr>
              <w:pStyle w:val="Compact"/>
              <w:jc w:val="left"/>
            </w:pPr>
            <w:r>
              <w:t xml:space="preserve">3.10</w:t>
            </w:r>
          </w:p>
        </w:tc>
        <w:tc>
          <w:tcPr/>
          <w:p>
            <w:pPr>
              <w:pStyle w:val="Compact"/>
              <w:jc w:val="left"/>
            </w:pPr>
            <w:r>
              <w:t xml:space="preserve">2026-10-16</w:t>
            </w:r>
          </w:p>
        </w:tc>
        <w:tc>
          <w:tcPr/>
          <w:p>
            <w:pPr>
              <w:pStyle w:val="Compact"/>
              <w:jc w:val="left"/>
            </w:pPr>
            <w:r>
              <w:t xml:space="preserve">Section 2 memo (I31): per fuel, electricity and all energy: spending, fuel use, average price (unit value, legacy F5b), Laspeyres price index against scenario 1, time index (base-year quantities), mix effect; helper row 10 (scenario 1 column). 11 MTOutputs rows.</w:t>
            </w:r>
          </w:p>
        </w:tc>
        <w:tc>
          <w:tcPr/>
          <w:p>
            <w:pPr>
              <w:pStyle w:val="Compact"/>
              <w:jc w:val="left"/>
            </w:pPr>
            <w:r>
              <w:t xml:space="preserve">0 on all v3.9 codes (new rows only)</w:t>
            </w:r>
          </w:p>
        </w:tc>
      </w:tr>
      <w:tr>
        <w:tc>
          <w:tcPr/>
          <w:p>
            <w:pPr>
              <w:pStyle w:val="Compact"/>
              <w:jc w:val="left"/>
            </w:pPr>
            <w:r>
              <w:t xml:space="preserve">3.11</w:t>
            </w:r>
          </w:p>
        </w:tc>
        <w:tc>
          <w:tcPr/>
          <w:p>
            <w:pPr>
              <w:pStyle w:val="Compact"/>
              <w:jc w:val="left"/>
            </w:pPr>
            <w:r>
              <w:t xml:space="preserve">2026-10-16</w:t>
            </w:r>
          </w:p>
        </w:tc>
        <w:tc>
          <w:tcPr/>
          <w:p>
            <w:pPr>
              <w:pStyle w:val="Compact"/>
              <w:jc w:val="left"/>
            </w:pPr>
            <w:r>
              <w:t xml:space="preserve">Replicated from legacy: the 2023-2024 fuel-use shock on every fuel row and on power demand (header row 11, Settings C19 on; I22) and jet fuel (fuel jfu, aviation, kerosene price build-up, legacy EF row 1011; I19, bug L42 fixed).</w:t>
            </w:r>
          </w:p>
        </w:tc>
        <w:tc>
          <w:tcPr/>
          <w:p>
            <w:pPr>
              <w:pStyle w:val="Compact"/>
              <w:jc w:val="left"/>
            </w:pPr>
            <w:r>
              <w:t xml:space="preserve">Intended: fuel use, prices of power, emissions, revenues and all that follows; new jfu codes</w:t>
            </w:r>
          </w:p>
        </w:tc>
      </w:tr>
      <w:tr>
        <w:tc>
          <w:tcPr/>
          <w:p>
            <w:pPr>
              <w:pStyle w:val="Compact"/>
              <w:jc w:val="left"/>
            </w:pPr>
            <w:r>
              <w:t xml:space="preserve">3.12</w:t>
            </w:r>
          </w:p>
        </w:tc>
        <w:tc>
          <w:tcPr/>
          <w:p>
            <w:pPr>
              <w:pStyle w:val="Compact"/>
              <w:jc w:val="left"/>
            </w:pPr>
            <w:r>
              <w:t xml:space="preserve">2026-10-16</w:t>
            </w:r>
          </w:p>
        </w:tc>
        <w:tc>
          <w:tcPr/>
          <w:p>
            <w:pPr>
              <w:pStyle w:val="Compact"/>
              <w:jc w:val="left"/>
            </w:pPr>
            <w:r>
              <w:t xml:space="preserve">Section 15 hand-off as the air-pollution module input table (legacy rows 15859-15961): one block per module sector, pollutants in legacy order, CH4 added (combustion + methane sources as legacy), a total for every pollutant.</w:t>
            </w:r>
          </w:p>
        </w:tc>
        <w:tc>
          <w:tcPr/>
          <w:p>
            <w:pPr>
              <w:pStyle w:val="Compact"/>
              <w:jc w:val="left"/>
            </w:pPr>
            <w:r>
              <w:t xml:space="preserve">0 on all v3.11 codes (new rows; rows move)</w:t>
            </w:r>
          </w:p>
        </w:tc>
      </w:tr>
      <w:tr>
        <w:tc>
          <w:tcPr/>
          <w:p>
            <w:pPr>
              <w:pStyle w:val="Compact"/>
              <w:jc w:val="left"/>
            </w:pPr>
            <w:r>
              <w:t xml:space="preserve">3.13</w:t>
            </w:r>
          </w:p>
        </w:tc>
        <w:tc>
          <w:tcPr/>
          <w:p>
            <w:pPr>
              <w:pStyle w:val="Compact"/>
              <w:jc w:val="left"/>
            </w:pPr>
            <w:r>
              <w:t xml:space="preserve">2026-10-16</w:t>
            </w:r>
          </w:p>
        </w:tc>
        <w:tc>
          <w:tcPr/>
          <w:p>
            <w:pPr>
              <w:pStyle w:val="Compact"/>
              <w:jc w:val="left"/>
            </w:pPr>
            <w:r>
              <w:t xml:space="preserve">Header rows: real GDP (USD, moved up from section 16; local currency, legacy row 464) and the exchange rate; 12d fiscal reports: revenue by fuel net of subsidies (final use, electricity, generation fuels), revenue as % of baseline real GDP, base erosion. Bug M12 fixed (sheet Lambdas formula texts named merged sheets).</w:t>
            </w:r>
          </w:p>
        </w:tc>
        <w:tc>
          <w:tcPr/>
          <w:p>
            <w:pPr>
              <w:pStyle w:val="Compact"/>
              <w:jc w:val="left"/>
            </w:pPr>
            <w:r>
              <w:t xml:space="preserve">0 on all v3.12 codes (new rows; rows move)</w:t>
            </w:r>
          </w:p>
        </w:tc>
      </w:tr>
      <w:tr>
        <w:tc>
          <w:tcPr/>
          <w:p>
            <w:pPr>
              <w:pStyle w:val="Compact"/>
              <w:jc w:val="left"/>
            </w:pPr>
            <w:r>
              <w:t xml:space="preserve">3.14</w:t>
            </w:r>
          </w:p>
        </w:tc>
        <w:tc>
          <w:tcPr/>
          <w:p>
            <w:pPr>
              <w:pStyle w:val="Compact"/>
              <w:jc w:val="left"/>
            </w:pPr>
            <w:r>
              <w:t xml:space="preserve">2026-10-16</w:t>
            </w:r>
          </w:p>
        </w:tc>
        <w:tc>
          <w:tcPr/>
          <w:p>
            <w:pPr>
              <w:pStyle w:val="Compact"/>
              <w:jc w:val="left"/>
            </w:pPr>
            <w:r>
              <w:t xml:space="preserve">Sub-blocks 11b (energy change by fuel and sector, %), 13b (CO2 change, grid emission intensity, Kaya identity as legacy F14), 14b (GHG change by category and gas; energy GHGs incl. the forcing of local pollutants).</w:t>
            </w:r>
          </w:p>
        </w:tc>
        <w:tc>
          <w:tcPr/>
          <w:p>
            <w:pPr>
              <w:pStyle w:val="Compact"/>
              <w:jc w:val="left"/>
            </w:pPr>
            <w:r>
              <w:t xml:space="preserve">0 on all v3.13 codes (new rows; rows move)</w:t>
            </w:r>
          </w:p>
        </w:tc>
      </w:tr>
      <w:tr>
        <w:tc>
          <w:tcPr/>
          <w:p>
            <w:pPr>
              <w:pStyle w:val="Compact"/>
              <w:jc w:val="left"/>
            </w:pPr>
            <w:r>
              <w:t xml:space="preserve">3.15</w:t>
            </w:r>
          </w:p>
        </w:tc>
        <w:tc>
          <w:tcPr/>
          <w:p>
            <w:pPr>
              <w:pStyle w:val="Compact"/>
              <w:jc w:val="left"/>
            </w:pPr>
            <w:r>
              <w:t xml:space="preserve">2026-10-16</w:t>
            </w:r>
          </w:p>
        </w:tc>
        <w:tc>
          <w:tcPr/>
          <w:p>
            <w:pPr>
              <w:pStyle w:val="Compact"/>
              <w:jc w:val="left"/>
            </w:pPr>
            <w:r>
              <w:t xml:space="preserve">New section 17 Carbon pricing: implicit carbon price by fuel and economy-wide (legacy F5d), effective carbon rate and effective carbon tax (F5e, row 16137), CO2 covered by the carbon tax by coverage sector, coverage shares (F3). LAMBDA name clash guard.</w:t>
            </w:r>
          </w:p>
        </w:tc>
        <w:tc>
          <w:tcPr/>
          <w:p>
            <w:pPr>
              <w:pStyle w:val="Compact"/>
              <w:jc w:val="left"/>
            </w:pPr>
            <w:r>
              <w:t xml:space="preserve">0 on all v3.14 codes (new rows)</w:t>
            </w:r>
          </w:p>
        </w:tc>
      </w:tr>
      <w:tr>
        <w:tc>
          <w:tcPr/>
          <w:p>
            <w:pPr>
              <w:pStyle w:val="Compact"/>
              <w:jc w:val="left"/>
            </w:pPr>
            <w:r>
              <w:t xml:space="preserve">3.16</w:t>
            </w:r>
          </w:p>
        </w:tc>
        <w:tc>
          <w:tcPr/>
          <w:p>
            <w:pPr>
              <w:pStyle w:val="Compact"/>
              <w:jc w:val="left"/>
            </w:pPr>
            <w:r>
              <w:t xml:space="preserve">2026-10-16</w:t>
            </w:r>
          </w:p>
        </w:tc>
        <w:tc>
          <w:tcPr/>
          <w:p>
            <w:pPr>
              <w:pStyle w:val="Compact"/>
              <w:jc w:val="left"/>
            </w:pPr>
            <w:r>
              <w:t xml:space="preserve">Sub-block 16b External balance: change in net energy imports by fuel and group (change in use x supply price x import share), energy trade balance (legacy rows 741-743) and of the scenario, % of GDP; section 16 renamed</w:t>
            </w:r>
            <w:r>
              <w:t xml:space="preserve"> </w:t>
            </w:r>
            <w:r>
              <w:t xml:space="preserve">“</w:t>
            </w:r>
            <w:r>
              <w:t xml:space="preserve">GDP effects and external balance</w:t>
            </w:r>
            <w:r>
              <w:t xml:space="preserve">”</w:t>
            </w:r>
            <w:r>
              <w:t xml:space="preserve">.</w:t>
            </w:r>
          </w:p>
        </w:tc>
        <w:tc>
          <w:tcPr/>
          <w:p>
            <w:pPr>
              <w:pStyle w:val="Compact"/>
              <w:jc w:val="left"/>
            </w:pPr>
            <w:r>
              <w:t xml:space="preserve">0 on all v3.15 codes (new rows; section 17 moves down)</w:t>
            </w:r>
          </w:p>
        </w:tc>
      </w:tr>
      <w:tr>
        <w:tc>
          <w:tcPr/>
          <w:p>
            <w:pPr>
              <w:pStyle w:val="Compact"/>
              <w:jc w:val="left"/>
            </w:pPr>
            <w:r>
              <w:t xml:space="preserve">3.17</w:t>
            </w:r>
          </w:p>
        </w:tc>
        <w:tc>
          <w:tcPr/>
          <w:p>
            <w:pPr>
              <w:pStyle w:val="Compact"/>
              <w:jc w:val="left"/>
            </w:pPr>
            <w:r>
              <w:t xml:space="preserve">2026-10-16</w:t>
            </w:r>
          </w:p>
        </w:tc>
        <w:tc>
          <w:tcPr/>
          <w:p>
            <w:pPr>
              <w:pStyle w:val="Compact"/>
              <w:jc w:val="left"/>
            </w:pPr>
            <w:r>
              <w:t xml:space="preserve">New section 18 Welfare and externalities, climate part: SCC options and selection as legacy (target-consistent, Ricke national and global from sheet SCC, manual, US EPA), climate damages and damages avoided, efficiency costs of energy by fuel (trapezoid on the tax wedge) and of the methane fee (area under the abatement curves), welfare summary; Settings rows 32-42; data sheet SCC.</w:t>
            </w:r>
          </w:p>
        </w:tc>
        <w:tc>
          <w:tcPr/>
          <w:p>
            <w:pPr>
              <w:pStyle w:val="Compact"/>
              <w:jc w:val="left"/>
            </w:pPr>
            <w:r>
              <w:t xml:space="preserve">0 on all v3.16 codes (new rows)</w:t>
            </w:r>
          </w:p>
        </w:tc>
      </w:tr>
      <w:tr>
        <w:tc>
          <w:tcPr/>
          <w:p>
            <w:pPr>
              <w:pStyle w:val="Compact"/>
              <w:jc w:val="left"/>
            </w:pPr>
            <w:r>
              <w:t xml:space="preserve">3.18</w:t>
            </w:r>
          </w:p>
        </w:tc>
        <w:tc>
          <w:tcPr/>
          <w:p>
            <w:pPr>
              <w:pStyle w:val="Compact"/>
              <w:jc w:val="left"/>
            </w:pPr>
            <w:r>
              <w:t xml:space="preserve">2026-10-16</w:t>
            </w:r>
          </w:p>
        </w:tc>
        <w:tc>
          <w:tcPr/>
          <w:p>
            <w:pPr>
              <w:pStyle w:val="Compact"/>
              <w:jc w:val="left"/>
            </w:pPr>
            <w:r>
              <w:t xml:space="preserve">Kaya identity on total primary energy supply as legacy (row 18880): fuel use incl. power generation + primary electricity of nuclear and renewables (new row kaya.tpes; user 2026-10-16).</w:t>
            </w:r>
          </w:p>
        </w:tc>
        <w:tc>
          <w:tcPr/>
          <w:p>
            <w:pPr>
              <w:pStyle w:val="Compact"/>
              <w:jc w:val="left"/>
            </w:pPr>
            <w:r>
              <w:t xml:space="preserve">Intended: kaya.ei, kaya.ci and their indices; other codes 0</w:t>
            </w:r>
          </w:p>
        </w:tc>
      </w:tr>
      <w:tr>
        <w:tc>
          <w:tcPr/>
          <w:p>
            <w:pPr>
              <w:pStyle w:val="Compact"/>
              <w:jc w:val="left"/>
            </w:pPr>
            <w:r>
              <w:t xml:space="preserve">4.0</w:t>
            </w:r>
          </w:p>
        </w:tc>
        <w:tc>
          <w:tcPr/>
          <w:p>
            <w:pPr>
              <w:pStyle w:val="Compact"/>
              <w:jc w:val="left"/>
            </w:pPr>
            <w:r>
              <w:t xml:space="preserve">2026-10-16</w:t>
            </w:r>
          </w:p>
        </w:tc>
        <w:tc>
          <w:tcPr/>
          <w:p>
            <w:pPr>
              <w:pStyle w:val="Compact"/>
              <w:jc w:val="left"/>
            </w:pPr>
            <w:r>
              <w:t xml:space="preserve">Release 4.0: v3.18 renumbered as 4.0 (files, labels and references); no model change; the workbook was copied, not rebuilt, so its own version log ends at 3.18 until the next build.</w:t>
            </w:r>
          </w:p>
        </w:tc>
        <w:tc>
          <w:tcPr/>
          <w:p>
            <w:pPr>
              <w:pStyle w:val="Compact"/>
              <w:jc w:val="left"/>
            </w:pPr>
            <w:r>
              <w:t xml:space="preserve">0 (same model as v3.18)</w:t>
            </w:r>
          </w:p>
        </w:tc>
      </w:tr>
      <w:tr>
        <w:tc>
          <w:tcPr/>
          <w:p>
            <w:pPr>
              <w:pStyle w:val="Compact"/>
              <w:jc w:val="left"/>
            </w:pPr>
            <w:r>
              <w:t xml:space="preserve">4.1</w:t>
            </w:r>
          </w:p>
        </w:tc>
        <w:tc>
          <w:tcPr/>
          <w:p>
            <w:pPr>
              <w:pStyle w:val="Compact"/>
              <w:jc w:val="left"/>
            </w:pPr>
            <w:r>
              <w:t xml:space="preserve">2026-10-16</w:t>
            </w:r>
          </w:p>
        </w:tc>
        <w:tc>
          <w:tcPr/>
          <w:p>
            <w:pPr>
              <w:pStyle w:val="Compact"/>
              <w:jc w:val="left"/>
            </w:pPr>
            <w:r>
              <w:t xml:space="preserve">Layout (user requests): every section numbered (0-18) and rolled up to its summary row(s), detail and lettered sub-blocks before the summary; summary rows for sections 2, 17, 18; one blank row between sections and sub-tables; notes not italic. Price blocks: inputs italic, full retail price incl. new taxes and subsidies (bold), existing build-up, then the new taxes and subsidies weighted by subsector fuel use. Scenario number a formula: groups fully copy-pasteable.</w:t>
            </w:r>
          </w:p>
        </w:tc>
        <w:tc>
          <w:tcPr/>
          <w:p>
            <w:pPr>
              <w:pStyle w:val="Compact"/>
              <w:jc w:val="left"/>
            </w:pPr>
            <w:r>
              <w:t xml:space="preserve">0 on shared codes (new rows only)</w:t>
            </w:r>
          </w:p>
        </w:tc>
      </w:tr>
      <w:tr>
        <w:tc>
          <w:tcPr/>
          <w:p>
            <w:pPr>
              <w:pStyle w:val="Compact"/>
              <w:jc w:val="left"/>
            </w:pPr>
            <w:r>
              <w:t xml:space="preserve">4.2</w:t>
            </w:r>
          </w:p>
        </w:tc>
        <w:tc>
          <w:tcPr/>
          <w:p>
            <w:pPr>
              <w:pStyle w:val="Compact"/>
              <w:jc w:val="left"/>
            </w:pPr>
            <w:r>
              <w:t xml:space="preserve">2026-10-16</w:t>
            </w:r>
          </w:p>
        </w:tc>
        <w:tc>
          <w:tcPr/>
          <w:p>
            <w:pPr>
              <w:pStyle w:val="Compact"/>
              <w:jc w:val="left"/>
            </w:pPr>
            <w:r>
              <w:t xml:space="preserve">Presentation (user requests): Cover tab as legacy (contents, cell and tab colours, abbreviations); divider tabs list their tabs and the legacy tab each matches; data tabs split into mitigation data (as legacy) and other data; every tab has a dark green title bar and light green sub-heading bars of one width; table headers bold, light green only on inputs; tab Version Log, About, and Diff (About by category; differences with register code, bug or issue, status); tab Check, Variables, Lambdas (one row per LAMBDA formula pattern with its Mitigation rows); ETS group, feebate sector and semi-elasticity group of each coverage sector moved from Constants to Mapping (semi-elasticities read from ETSSemi); version tags removed from headings.</w:t>
            </w:r>
          </w:p>
        </w:tc>
        <w:tc>
          <w:tcPr/>
          <w:p>
            <w:pPr>
              <w:pStyle w:val="Compact"/>
              <w:jc w:val="left"/>
            </w:pPr>
            <w:r>
              <w:t xml:space="preserve">0 (presentation only)</w:t>
            </w:r>
          </w:p>
        </w:tc>
      </w:tr>
      <w:tr>
        <w:tc>
          <w:tcPr/>
          <w:p>
            <w:pPr>
              <w:pStyle w:val="Compact"/>
              <w:jc w:val="left"/>
            </w:pPr>
            <w:r>
              <w:t xml:space="preserve">4.3</w:t>
            </w:r>
          </w:p>
        </w:tc>
        <w:tc>
          <w:tcPr/>
          <w:p>
            <w:pPr>
              <w:pStyle w:val="Compact"/>
              <w:jc w:val="left"/>
            </w:pPr>
            <w:r>
              <w:t xml:space="preserve">2026-10-17</w:t>
            </w:r>
          </w:p>
        </w:tc>
        <w:tc>
          <w:tcPr/>
          <w:p>
            <w:pPr>
              <w:pStyle w:val="Compact"/>
              <w:jc w:val="left"/>
            </w:pPr>
            <w:r>
              <w:t xml:space="preserve">LAMBDA test group (user rule): scenario groups 1 and 2 hold plain formulas in every year (2041 included); a third group runs the scenario of group 2 with the named LAMBDA of every calculated row in every year, base year included where the row has no data base year (IF between history and projection inside the LAMBDA); the spacer column of each group tests the group on its right when both run the same scenario (row sum - row sum, largest difference in row 4).</w:t>
            </w:r>
          </w:p>
        </w:tc>
        <w:tc>
          <w:tcPr/>
          <w:p>
            <w:pPr>
              <w:pStyle w:val="Compact"/>
              <w:jc w:val="left"/>
            </w:pPr>
            <w:r>
              <w:t xml:space="preserve">0 on shared codes; LAMBDA group = group 2 (4e-16)</w:t>
            </w:r>
          </w:p>
        </w:tc>
      </w:tr>
      <w:tr>
        <w:tc>
          <w:tcPr/>
          <w:p>
            <w:pPr>
              <w:pStyle w:val="Compact"/>
              <w:jc w:val="left"/>
            </w:pPr>
            <w:r>
              <w:t xml:space="preserve">4.4</w:t>
            </w:r>
          </w:p>
        </w:tc>
        <w:tc>
          <w:tcPr/>
          <w:p>
            <w:pPr>
              <w:pStyle w:val="Compact"/>
              <w:jc w:val="left"/>
            </w:pPr>
            <w:r>
              <w:t xml:space="preserve">2026-10-17</w:t>
            </w:r>
          </w:p>
        </w:tc>
        <w:tc>
          <w:tcPr/>
          <w:p>
            <w:pPr>
              <w:pStyle w:val="Compact"/>
              <w:jc w:val="left"/>
            </w:pPr>
            <w:r>
              <w:t xml:space="preserve">Distribution module (user decisions): sheet Distribution with one analysis year (MTInputs YearDistn) and deciles across, the scenario groups and LAMBDA test group of Mitigation (13 columns per group: code, basket, deciles 1-10, spacer); legacy chain (prices from Mitigation, indirect prices from GTAP, effects, rebasing, recycling, net effect, compensation, Gini) with legacy bugs fixed; data tabs HHSurvey, HH_Elast, IO_GTAP, ASPIRE, WHOCooking, GDPRatios, DistMapping (divider DATA_DISTRIBUTION); MTOutputs distribution block with legacy codes. Scenario capacity (user rule): five policy scenarios can be pasted (definition 6 added; paste test groups 4-7).</w:t>
            </w:r>
          </w:p>
        </w:tc>
        <w:tc>
          <w:tcPr/>
          <w:p>
            <w:pPr>
              <w:pStyle w:val="Compact"/>
              <w:jc w:val="left"/>
            </w:pPr>
            <w:r>
              <w:t xml:space="preserve">0 on shared codes; Distribution = Python reference (6e-13)</w:t>
            </w:r>
          </w:p>
        </w:tc>
      </w:tr>
      <w:tr>
        <w:tc>
          <w:tcPr/>
          <w:p>
            <w:pPr>
              <w:pStyle w:val="Compact"/>
              <w:jc w:val="left"/>
            </w:pPr>
            <w:r>
              <w:t xml:space="preserve">4.5</w:t>
            </w:r>
          </w:p>
        </w:tc>
        <w:tc>
          <w:tcPr/>
          <w:p>
            <w:pPr>
              <w:pStyle w:val="Compact"/>
              <w:jc w:val="left"/>
            </w:pPr>
            <w:r>
              <w:t xml:space="preserve">2026-10-17</w:t>
            </w:r>
          </w:p>
        </w:tc>
        <w:tc>
          <w:tcPr/>
          <w:p>
            <w:pPr>
              <w:pStyle w:val="Compact"/>
              <w:jc w:val="left"/>
            </w:pPr>
            <w:r>
              <w:t xml:space="preserve">Data tabs aligned with legacy (user request): grouped and ordered as legacy (DATA_MITIGATION, DATA_DISTN, DATA_TRAN, DATA_OUTPUT, then DATA_OTHER); 16 legacy tables unchanged from A4 (key column right where needed) so the full legacy tables paste in, among them every proprietary table the model uses (Balances, EnergyCons, EF_PM, IO_GTAP, HHSurvey, ASPIRE, WHOCooking; Prices_dom keeps the legacy header rows); named ranges sized for all countries; Egypt-only tables alone or at the bottom; base-year energy use from Balances (legacy flow mapping); CO2 emission factors selected from the legacy EF_GHG table as legacy rows 980-1011; all-country clone test (DataTabs_v7_0.md).</w:t>
            </w:r>
          </w:p>
        </w:tc>
        <w:tc>
          <w:tcPr/>
          <w:p>
            <w:pPr>
              <w:pStyle w:val="Compact"/>
              <w:jc w:val="left"/>
            </w:pPr>
            <w:r>
              <w:t xml:space="preserve">0 on shared codes; clone country = Egypt (0)</w:t>
            </w:r>
          </w:p>
        </w:tc>
      </w:tr>
      <w:tr>
        <w:tc>
          <w:tcPr/>
          <w:p>
            <w:pPr>
              <w:pStyle w:val="Compact"/>
              <w:jc w:val="left"/>
            </w:pPr>
            <w:r>
              <w:t xml:space="preserve">4.6</w:t>
            </w:r>
          </w:p>
        </w:tc>
        <w:tc>
          <w:tcPr/>
          <w:p>
            <w:pPr>
              <w:pStyle w:val="Compact"/>
              <w:jc w:val="left"/>
            </w:pPr>
            <w:r>
              <w:t xml:space="preserve">2026-10-17</w:t>
            </w:r>
          </w:p>
        </w:tc>
        <w:tc>
          <w:tcPr/>
          <w:p>
            <w:pPr>
              <w:pStyle w:val="Compact"/>
              <w:jc w:val="left"/>
            </w:pPr>
            <w:r>
              <w:t xml:space="preserve">Data tabs aligned more fully (user request): legacy tabs with several tables kept at their legacy cell addresses (Countries, Elasticities, ETS+LTS, Multipliers, Prices_int, ECP; Transport3 rows 5+), WEO as the legacy table; what legacy Mitigation computes from them for the country is a data step on Inputs (elasticities, multipliers, macro series and their extension, international price series, existing carbon pricing, energy trade); ETSSemi, GainsRegion, PriceAssump dropped (read from the legacy tabs); legacy bug L51 fixed (coal trade balance at the coal price).</w:t>
            </w:r>
          </w:p>
        </w:tc>
        <w:tc>
          <w:tcPr/>
          <w:p>
            <w:pPr>
              <w:pStyle w:val="Compact"/>
              <w:jc w:val="left"/>
            </w:pPr>
            <w:r>
              <w:t xml:space="preserve">see check report</w:t>
            </w:r>
          </w:p>
        </w:tc>
      </w:tr>
      <w:tr>
        <w:tc>
          <w:tcPr/>
          <w:p>
            <w:pPr>
              <w:pStyle w:val="Compact"/>
              <w:jc w:val="left"/>
            </w:pPr>
            <w:r>
              <w:t xml:space="preserve">4.7</w:t>
            </w:r>
          </w:p>
        </w:tc>
        <w:tc>
          <w:tcPr/>
          <w:p>
            <w:pPr>
              <w:pStyle w:val="Compact"/>
              <w:jc w:val="left"/>
            </w:pPr>
            <w:r>
              <w:t xml:space="preserve">2026-10-17</w:t>
            </w:r>
          </w:p>
        </w:tc>
        <w:tc>
          <w:tcPr/>
          <w:p>
            <w:pPr>
              <w:pStyle w:val="Compact"/>
              <w:jc w:val="left"/>
            </w:pPr>
            <w:r>
              <w:t xml:space="preserve">Power data from the legacy tabs (user request, align fully): legacy Power and CoC tabs at legacy addresses (and GHGs, for the 2023-2024 shocks); the power data of the country (former tabs PowerTech, PowerPaths, PowerParams) is a data step on Inputs reproducing legacy Mitigation section 4 (country, else world parameters; Balances efficiency and generation; CoC WACC; capex time factors, storage, income factor, shocks; settings from MTInputs); three legacy bugs still copied and queued (L52-L54). Build: no ETS goal seek (stored results of a new ETS at its price estimate).</w:t>
            </w:r>
          </w:p>
        </w:tc>
        <w:tc>
          <w:tcPr/>
          <w:p>
            <w:pPr>
              <w:pStyle w:val="Compact"/>
              <w:jc w:val="left"/>
            </w:pPr>
            <w:r>
              <w:t xml:space="preserve">see check report</w:t>
            </w:r>
          </w:p>
        </w:tc>
      </w:tr>
      <w:tr>
        <w:tc>
          <w:tcPr/>
          <w:p>
            <w:pPr>
              <w:pStyle w:val="Compact"/>
              <w:jc w:val="left"/>
            </w:pPr>
            <w:r>
              <w:t xml:space="preserve">4.8</w:t>
            </w:r>
          </w:p>
        </w:tc>
        <w:tc>
          <w:tcPr/>
          <w:p>
            <w:pPr>
              <w:pStyle w:val="Compact"/>
              <w:jc w:val="left"/>
            </w:pPr>
            <w:r>
              <w:t xml:space="preserve">2026-10-17</w:t>
            </w:r>
          </w:p>
        </w:tc>
        <w:tc>
          <w:tcPr/>
          <w:p>
            <w:pPr>
              <w:pStyle w:val="Compact"/>
              <w:jc w:val="left"/>
            </w:pPr>
            <w:r>
              <w:t xml:space="preserve">Distribution readability (user request): every section shows its band, its summary row last and one blank row (one row group per section; summaries: analysis year, options check, revenue, average indirect price change, average fuel price factor, energy budget share, total effect, total consumption, recycling gain, net effect, all overall); parameter columns C:G and I:K in column groups, rolled up; narrower columns (large totals shown in bn or m); zoom 75; scenario number row formatted as Mitigation.</w:t>
            </w:r>
          </w:p>
        </w:tc>
        <w:tc>
          <w:tcPr/>
          <w:p>
            <w:pPr>
              <w:pStyle w:val="Compact"/>
              <w:jc w:val="left"/>
            </w:pPr>
            <w:r>
              <w:t xml:space="preserve">see check report</w:t>
            </w:r>
          </w:p>
        </w:tc>
      </w:tr>
      <w:tr>
        <w:tc>
          <w:tcPr/>
          <w:p>
            <w:pPr>
              <w:pStyle w:val="Compact"/>
              <w:jc w:val="left"/>
            </w:pPr>
            <w:r>
              <w:t xml:space="preserve">4.9</w:t>
            </w:r>
          </w:p>
        </w:tc>
        <w:tc>
          <w:tcPr/>
          <w:p>
            <w:pPr>
              <w:pStyle w:val="Compact"/>
              <w:jc w:val="left"/>
            </w:pPr>
            <w:r>
              <w:t xml:space="preserve">2026-10-17</w:t>
            </w:r>
          </w:p>
        </w:tc>
        <w:tc>
          <w:tcPr/>
          <w:p>
            <w:pPr>
              <w:pStyle w:val="Compact"/>
              <w:jc w:val="left"/>
            </w:pPr>
            <w:r>
              <w:t xml:space="preserve">Faster full build (user rule: the full build as fast as possible): the baseline CO2 refresh and the emulation of RunAllScenarios run in one LibreOffice session (load once, recalculate in memory per scenario, read only the cells needed). Workbook as v4.8.</w:t>
            </w:r>
          </w:p>
        </w:tc>
        <w:tc>
          <w:tcPr/>
          <w:p>
            <w:pPr>
              <w:pStyle w:val="Compact"/>
              <w:jc w:val="left"/>
            </w:pPr>
            <w:r>
              <w:t xml:space="preserve">see check report</w:t>
            </w:r>
          </w:p>
        </w:tc>
      </w:tr>
      <w:tr>
        <w:tc>
          <w:tcPr/>
          <w:p>
            <w:pPr>
              <w:pStyle w:val="Compact"/>
              <w:jc w:val="left"/>
            </w:pPr>
            <w:r>
              <w:t xml:space="preserve">4.10</w:t>
            </w:r>
          </w:p>
        </w:tc>
        <w:tc>
          <w:tcPr/>
          <w:p>
            <w:pPr>
              <w:pStyle w:val="Compact"/>
              <w:jc w:val="left"/>
            </w:pPr>
            <w:r>
              <w:t xml:space="preserve">2026-10-18</w:t>
            </w:r>
          </w:p>
        </w:tc>
        <w:tc>
          <w:tcPr/>
          <w:p>
            <w:pPr>
              <w:pStyle w:val="Compact"/>
              <w:jc w:val="left"/>
            </w:pPr>
            <w:r>
              <w:t xml:space="preserve">Legacy bugs no longer replicated (user rule): L14 pass-through applied once (prices); power data step: L52 country parameters for every type, L53 actual capacity factors within the CFOverride bounds, L54 hydro from the base year only above a 50% share, L55 country rows from the country block, L56 default WACC without CoC risk data (flagged).</w:t>
            </w:r>
          </w:p>
        </w:tc>
        <w:tc>
          <w:tcPr/>
          <w:p>
            <w:pPr>
              <w:pStyle w:val="Compact"/>
              <w:jc w:val="left"/>
            </w:pPr>
            <w:r>
              <w:t xml:space="preserve">see check report</w:t>
            </w:r>
          </w:p>
        </w:tc>
      </w:tr>
      <w:tr>
        <w:tc>
          <w:tcPr/>
          <w:p>
            <w:pPr>
              <w:pStyle w:val="Compact"/>
              <w:jc w:val="left"/>
            </w:pPr>
            <w:r>
              <w:t xml:space="preserve">4.11</w:t>
            </w:r>
          </w:p>
        </w:tc>
        <w:tc>
          <w:tcPr/>
          <w:p>
            <w:pPr>
              <w:pStyle w:val="Compact"/>
              <w:jc w:val="left"/>
            </w:pPr>
            <w:r>
              <w:t xml:space="preserve">2026-10-18</w:t>
            </w:r>
          </w:p>
        </w:tc>
        <w:tc>
          <w:tcPr/>
          <w:p>
            <w:pPr>
              <w:pStyle w:val="Compact"/>
              <w:jc w:val="left"/>
            </w:pPr>
            <w:r>
              <w:t xml:space="preserve">Bugs and issues split (user decisions): CO2 calibrated to the inventory as legacy (switch on; inventory of the year before the base year; I32 replicated); food &amp; forestry split into food and forestry/agriculture as legacy (Balances info flows; LD53); register: new legacy bugs L57 (ETS quick estimate) and L58 (zero pollutant factors, was I27); LegacyDiff relabelled (bugs, same as legacy, data).</w:t>
            </w:r>
          </w:p>
        </w:tc>
        <w:tc>
          <w:tcPr/>
          <w:p>
            <w:pPr>
              <w:pStyle w:val="Compact"/>
              <w:jc w:val="left"/>
            </w:pPr>
            <w:r>
              <w:t xml:space="preserve">see check report</w:t>
            </w:r>
          </w:p>
        </w:tc>
      </w:tr>
      <w:tr>
        <w:tc>
          <w:tcPr/>
          <w:p>
            <w:pPr>
              <w:pStyle w:val="Compact"/>
              <w:jc w:val="left"/>
            </w:pPr>
            <w:r>
              <w:t xml:space="preserve">4.12</w:t>
            </w:r>
          </w:p>
        </w:tc>
        <w:tc>
          <w:tcPr/>
          <w:p>
            <w:pPr>
              <w:pStyle w:val="Compact"/>
              <w:jc w:val="left"/>
            </w:pPr>
            <w:r>
              <w:t xml:space="preserve">2026-10-18</w:t>
            </w:r>
          </w:p>
        </w:tc>
        <w:tc>
          <w:tcPr/>
          <w:p>
            <w:pPr>
              <w:pStyle w:val="Compact"/>
              <w:jc w:val="left"/>
            </w:pPr>
            <w:r>
              <w:t xml:space="preserve">User decisions: income factor on the GDP elasticity of fuel use as legacy (was I23); pollutant and CH4 factors of fuels without a GAINS factor from the nearest GAINS match (legacy bug L59, was I35); VAT on oil products x household share (OilProductShares, LD5, issue I39); road biofuels split by gasoline and diesel and feebate EF x fossil share (LD62, issue I40); methane fee switch per source and fee only in policy scenarios (LD46); existing carbon pricing with several schemes as legacy (I7/LD38); legacy bugs L60-L65; NORMS rule: main inputs on MTInputs.</w:t>
            </w:r>
          </w:p>
        </w:tc>
        <w:tc>
          <w:tcPr/>
          <w:p>
            <w:pPr>
              <w:pStyle w:val="Compact"/>
              <w:jc w:val="left"/>
            </w:pPr>
            <w:r>
              <w:t xml:space="preserve">see check report</w:t>
            </w:r>
          </w:p>
        </w:tc>
      </w:tr>
      <w:tr>
        <w:tc>
          <w:tcPr/>
          <w:p>
            <w:pPr>
              <w:pStyle w:val="Compact"/>
              <w:jc w:val="left"/>
            </w:pPr>
            <w:r>
              <w:t xml:space="preserve">4.13</w:t>
            </w:r>
          </w:p>
        </w:tc>
        <w:tc>
          <w:tcPr/>
          <w:p>
            <w:pPr>
              <w:pStyle w:val="Compact"/>
              <w:jc w:val="left"/>
            </w:pPr>
            <w:r>
              <w:t xml:space="preserve">2026-10-18</w:t>
            </w:r>
          </w:p>
        </w:tc>
        <w:tc>
          <w:tcPr/>
          <w:p>
            <w:pPr>
              <w:pStyle w:val="Compact"/>
              <w:jc w:val="left"/>
            </w:pPr>
            <w:r>
              <w:t xml:space="preserve">Residential biomass grows with income only if MTInputs BiomassNormal = Yes, as legacy (I24); additional policy-induced efficiency gains (MTInputs 243-245) in every fuel row by legacy group (LD21; row aef; legacy bug L66 fixed).</w:t>
            </w:r>
          </w:p>
        </w:tc>
        <w:tc>
          <w:tcPr/>
          <w:p>
            <w:pPr>
              <w:pStyle w:val="Compact"/>
              <w:jc w:val="left"/>
            </w:pPr>
            <w:r>
              <w:t xml:space="preserve">see check report</w:t>
            </w:r>
          </w:p>
        </w:tc>
      </w:tr>
      <w:tr>
        <w:tc>
          <w:tcPr/>
          <w:p>
            <w:pPr>
              <w:pStyle w:val="Compact"/>
              <w:jc w:val="left"/>
            </w:pPr>
            <w:r>
              <w:t xml:space="preserve">4.14</w:t>
            </w:r>
          </w:p>
        </w:tc>
        <w:tc>
          <w:tcPr/>
          <w:p>
            <w:pPr>
              <w:pStyle w:val="Compact"/>
              <w:jc w:val="left"/>
            </w:pPr>
            <w:r>
              <w:t xml:space="preserve">2026-10-18</w:t>
            </w:r>
          </w:p>
        </w:tc>
        <w:tc>
          <w:tcPr/>
          <w:p>
            <w:pPr>
              <w:pStyle w:val="Compact"/>
              <w:jc w:val="left"/>
            </w:pPr>
            <w:r>
              <w:t xml:space="preserve">Power: new capacity sized for next year’s required generation, when it comes online (legacy bug L67, was issue I8; LAMBDA NEEDNEXT).</w:t>
            </w:r>
          </w:p>
        </w:tc>
        <w:tc>
          <w:tcPr/>
          <w:p>
            <w:pPr>
              <w:pStyle w:val="Compact"/>
              <w:jc w:val="left"/>
            </w:pPr>
            <w:r>
              <w:t xml:space="preserve">see check report</w:t>
            </w:r>
          </w:p>
        </w:tc>
      </w:tr>
      <w:tr>
        <w:tc>
          <w:tcPr/>
          <w:p>
            <w:pPr>
              <w:pStyle w:val="Compact"/>
              <w:jc w:val="left"/>
            </w:pPr>
            <w:r>
              <w:t xml:space="preserve">4.15</w:t>
            </w:r>
          </w:p>
        </w:tc>
        <w:tc>
          <w:tcPr/>
          <w:p>
            <w:pPr>
              <w:pStyle w:val="Compact"/>
              <w:jc w:val="left"/>
            </w:pPr>
            <w:r>
              <w:t xml:space="preserve">2026-10-18</w:t>
            </w:r>
          </w:p>
        </w:tc>
        <w:tc>
          <w:tcPr/>
          <w:p>
            <w:pPr>
              <w:pStyle w:val="Compact"/>
              <w:jc w:val="left"/>
            </w:pPr>
            <w:r>
              <w:t xml:space="preserve">User decisions: ETS benchmarks = 1 - the MTInputs auctioned share (I21); legacy average prices as the default index (I31, Settings C54); total revenue by policy, block 12e (LD37); GDP fiscal space from total revenue with the legacy impulse and GDPStartYear (LD55); Estimated and Manual multipliers, sheet Manual inputs (LD56); legacy bugs L68-L73, L75-L80 registered and fixed.</w:t>
            </w:r>
          </w:p>
        </w:tc>
        <w:tc>
          <w:tcPr/>
          <w:p>
            <w:pPr>
              <w:pStyle w:val="Compact"/>
              <w:jc w:val="left"/>
            </w:pPr>
            <w:r>
              <w:t xml:space="preserve">see check report</w:t>
            </w:r>
          </w:p>
        </w:tc>
      </w:tr>
      <w:tr>
        <w:tc>
          <w:tcPr/>
          <w:p>
            <w:pPr>
              <w:pStyle w:val="Compact"/>
              <w:jc w:val="left"/>
            </w:pPr>
            <w:r>
              <w:t xml:space="preserve">4.16</w:t>
            </w:r>
          </w:p>
        </w:tc>
        <w:tc>
          <w:tcPr/>
          <w:p>
            <w:pPr>
              <w:pStyle w:val="Compact"/>
              <w:jc w:val="left"/>
            </w:pPr>
            <w:r>
              <w:t xml:space="preserve">2026-10-18</w:t>
            </w:r>
          </w:p>
        </w:tc>
        <w:tc>
          <w:tcPr/>
          <w:p>
            <w:pPr>
              <w:pStyle w:val="Compact"/>
              <w:jc w:val="left"/>
            </w:pPr>
            <w:r>
              <w:t xml:space="preserve">User decisions: consumer subsidy and price-control phase-outs and producer subsidies as separate policy lines by sector and fuel (LD18, LD19; wedges pcsw, ppcw, csw, pcw, revenue rsr, rpsu); regulations as shadow prices from the main scenario (LD9; legacy scenario table on Mapping); legacy bugs L81-L89, prototype bug M13 fixed.</w:t>
            </w:r>
          </w:p>
        </w:tc>
        <w:tc>
          <w:tcPr/>
          <w:p>
            <w:pPr>
              <w:pStyle w:val="Compact"/>
              <w:jc w:val="left"/>
            </w:pPr>
            <w:r>
              <w:t xml:space="preserve">see check report</w:t>
            </w:r>
          </w:p>
        </w:tc>
      </w:tr>
      <w:tr>
        <w:tc>
          <w:tcPr/>
          <w:p>
            <w:pPr>
              <w:pStyle w:val="Compact"/>
              <w:jc w:val="left"/>
            </w:pPr>
            <w:r>
              <w:t xml:space="preserve">5.0</w:t>
            </w:r>
          </w:p>
        </w:tc>
        <w:tc>
          <w:tcPr/>
          <w:p>
            <w:pPr>
              <w:pStyle w:val="Compact"/>
              <w:jc w:val="left"/>
            </w:pPr>
            <w:r>
              <w:t xml:space="preserve">2026-10-18</w:t>
            </w:r>
          </w:p>
        </w:tc>
        <w:tc>
          <w:tcPr/>
          <w:p>
            <w:pPr>
              <w:pStyle w:val="Compact"/>
              <w:jc w:val="left"/>
            </w:pPr>
            <w:r>
              <w:t xml:space="preserve">Release 5.0 (user: bump everything to v5.0, consistent): the overnight decisions of v4.15-v4.16 consolidated; every file renamed v5_5; fis.rev adds its parts (no circular reference through the methane fee); txfx in the LAMBDA group by FIXEDPART; the bug-fixing procedure and register in one Word file.</w:t>
            </w:r>
          </w:p>
        </w:tc>
        <w:tc>
          <w:tcPr/>
          <w:p>
            <w:pPr>
              <w:pStyle w:val="Compact"/>
              <w:jc w:val="left"/>
            </w:pPr>
            <w:r>
              <w:t xml:space="preserve">see check report</w:t>
            </w:r>
          </w:p>
        </w:tc>
      </w:tr>
      <w:tr>
        <w:tc>
          <w:tcPr/>
          <w:p>
            <w:pPr>
              <w:pStyle w:val="Compact"/>
              <w:jc w:val="left"/>
            </w:pPr>
            <w:r>
              <w:t xml:space="preserve">5.1</w:t>
            </w:r>
          </w:p>
        </w:tc>
        <w:tc>
          <w:tcPr/>
          <w:p>
            <w:pPr>
              <w:pStyle w:val="Compact"/>
              <w:jc w:val="left"/>
            </w:pPr>
            <w:r>
              <w:t xml:space="preserve">2026-10-18</w:t>
            </w:r>
          </w:p>
        </w:tc>
        <w:tc>
          <w:tcPr/>
          <w:p>
            <w:pPr>
              <w:pStyle w:val="Compact"/>
              <w:jc w:val="left"/>
            </w:pPr>
            <w:r>
              <w:t xml:space="preserve">Residential LPG and kerosene always exempted (MTInputs AlwaysExemptResLPGKer, per scenario: no new carbon tax, ETS or excise, nor their VAT; rows exf, Inputs exg; D16) and residential leakage of the most-used cooking fuel to biomass (MTInputs BiomassLeakage, Settings C59; section 6b; D9), as legacy rows 5546-5547 and 5571-5593 with legacy bugs L45, L48 (starred test), L90, L91 fixed; both off by default.</w:t>
            </w:r>
          </w:p>
        </w:tc>
        <w:tc>
          <w:tcPr/>
          <w:p>
            <w:pPr>
              <w:pStyle w:val="Compact"/>
              <w:jc w:val="left"/>
            </w:pPr>
            <w:r>
              <w:t xml:space="preserve">0 on every shared code (defaults No*, No; see check report)</w:t>
            </w:r>
          </w:p>
        </w:tc>
      </w:tr>
      <w:tr>
        <w:tc>
          <w:tcPr/>
          <w:p>
            <w:pPr>
              <w:pStyle w:val="Compact"/>
              <w:jc w:val="left"/>
            </w:pPr>
            <w:r>
              <w:t xml:space="preserve">5.2</w:t>
            </w:r>
          </w:p>
        </w:tc>
        <w:tc>
          <w:tcPr/>
          <w:p>
            <w:pPr>
              <w:pStyle w:val="Compact"/>
              <w:jc w:val="left"/>
            </w:pPr>
            <w:r>
              <w:t xml:space="preserve">2026-10-19</w:t>
            </w:r>
          </w:p>
        </w:tc>
        <w:tc>
          <w:tcPr/>
          <w:p>
            <w:pPr>
              <w:pStyle w:val="Compact"/>
              <w:jc w:val="left"/>
            </w:pPr>
            <w:r>
              <w:t xml:space="preserve">Whole legacy Manual inputs tab at the legacy addresses (17 blocks, rows 5-378; paste the legacy tab from row 3; a note per block says what reads it). Moved there and read from there, values unchanged: ETS goal-seek settings E10:E12 (macro and Python; were constants), price controls J167:J180 (were PassManual), methane fee scope J196:J200 (were Settings C47:C51), manual international prices D221:AF225 (were typed on Inputs_pint), non-energy GHG elasticities K326:M327 (were Constants), fuel economy of new BEVs J375:AC377 (was TransportPaths). The other blocks are placed, not read.</w:t>
            </w:r>
          </w:p>
        </w:tc>
        <w:tc>
          <w:tcPr/>
          <w:p>
            <w:pPr>
              <w:pStyle w:val="Compact"/>
              <w:jc w:val="left"/>
            </w:pPr>
            <w:r>
              <w:t xml:space="preserve">0 on every shared code (see check report)</w:t>
            </w:r>
          </w:p>
        </w:tc>
      </w:tr>
      <w:tr>
        <w:tc>
          <w:tcPr/>
          <w:p>
            <w:pPr>
              <w:pStyle w:val="Compact"/>
              <w:jc w:val="left"/>
            </w:pPr>
            <w:r>
              <w:t xml:space="preserve">5.3</w:t>
            </w:r>
          </w:p>
        </w:tc>
        <w:tc>
          <w:tcPr/>
          <w:p>
            <w:pPr>
              <w:pStyle w:val="Compact"/>
              <w:jc w:val="left"/>
            </w:pPr>
            <w:r>
              <w:t xml:space="preserve">2026-10-19</w:t>
            </w:r>
          </w:p>
        </w:tc>
        <w:tc>
          <w:tcPr/>
          <w:p>
            <w:pPr>
              <w:pStyle w:val="Compact"/>
              <w:jc w:val="left"/>
            </w:pPr>
            <w:r>
              <w:t xml:space="preserve">Full check repaired (independent Python power data step with the v4.10 fixes L52-L55, missing recomputations, stale expectations); the LAMBDA library texts of the power pollutant rows re-pointed (prototype bug M14); the first-run test reports new-ETS definitions (stored without goal seek) as a memo instead of a difference.</w:t>
            </w:r>
          </w:p>
        </w:tc>
        <w:tc>
          <w:tcPr/>
          <w:p>
            <w:pPr>
              <w:pStyle w:val="Compact"/>
              <w:jc w:val="left"/>
            </w:pPr>
            <w:r>
              <w:t xml:space="preserve">see check report</w:t>
            </w:r>
          </w:p>
        </w:tc>
      </w:tr>
      <w:tr>
        <w:tc>
          <w:tcPr/>
          <w:p>
            <w:pPr>
              <w:pStyle w:val="Compact"/>
              <w:jc w:val="left"/>
            </w:pPr>
            <w:r>
              <w:t xml:space="preserve">5.4</w:t>
            </w:r>
          </w:p>
        </w:tc>
        <w:tc>
          <w:tcPr/>
          <w:p>
            <w:pPr>
              <w:pStyle w:val="Compact"/>
              <w:jc w:val="left"/>
            </w:pPr>
            <w:r>
              <w:t xml:space="preserve">2026-10-19</w:t>
            </w:r>
          </w:p>
        </w:tc>
        <w:tc>
          <w:tcPr/>
          <w:p>
            <w:pPr>
              <w:pStyle w:val="Compact"/>
              <w:jc w:val="left"/>
            </w:pPr>
            <w:r>
              <w:t xml:space="preserve">Power engineer features (PowerFeatures_Plan P1, P2, P4): every MTInputs power input read in the scenario’s own column (section-1 rows; section 3 sub-table A0 applies them to the power data: capacity factor, efficiency, WACC, lifetime factor, permits, start years, scale-up and retirement rates); final deficit to gas (Settings C45, legacy E4248, default No); MaximumGasCF caps gas; LongTermStorageFor100pcVRE scales long-term storage; PPAs for coal and gas; renewable subsidies (own start year, MTInputs row 482: L107; revenue once: L108); power revenue rebate; electricity excise (scenario Electricity excise; manual excise of Manual inputs rows 161-162 with AdditionalExcise). Defaults keep Egypt’s results.</w:t>
            </w:r>
          </w:p>
        </w:tc>
        <w:tc>
          <w:tcPr/>
          <w:p>
            <w:pPr>
              <w:pStyle w:val="Compact"/>
              <w:jc w:val="left"/>
            </w:pPr>
            <w:r>
              <w:t xml:space="preserve">0 on every shared code (see check report)</w:t>
            </w:r>
          </w:p>
        </w:tc>
      </w:tr>
      <w:tr>
        <w:tc>
          <w:tcPr/>
          <w:p>
            <w:pPr>
              <w:pStyle w:val="Compact"/>
              <w:jc w:val="left"/>
            </w:pPr>
            <w:r>
              <w:t xml:space="preserve">5.5</w:t>
            </w:r>
          </w:p>
        </w:tc>
        <w:tc>
          <w:tcPr/>
          <w:p>
            <w:pPr>
              <w:pStyle w:val="Compact"/>
              <w:jc w:val="left"/>
            </w:pPr>
            <w:r>
              <w:t xml:space="preserve">2026-10-19</w:t>
            </w:r>
          </w:p>
        </w:tc>
        <w:tc>
          <w:tcPr/>
          <w:p>
            <w:pPr>
              <w:pStyle w:val="Compact"/>
              <w:jc w:val="left"/>
            </w:pPr>
            <w:r>
              <w:t xml:space="preserve">Register and documents: cell-level fix plans for the 15 engineer-power bugs (legacy_bugfix_plans); L87 and L50 texts corrected from the .xlsb; new legacy bug L112 (policy copies of the shadow-price rows read the baseline carbon price). Model unchanged.</w:t>
            </w:r>
          </w:p>
        </w:tc>
        <w:tc>
          <w:tcPr/>
          <w:p>
            <w:pPr>
              <w:pStyle w:val="Compact"/>
              <w:jc w:val="left"/>
            </w:pPr>
            <w:r>
              <w:t xml:space="preserve">0 on every shared code (see check report)</w:t>
            </w:r>
          </w:p>
        </w:tc>
      </w:tr>
      <w:tr>
        <w:tc>
          <w:tcPr/>
          <w:p>
            <w:pPr>
              <w:pStyle w:val="Compact"/>
              <w:jc w:val="left"/>
            </w:pPr>
            <w:r>
              <w:t xml:space="preserve">5.6</w:t>
            </w:r>
          </w:p>
        </w:tc>
        <w:tc>
          <w:tcPr/>
          <w:p>
            <w:pPr>
              <w:pStyle w:val="Compact"/>
              <w:jc w:val="left"/>
            </w:pPr>
            <w:r>
              <w:t xml:space="preserve">2026-10-19</w:t>
            </w:r>
          </w:p>
        </w:tc>
        <w:tc>
          <w:tcPr/>
          <w:p>
            <w:pPr>
              <w:pStyle w:val="Compact"/>
              <w:jc w:val="left"/>
            </w:pPr>
            <w:r>
              <w:t xml:space="preserve">Also: Settings C27, C36-C39 read MTInputs; scope rows per scenario (biomass coverage, phase-out scopes); I66 fuel production for supply methane as legacy; initially exempt residential demand (12b); nominal GDP (12d); Europe gas shift to LNG (LD20). Power P3 (manual capacity and investment, Manual inputs 349-371; L118 fixed) and P5 (coal implicit cost with GoalSeekCoal and the tariff switch PwCoalICTariff; memo rows fce, cik, swi, swd); I59 (electricity fuel price reform in the excise) and I60 (price floor) replicated; L114 fixed (renewable subsidy inputs nominal to real); exemption phase-out of uncovered fuels and sectors (LegacyDiff 67, part); MTInputs appendix blocks A-D (global rows; Settings, Constants and TransportParams read them)</w:t>
            </w:r>
          </w:p>
        </w:tc>
        <w:tc>
          <w:tcPr/>
          <w:p>
            <w:pPr>
              <w:pStyle w:val="Compact"/>
              <w:jc w:val="left"/>
            </w:pPr>
            <w:r>
              <w:t xml:space="preserve">Egypt unchanged at the defaults (see check report)</w:t>
            </w:r>
          </w:p>
        </w:tc>
      </w:tr>
      <w:tr>
        <w:tc>
          <w:tcPr/>
          <w:p>
            <w:pPr>
              <w:pStyle w:val="Compact"/>
              <w:jc w:val="left"/>
            </w:pPr>
            <w:r>
              <w:t xml:space="preserve">5.7</w:t>
            </w:r>
          </w:p>
        </w:tc>
        <w:tc>
          <w:tcPr/>
          <w:p>
            <w:pPr>
              <w:pStyle w:val="Compact"/>
              <w:jc w:val="left"/>
            </w:pPr>
            <w:r>
              <w:t xml:space="preserve">2026-10-19</w:t>
            </w:r>
          </w:p>
        </w:tc>
        <w:tc>
          <w:tcPr/>
          <w:p>
            <w:pPr>
              <w:pStyle w:val="Compact"/>
              <w:jc w:val="left"/>
            </w:pPr>
            <w:r>
              <w:t xml:space="preserve">Results blocks (item 8 A+B): 14c NDC comparison (sheets NDCs and GHGHist from legacy; MTInputs NDCs, NDCTargetYear, Conditionality; five NDC types; targets incl. LULUCF, index, reduction against scenario 1, share of the NDC reduction achieved, distance to the target; legacy bugs L119-L123 fixed; no goal seek); section 16 memo rows (growth effect by revenue use, by year of the reform, change in GDP level; legacy F4). Section 3 memo (F6) already covered by fce, cik, swi, swd (v5.6).</w:t>
            </w:r>
          </w:p>
        </w:tc>
        <w:tc>
          <w:tcPr/>
          <w:p>
            <w:pPr>
              <w:pStyle w:val="Compact"/>
            </w:pPr>
          </w:p>
        </w:tc>
      </w:tr>
      <w:tr>
        <w:tc>
          <w:tcPr/>
          <w:p>
            <w:pPr>
              <w:pStyle w:val="Compact"/>
              <w:jc w:val="left"/>
            </w:pPr>
            <w:r>
              <w:t xml:space="preserve">6.0</w:t>
            </w:r>
          </w:p>
        </w:tc>
        <w:tc>
          <w:tcPr/>
          <w:p>
            <w:pPr>
              <w:pStyle w:val="Compact"/>
              <w:jc w:val="left"/>
            </w:pPr>
            <w:r>
              <w:t xml:space="preserve">2026-10-19</w:t>
            </w:r>
          </w:p>
        </w:tc>
        <w:tc>
          <w:tcPr/>
          <w:p>
            <w:pPr>
              <w:pStyle w:val="Compact"/>
              <w:jc w:val="left"/>
            </w:pPr>
            <w:r>
              <w:t xml:space="preserve">Consolidated release of v5.0-v5.7 (full rebuild, full check). Also: distribution as legacy (ASPIRE and poverty-line transfers, median flags, chart outputs, production-sector prices and top-20 ranking; bugs D10-D31 fixed); I43 replicated (revenue uses count impulses from CPIntro: rows fis.impp, fis.lagp), I33 (data step keeps the corrected Egypt prices, LF line ends), I68 in part (Intensity NDCs: real GDP from sheet WEO, 2000-2040); I47 methane intensities as legacy (fee revenue outside the fiscal space: circular).</w:t>
            </w:r>
          </w:p>
        </w:tc>
        <w:tc>
          <w:tcPr/>
          <w:p>
            <w:pPr>
              <w:pStyle w:val="Compact"/>
            </w:pPr>
          </w:p>
        </w:tc>
      </w:tr>
      <w:tr>
        <w:tc>
          <w:tcPr/>
          <w:p>
            <w:pPr>
              <w:pStyle w:val="Compact"/>
              <w:jc w:val="left"/>
            </w:pPr>
            <w:r>
              <w:t xml:space="preserve">6.1</w:t>
            </w:r>
          </w:p>
        </w:tc>
        <w:tc>
          <w:tcPr/>
          <w:p>
            <w:pPr>
              <w:pStyle w:val="Compact"/>
              <w:jc w:val="left"/>
            </w:pPr>
            <w:r>
              <w:t xml:space="preserve">2026-10-20</w:t>
            </w:r>
          </w:p>
        </w:tc>
        <w:tc>
          <w:tcPr/>
          <w:p>
            <w:pPr>
              <w:pStyle w:val="Compact"/>
              <w:jc w:val="left"/>
            </w:pPr>
            <w:r>
              <w:t xml:space="preserve">Open items without new data: I49 producer subsidies enter the supply cost as legacy (rows psd, psu, block row psp; legacy bugs L124, L125 fixed); I47 methane fee in the fiscal space on the stored scenario-1 gas and biomass activity (sheet BaselineCO2 rows dg, bm; rows ch4.emf, ch4.revf, check ch4b.chk); I68 NDC reference years 2021-2024 from the GHGs inventory (ndc.hc, ndc.hv); I46 closed (renewable subsidies since v5.4; transport dropped). Dropped by the user: I28, I61-I63, air-pollution co-benefits (I69), transport externalities (I70).</w:t>
            </w:r>
          </w:p>
        </w:tc>
        <w:tc>
          <w:tcPr/>
          <w:p>
            <w:pPr>
              <w:pStyle w:val="Compact"/>
            </w:pPr>
          </w:p>
        </w:tc>
      </w:tr>
      <w:tr>
        <w:tc>
          <w:tcPr/>
          <w:p>
            <w:pPr>
              <w:pStyle w:val="Compact"/>
              <w:jc w:val="left"/>
            </w:pPr>
            <w:r>
              <w:t xml:space="preserve">6.2</w:t>
            </w:r>
          </w:p>
        </w:tc>
        <w:tc>
          <w:tcPr/>
          <w:p>
            <w:pPr>
              <w:pStyle w:val="Compact"/>
              <w:jc w:val="left"/>
            </w:pPr>
            <w:r>
              <w:t xml:space="preserve">2026-10-20</w:t>
            </w:r>
          </w:p>
        </w:tc>
        <w:tc>
          <w:tcPr/>
          <w:p>
            <w:pPr>
              <w:pStyle w:val="Compact"/>
              <w:jc w:val="left"/>
            </w:pPr>
            <w:r>
              <w:t xml:space="preserve">User decisions 2026-10-20: subsidy reforms always separate from the before-tax build-up: the producer subsidy phase-out is the wedge ppsw (block) / psw (subsector) x pass-through, the supply cost keeps the existing producer subsidy (psp, now $/GJ: the oil value was per price unit in v6.1); legacy bug L67 fixed without look-ahead: investment sized on this year’s required generation x (1 + growth from last year) (no later year is read); price-block averages bounded to the subsector rows (their ranges ran into section 11: the cause of the v6.0 circular reference); methane fee in the fiscal space kept on the stored scenario-1 gas and biomass activity (I47: no vulnerability to circular references); new issues I62 (partial adjustment, reinstated) and I71 (fuel use on total GDP).</w:t>
            </w:r>
          </w:p>
        </w:tc>
        <w:tc>
          <w:tcPr/>
          <w:p>
            <w:pPr>
              <w:pStyle w:val="Compact"/>
            </w:pPr>
          </w:p>
        </w:tc>
      </w:tr>
      <w:tr>
        <w:tc>
          <w:tcPr/>
          <w:p>
            <w:pPr>
              <w:pStyle w:val="Compact"/>
              <w:jc w:val="left"/>
            </w:pPr>
            <w:r>
              <w:t xml:space="preserve">6.3</w:t>
            </w:r>
          </w:p>
        </w:tc>
        <w:tc>
          <w:tcPr/>
          <w:p>
            <w:pPr>
              <w:pStyle w:val="Compact"/>
              <w:jc w:val="left"/>
            </w:pPr>
            <w:r>
              <w:t xml:space="preserve">2026-10-20</w:t>
            </w:r>
          </w:p>
        </w:tc>
        <w:tc>
          <w:tcPr/>
          <w:p>
            <w:pPr>
              <w:pStyle w:val="Compact"/>
              <w:jc w:val="left"/>
            </w:pPr>
            <w:r>
              <w:t xml:space="preserve">Excel repair fixed: Excel repaired every earlier version on open (</w:t>
            </w:r>
            <w:r>
              <w:t xml:space="preserve">“</w:t>
            </w:r>
            <w:r>
              <w:t xml:space="preserve">Named range from /xl/workbook.xml</w:t>
            </w:r>
            <w:r>
              <w:t xml:space="preserve">”</w:t>
            </w:r>
            <w:r>
              <w:t xml:space="preserve">): the comment of the LAMBDA name FUELUSE had 305 characters (Excel limit 255); shortened, and the build now asserts every name comment is at most 255. Variants without VBA, without LAMBDAs and both. I62 and I71 accepted: legacy issues, high priority for the CPAT team, not for the MVP. Model results unchanged from v6.2.</w:t>
            </w:r>
          </w:p>
        </w:tc>
        <w:tc>
          <w:tcPr/>
          <w:p>
            <w:pPr>
              <w:pStyle w:val="Compact"/>
            </w:pPr>
          </w:p>
        </w:tc>
      </w:tr>
      <w:tr>
        <w:tc>
          <w:tcPr/>
          <w:p>
            <w:pPr>
              <w:pStyle w:val="Compact"/>
              <w:jc w:val="left"/>
            </w:pPr>
            <w:r>
              <w:t xml:space="preserve">6.4</w:t>
            </w:r>
          </w:p>
        </w:tc>
        <w:tc>
          <w:tcPr/>
          <w:p>
            <w:pPr>
              <w:pStyle w:val="Compact"/>
              <w:jc w:val="left"/>
            </w:pPr>
            <w:r>
              <w:t xml:space="preserve">2026-10-20</w:t>
            </w:r>
          </w:p>
        </w:tc>
        <w:tc>
          <w:tcPr/>
          <w:p>
            <w:pPr>
              <w:pStyle w:val="Compact"/>
              <w:jc w:val="left"/>
            </w:pPr>
            <w:r>
              <w:t xml:space="preserve">Dashboard on ScenarioCompare: every macro button there (none on the reference tab); the scenario slots fill themselves with the stored IDs in order, so a copied definition shows once run; 8 line charts over time of the baseline and the slots, from a chart-data block (#N/A = empty slot, a gap in the chart). Model results unchanged from v6.3.</w:t>
            </w:r>
          </w:p>
        </w:tc>
        <w:tc>
          <w:tcPr/>
          <w:p>
            <w:pPr>
              <w:pStyle w:val="Compact"/>
            </w:pPr>
          </w:p>
        </w:tc>
      </w:tr>
      <w:tr>
        <w:tc>
          <w:tcPr/>
          <w:p>
            <w:pPr>
              <w:pStyle w:val="Compact"/>
              <w:jc w:val="left"/>
            </w:pPr>
            <w:r>
              <w:t xml:space="preserve">6.5</w:t>
            </w:r>
          </w:p>
        </w:tc>
        <w:tc>
          <w:tcPr/>
          <w:p>
            <w:pPr>
              <w:pStyle w:val="Compact"/>
              <w:jc w:val="left"/>
            </w:pPr>
            <w:r>
              <w:t xml:space="preserve">2026-10-20</w:t>
            </w:r>
          </w:p>
        </w:tc>
        <w:tc>
          <w:tcPr/>
          <w:p>
            <w:pPr>
              <w:pStyle w:val="Compact"/>
              <w:jc w:val="left"/>
            </w:pPr>
            <w:r>
              <w:t xml:space="preserve">Linked data tables, first one (MVP): sheet DataLinks with a data-source dropdown (Embedded = shipped data, default; Dummy - local file; Dummy - SharePoint) and the macro UpdateDataTables (one button), which refreshes Balances for the country with Power Query from the data workbook table L_Balances. Macros CalculationOn/Off. Model results unchanged from v6.4 (Embedded).</w:t>
            </w:r>
          </w:p>
        </w:tc>
        <w:tc>
          <w:tcPr/>
          <w:p>
            <w:pPr>
              <w:pStyle w:val="Compact"/>
            </w:pPr>
          </w:p>
        </w:tc>
      </w:tr>
      <w:tr>
        <w:tc>
          <w:tcPr/>
          <w:p>
            <w:pPr>
              <w:pStyle w:val="Compact"/>
              <w:jc w:val="left"/>
            </w:pPr>
            <w:r>
              <w:t xml:space="preserve">6.6</w:t>
            </w:r>
          </w:p>
        </w:tc>
        <w:tc>
          <w:tcPr/>
          <w:p>
            <w:pPr>
              <w:pStyle w:val="Compact"/>
              <w:jc w:val="left"/>
            </w:pPr>
            <w:r>
              <w:t xml:space="preserve">2026-10-21</w:t>
            </w:r>
          </w:p>
        </w:tc>
        <w:tc>
          <w:tcPr/>
          <w:p>
            <w:pPr>
              <w:pStyle w:val="Compact"/>
              <w:jc w:val="left"/>
            </w:pPr>
            <w:r>
              <w:t xml:space="preserve">Speed: the workbook ships with its calculated values and opens in manual calculation (no recalculation on open; buttons Recalculate now, timed, and Recalculation on/off). Two scenario groups on Mitigation and Distribution (was three): group 1 the baseline (plain formulas), group 2 the live scenario calling the named LAMBDAs (the LAMBDA test group 3 and sheet LambdaTest dropped; more groups by copy-paste). TRAILAVG and LAGVALUE use INDEX instead of the volatile OFFSET; the CH4/air-pollutant factor check uses a key MATCH instead of COUNTIFS. Results unchanged from v6.5.</w:t>
            </w:r>
          </w:p>
        </w:tc>
        <w:tc>
          <w:tcPr/>
          <w:p>
            <w:pPr>
              <w:pStyle w:val="Compact"/>
            </w:pPr>
          </w:p>
        </w:tc>
      </w:tr>
      <w:tr>
        <w:tc>
          <w:tcPr/>
          <w:p>
            <w:pPr>
              <w:pStyle w:val="Compact"/>
              <w:jc w:val="left"/>
            </w:pPr>
            <w:r>
              <w:t xml:space="preserve">6.7</w:t>
            </w:r>
          </w:p>
        </w:tc>
        <w:tc>
          <w:tcPr/>
          <w:p>
            <w:pPr>
              <w:pStyle w:val="Compact"/>
              <w:jc w:val="left"/>
            </w:pPr>
            <w:r>
              <w:t xml:space="preserve">2026-10-21</w:t>
            </w:r>
          </w:p>
        </w:tc>
        <w:tc>
          <w:tcPr/>
          <w:p>
            <w:pPr>
              <w:pStyle w:val="Compact"/>
              <w:jc w:val="left"/>
            </w:pPr>
            <w:r>
              <w:t xml:space="preserve">Dashboard: front tabs Cover (with the status of the linked data tables, was sheet DataLinks), ScenarioCompare (every user entry: Live or Stored results, year, data source; key results vs the baseline, one bar chart, time series with their chart beside them, indicator dropdowns, no indices; core and other buttons) and ScenarioDefinition (was MTInputs; short names in row 2 for the legends, blank scenario columns grouped). MTOutputs renamed LiveOutputs (room for 12 scenario blocks), StoredResults renamed StoredOutputs (sorted, like variables together; every lookup by output code). Charts tab removed. Macros RefreshDashboard, SortStoredOutputs, GroupBlankScenarios. Fixed: v6.6 stored the definitions empty (the batch copy blanked the live group). Results unchanged.</w:t>
            </w:r>
          </w:p>
        </w:tc>
        <w:tc>
          <w:tcPr/>
          <w:p>
            <w:pPr>
              <w:pStyle w:val="Compact"/>
            </w:pPr>
          </w:p>
        </w:tc>
      </w:tr>
      <w:tr>
        <w:tc>
          <w:tcPr/>
          <w:p>
            <w:pPr>
              <w:pStyle w:val="Compact"/>
              <w:jc w:val="left"/>
            </w:pPr>
            <w:r>
              <w:t xml:space="preserve">7.0</w:t>
            </w:r>
          </w:p>
        </w:tc>
        <w:tc>
          <w:tcPr/>
          <w:p>
            <w:pPr>
              <w:pStyle w:val="Compact"/>
              <w:jc w:val="left"/>
            </w:pPr>
            <w:r>
              <w:t xml:space="preserve">2026-10-21</w:t>
            </w:r>
          </w:p>
        </w:tc>
        <w:tc>
          <w:tcPr/>
          <w:p>
            <w:pPr>
              <w:pStyle w:val="Compact"/>
              <w:jc w:val="left"/>
            </w:pPr>
            <w:r>
              <w:t xml:space="preserve">Release 7.0: v6.6 (speed: values shipped, manual calculation, two scenario groups) and v6.7 (the dashboard) with a full rebuild and full check; every script, note and document of the release carries version 7.0 (v6.4 scripts and notes to Old/). Results unchanged.</w:t>
            </w:r>
          </w:p>
        </w:tc>
        <w:tc>
          <w:tcPr/>
          <w:p>
            <w:pPr>
              <w:pStyle w:val="Compact"/>
            </w:pPr>
          </w:p>
        </w:tc>
      </w:tr>
      <w:tr>
        <w:tc>
          <w:tcPr/>
          <w:p>
            <w:pPr>
              <w:pStyle w:val="Compact"/>
              <w:jc w:val="left"/>
            </w:pPr>
            <w:r>
              <w:t xml:space="preserve">7.1</w:t>
            </w:r>
          </w:p>
        </w:tc>
        <w:tc>
          <w:tcPr/>
          <w:p>
            <w:pPr>
              <w:pStyle w:val="Compact"/>
              <w:jc w:val="left"/>
            </w:pPr>
            <w:r>
              <w:t xml:space="preserve">2026-10-21</w:t>
            </w:r>
          </w:p>
        </w:tc>
        <w:tc>
          <w:tcPr/>
          <w:p>
            <w:pPr>
              <w:pStyle w:val="Compact"/>
              <w:jc w:val="left"/>
            </w:pPr>
            <w:r>
              <w:t xml:space="preserve">Linked data tables: nine tabs refresh from the data workbook (was Balances only): Balances, EnergyCons, Prices_dom, HHSurvey, IO_GTAP, HH_Elast (rows of the country) and WEO, GDPRatios, UNPop (all rows: other countries and regions are used). The macro UpdateDataTables loads each table in a staging sheet and copies it by column name (any column order in the data workbook; the tab keeps its header row and formula columns; MVP columns missing in the table are reported); with no rows the shipped data stay. Data workbook: L_WEO, L_GDPRatios, L_HH_Elast, L_UNPop added. Shipped results unchanged.</w:t>
            </w:r>
          </w:p>
        </w:tc>
        <w:tc>
          <w:tcPr/>
          <w:p>
            <w:pPr>
              <w:pStyle w:val="Compact"/>
            </w:pPr>
          </w:p>
        </w:tc>
      </w:tr>
      <w:tr>
        <w:tc>
          <w:tcPr/>
          <w:p>
            <w:pPr>
              <w:pStyle w:val="Compact"/>
              <w:jc w:val="left"/>
            </w:pPr>
            <w:r>
              <w:t xml:space="preserve">7.2</w:t>
            </w:r>
          </w:p>
        </w:tc>
        <w:tc>
          <w:tcPr/>
          <w:p>
            <w:pPr>
              <w:pStyle w:val="Compact"/>
              <w:jc w:val="left"/>
            </w:pPr>
            <w:r>
              <w:t xml:space="preserve">2026-10-22</w:t>
            </w:r>
          </w:p>
        </w:tc>
        <w:tc>
          <w:tcPr/>
          <w:p>
            <w:pPr>
              <w:pStyle w:val="Compact"/>
              <w:jc w:val="left"/>
            </w:pPr>
            <w:r>
              <w:t xml:space="preserve">Codes (CPAT code protocol, plan R0-R9): one rename map (cpat_data/mvp_legacy_extracts/code_renames_v7_2.csv) applied where text is written: Mitigation columns A-C, the Variables key and code suffix, the LAMBDA list, the output code stems. Checked by check_codes_v7_2.py (every cell against the last release through the map; values recalculated). Results unchanged.</w:t>
            </w:r>
          </w:p>
        </w:tc>
        <w:tc>
          <w:tcPr/>
          <w:p>
            <w:pPr>
              <w:pStyle w:val="Compact"/>
            </w:pPr>
          </w:p>
        </w:tc>
      </w:tr>
    </w:tbl>
    <w:bookmarkEnd w:id="145"/>
    <w:bookmarkStart w:id="146" w:name="appendix-b.-verification"/>
    <w:p>
      <w:pPr>
        <w:pStyle w:val="Heading1"/>
      </w:pPr>
      <w:r>
        <w:t xml:space="preserve">Appendix B. Verification</w:t>
      </w:r>
    </w:p>
    <w:p>
      <w:pPr>
        <w:pStyle w:val="FirstParagraph"/>
      </w:pPr>
      <w:r>
        <w:rPr>
          <w:iCs/>
          <w:i/>
        </w:rPr>
        <w:t xml:space="preserve">Source:</w:t>
      </w:r>
      <w:r>
        <w:rPr>
          <w:iCs/>
          <w:i/>
        </w:rPr>
        <w:t xml:space="preserve"> </w:t>
      </w:r>
      <w:r>
        <w:rPr>
          <w:rStyle w:val="VerbatimChar"/>
          <w:iCs/>
          <w:i/>
        </w:rPr>
        <w:t xml:space="preserve">check_report_v7.2.md</w:t>
      </w:r>
      <w:r>
        <w:rPr>
          <w:iCs/>
          <w:i/>
        </w:rPr>
        <w:t xml:space="preserve"> </w:t>
      </w:r>
      <w:r>
        <w:rPr>
          <w:iCs/>
          <w:i/>
        </w:rPr>
        <w:t xml:space="preserve">(</w:t>
      </w:r>
      <w:r>
        <w:rPr>
          <w:rStyle w:val="VerbatimChar"/>
          <w:iCs/>
          <w:i/>
        </w:rPr>
        <w:t xml:space="preserve">python check_v7_0.py</w:t>
      </w:r>
      <w:r>
        <w:rPr>
          <w:iCs/>
          <w:i/>
        </w:rPr>
        <w:t xml:space="preserve">, LibreOffice recalculation). Every check section and its result:</w:t>
      </w:r>
    </w:p>
    <w:tbl>
      <w:tblPr>
        <w:tblStyle w:val="Table"/>
        <w:tblW w:type="pct" w:w="5000"/>
        <w:tblLook w:firstRow="1" w:lastRow="0" w:firstColumn="0" w:lastColumn="0" w:noHBand="0" w:noVBand="0" w:val="0020"/>
        <w:jc w:val="start"/>
      </w:tblPr>
      <w:tblGrid>
        <w:gridCol w:w="5280"/>
        <w:gridCol w:w="1320"/>
        <w:gridCol w:w="1320"/>
      </w:tblGrid>
      <w:tr>
        <w:trPr>
          <w:tblHeader w:val="true"/>
        </w:trPr>
        <w:tc>
          <w:tcPr/>
          <w:p>
            <w:pPr>
              <w:pStyle w:val="Compact"/>
              <w:jc w:val="left"/>
            </w:pPr>
            <w:r>
              <w:t xml:space="preserve">Check section</w:t>
            </w:r>
          </w:p>
        </w:tc>
        <w:tc>
          <w:tcPr/>
          <w:p>
            <w:pPr>
              <w:pStyle w:val="Compact"/>
              <w:jc w:val="left"/>
            </w:pPr>
            <w:r>
              <w:t xml:space="preserve">Checks OK</w:t>
            </w:r>
          </w:p>
        </w:tc>
        <w:tc>
          <w:tcPr/>
          <w:p>
            <w:pPr>
              <w:pStyle w:val="Compact"/>
              <w:jc w:val="left"/>
            </w:pPr>
            <w:r>
              <w:t xml:space="preserve">Checks failed</w:t>
            </w:r>
          </w:p>
        </w:tc>
      </w:tr>
      <w:tr>
        <w:tc>
          <w:tcPr/>
          <w:p>
            <w:pPr>
              <w:pStyle w:val="Compact"/>
              <w:jc w:val="left"/>
            </w:pPr>
            <w:r>
              <w:t xml:space="preserve">0. Formula length (at most 100 characters per cell formula)</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1. Shipped file recalculated in LibreOffice (no LAMBDA support)</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2. Formula uniformity (relative R1C1)</w:t>
            </w:r>
          </w:p>
        </w:tc>
        <w:tc>
          <w:tcPr/>
          <w:p>
            <w:pPr>
              <w:pStyle w:val="Compact"/>
              <w:jc w:val="left"/>
            </w:pPr>
            <w:r>
              <w:t xml:space="preserve">1268</w:t>
            </w:r>
          </w:p>
        </w:tc>
        <w:tc>
          <w:tcPr/>
          <w:p>
            <w:pPr>
              <w:pStyle w:val="Compact"/>
              <w:jc w:val="left"/>
            </w:pPr>
            <w:r>
              <w:t xml:space="preserve">0</w:t>
            </w:r>
          </w:p>
        </w:tc>
      </w:tr>
      <w:tr>
        <w:tc>
          <w:tcPr/>
          <w:p>
            <w:pPr>
              <w:pStyle w:val="Compact"/>
              <w:jc w:val="left"/>
            </w:pPr>
            <w:r>
              <w:t xml:space="preserve">3. LAMBDA encoding</w:t>
            </w:r>
          </w:p>
        </w:tc>
        <w:tc>
          <w:tcPr/>
          <w:p>
            <w:pPr>
              <w:pStyle w:val="Compact"/>
              <w:jc w:val="left"/>
            </w:pPr>
            <w:r>
              <w:t xml:space="preserve">291</w:t>
            </w:r>
          </w:p>
        </w:tc>
        <w:tc>
          <w:tcPr/>
          <w:p>
            <w:pPr>
              <w:pStyle w:val="Compact"/>
              <w:jc w:val="left"/>
            </w:pPr>
            <w:r>
              <w:t xml:space="preserve">0</w:t>
            </w:r>
          </w:p>
        </w:tc>
      </w:tr>
      <w:tr>
        <w:tc>
          <w:tcPr/>
          <w:p>
            <w:pPr>
              <w:pStyle w:val="Compact"/>
              <w:jc w:val="left"/>
            </w:pPr>
            <w:r>
              <w:t xml:space="preserve">4. Values vs independent Python recomputation</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4b. Power method = legacy (Python reference with the legacy inputs vs cached legacy rows)</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5. Scenario tests (copied MTInputs column + Mitigation group)</w:t>
            </w:r>
          </w:p>
        </w:tc>
        <w:tc>
          <w:tcPr/>
          <w:p>
            <w:pPr>
              <w:pStyle w:val="Compact"/>
              <w:jc w:val="left"/>
            </w:pPr>
            <w:r>
              <w:t xml:space="preserve">33</w:t>
            </w:r>
          </w:p>
        </w:tc>
        <w:tc>
          <w:tcPr/>
          <w:p>
            <w:pPr>
              <w:pStyle w:val="Compact"/>
              <w:jc w:val="left"/>
            </w:pPr>
            <w:r>
              <w:t xml:space="preserve">0</w:t>
            </w:r>
          </w:p>
        </w:tc>
      </w:tr>
      <w:tr>
        <w:tc>
          <w:tcPr/>
          <w:p>
            <w:pPr>
              <w:pStyle w:val="Compact"/>
              <w:jc w:val="left"/>
            </w:pPr>
            <w:r>
              <w:t xml:space="preserve">5d. Power features switched on (v5.4, power plan P1, P2, P4)</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5a. Residential leakage to biomass switched on (v5.1, global setting BiomassLeakage)</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5b. ETS goal seek (ets_goalseek_v7_0.py): skipped (user rule 2026-10-19, NORMS 5: the user tests the goal seek separately, issue I30)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5c. Existing carbon pricing with non-zero test data (v1.09)</w:t>
            </w:r>
          </w:p>
        </w:tc>
        <w:tc>
          <w:tcPr/>
          <w:p>
            <w:pPr>
              <w:pStyle w:val="Compact"/>
              <w:jc w:val="left"/>
            </w:pPr>
            <w:r>
              <w:t xml:space="preserve">3</w:t>
            </w:r>
          </w:p>
        </w:tc>
        <w:tc>
          <w:tcPr/>
          <w:p>
            <w:pPr>
              <w:pStyle w:val="Compact"/>
              <w:jc w:val="left"/>
            </w:pPr>
            <w:r>
              <w:t xml:space="preserve">0</w:t>
            </w:r>
          </w:p>
        </w:tc>
      </w:tr>
      <w:tr>
        <w:tc>
          <w:tcPr/>
          <w:p>
            <w:pPr>
              <w:pStyle w:val="Compact"/>
              <w:jc w:val="left"/>
            </w:pPr>
            <w:r>
              <w:t xml:space="preserve">6. Regression vs v7.1 (shared output codes, 2022-2041: no change)</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6b. MTOutputs and Charts</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7. Labels and codes</w:t>
            </w:r>
          </w:p>
        </w:tc>
        <w:tc>
          <w:tcPr/>
          <w:p>
            <w:pPr>
              <w:pStyle w:val="Compact"/>
              <w:jc w:val="left"/>
            </w:pPr>
            <w:r>
              <w:t xml:space="preserve">41</w:t>
            </w:r>
          </w:p>
        </w:tc>
        <w:tc>
          <w:tcPr/>
          <w:p>
            <w:pPr>
              <w:pStyle w:val="Compact"/>
              <w:jc w:val="left"/>
            </w:pPr>
            <w:r>
              <w:t xml:space="preserve">0</w:t>
            </w:r>
          </w:p>
        </w:tc>
      </w:tr>
      <w:tr>
        <w:tc>
          <w:tcPr/>
          <w:p>
            <w:pPr>
              <w:pStyle w:val="Compact"/>
              <w:jc w:val="left"/>
            </w:pPr>
            <w:r>
              <w:t xml:space="preserve">8. Row outline</w:t>
            </w:r>
          </w:p>
        </w:tc>
        <w:tc>
          <w:tcPr/>
          <w:p>
            <w:pPr>
              <w:pStyle w:val="Compact"/>
              <w:jc w:val="left"/>
            </w:pPr>
            <w:r>
              <w:t xml:space="preserve">39</w:t>
            </w:r>
          </w:p>
        </w:tc>
        <w:tc>
          <w:tcPr/>
          <w:p>
            <w:pPr>
              <w:pStyle w:val="Compact"/>
              <w:jc w:val="left"/>
            </w:pPr>
            <w:r>
              <w:t xml:space="preserve">0</w:t>
            </w:r>
          </w:p>
        </w:tc>
      </w:tr>
      <w:tr>
        <w:tc>
          <w:tcPr/>
          <w:p>
            <w:pPr>
              <w:pStyle w:val="Compact"/>
              <w:jc w:val="left"/>
            </w:pPr>
            <w:r>
              <w:t xml:space="preserve">8b. Layout and constants (v2.4): years in row 1, labelled D:G, nothing typed</w:t>
            </w:r>
          </w:p>
        </w:tc>
        <w:tc>
          <w:tcPr/>
          <w:p>
            <w:pPr>
              <w:pStyle w:val="Compact"/>
              <w:jc w:val="left"/>
            </w:pPr>
            <w:r>
              <w:t xml:space="preserve">12</w:t>
            </w:r>
          </w:p>
        </w:tc>
        <w:tc>
          <w:tcPr/>
          <w:p>
            <w:pPr>
              <w:pStyle w:val="Compact"/>
              <w:jc w:val="left"/>
            </w:pPr>
            <w:r>
              <w:t xml:space="preserve">0</w:t>
            </w:r>
          </w:p>
        </w:tc>
      </w:tr>
      <w:tr>
        <w:tc>
          <w:tcPr/>
          <w:p>
            <w:pPr>
              <w:pStyle w:val="Compact"/>
              <w:jc w:val="left"/>
            </w:pPr>
            <w:r>
              <w:t xml:space="preserve">9. MTInputs</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10. Format</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11. Sanity and results</w:t>
            </w:r>
          </w:p>
        </w:tc>
        <w:tc>
          <w:tcPr/>
          <w:p>
            <w:pPr>
              <w:pStyle w:val="Compact"/>
              <w:jc w:val="left"/>
            </w:pPr>
            <w:r>
              <w:t xml:space="preserve">6</w:t>
            </w:r>
          </w:p>
        </w:tc>
        <w:tc>
          <w:tcPr/>
          <w:p>
            <w:pPr>
              <w:pStyle w:val="Compact"/>
              <w:jc w:val="left"/>
            </w:pPr>
            <w:r>
              <w:t xml:space="preserve">0</w:t>
            </w:r>
          </w:p>
        </w:tc>
      </w:tr>
      <w:tr>
        <w:tc>
          <w:tcPr/>
          <w:p>
            <w:pPr>
              <w:pStyle w:val="Compact"/>
              <w:jc w:val="left"/>
            </w:pPr>
            <w:r>
              <w:t xml:space="preserve">11b. Power sector: properties and results</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11c. Planned retirement switched on (v1.07)</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11d. Electricity demand memo lines (v1.07)</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12. Scenario definitions, VBA module, stored results, comparison, macro run</w:t>
            </w:r>
          </w:p>
        </w:tc>
        <w:tc>
          <w:tcPr/>
          <w:p>
            <w:pPr>
              <w:pStyle w:val="Compact"/>
              <w:jc w:val="left"/>
            </w:pPr>
            <w:r>
              <w:t xml:space="preserve">21</w:t>
            </w:r>
          </w:p>
        </w:tc>
        <w:tc>
          <w:tcPr/>
          <w:p>
            <w:pPr>
              <w:pStyle w:val="Compact"/>
              <w:jc w:val="left"/>
            </w:pPr>
            <w:r>
              <w:t xml:space="preserve">0</w:t>
            </w:r>
          </w:p>
        </w:tc>
      </w:tr>
      <w:tr>
        <w:tc>
          <w:tcPr/>
          <w:p>
            <w:pPr>
              <w:pStyle w:val="Compact"/>
              <w:jc w:val="left"/>
            </w:pPr>
            <w:r>
              <w:t xml:space="preserve">13. First-run test macro CheckBatchRun (v1.04)</w:t>
            </w:r>
          </w:p>
        </w:tc>
        <w:tc>
          <w:tcPr/>
          <w:p>
            <w:pPr>
              <w:pStyle w:val="Compact"/>
              <w:jc w:val="left"/>
            </w:pPr>
            <w:r>
              <w:t xml:space="preserve">3</w:t>
            </w:r>
          </w:p>
        </w:tc>
        <w:tc>
          <w:tcPr/>
          <w:p>
            <w:pPr>
              <w:pStyle w:val="Compact"/>
              <w:jc w:val="left"/>
            </w:pPr>
            <w:r>
              <w:t xml:space="preserve">1</w:t>
            </w:r>
          </w:p>
        </w:tc>
      </w:tr>
      <w:tr>
        <w:tc>
          <w:tcPr/>
          <w:p>
            <w:pPr>
              <w:pStyle w:val="Compact"/>
              <w:jc w:val="left"/>
            </w:pPr>
            <w:r>
              <w:t xml:space="preserve">14. Consistency (v1.09, v2.4): check rows, identities, references, versions, stale texts</w:t>
            </w:r>
          </w:p>
        </w:tc>
        <w:tc>
          <w:tcPr/>
          <w:p>
            <w:pPr>
              <w:pStyle w:val="Compact"/>
              <w:jc w:val="left"/>
            </w:pPr>
            <w:r>
              <w:t xml:space="preserve">10</w:t>
            </w:r>
          </w:p>
        </w:tc>
        <w:tc>
          <w:tcPr/>
          <w:p>
            <w:pPr>
              <w:pStyle w:val="Compact"/>
              <w:jc w:val="left"/>
            </w:pPr>
            <w:r>
              <w:t xml:space="preserve">0</w:t>
            </w:r>
          </w:p>
        </w:tc>
      </w:tr>
    </w:tbl>
    <w:p>
      <w:pPr>
        <w:pStyle w:val="BodyText"/>
      </w:pPr>
      <w:r>
        <w:rPr>
          <w:bCs/>
          <w:b/>
        </w:rPr>
        <w:t xml:space="preserve">Overall: PASS</w:t>
      </w:r>
    </w:p>
    <w:p>
      <w:pPr>
        <w:pStyle w:val="BodyText"/>
      </w:pPr>
      <w:r>
        <w:t xml:space="preserve">The checks recompute every value independently in Python from the source data; test the formula variants (the optional LAMBDA library copied over whole rows); test existing carbon pricing with non-zero data; copy scenario groups as a user would; compare with the previous version on every shared output code; run a consistency check (check rows and identities in every column, file references, versions, stale texts); and run the embedded VBA macro in LibreOffice against the Python emulation.</w:t>
      </w:r>
    </w:p>
    <w:bookmarkEnd w:id="1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t" TargetMode="External" /><Relationship Type="http://schemas.openxmlformats.org/officeDocument/2006/relationships/hyperlink" Id="rId31" Target="t&#8320;" TargetMode="External" /></Relationships>
</file>

<file path=word/_rels/footnotes.xml.rels><?xml version="1.0" encoding="UTF-8"?><Relationships xmlns="http://schemas.openxmlformats.org/package/2006/relationships"><Relationship Type="http://schemas.openxmlformats.org/officeDocument/2006/relationships/hyperlink" Id="rId27" Target="t" TargetMode="External" /><Relationship Type="http://schemas.openxmlformats.org/officeDocument/2006/relationships/hyperlink" Id="rId31" Target="t&#83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CPAT-AI-Mitigation-MVP v7.2: documentation</dc:title>
  <dc:creator/>
  <cp:keywords/>
  <dcterms:created xsi:type="dcterms:W3CDTF">2026-10-22T08:03:36Z</dcterms:created>
  <dcterms:modified xsi:type="dcterms:W3CDTF">2026-10-22T08:03:36Z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2026-10-22</vt:lpwstr>
  </property>
  <property fmtid="{D5CDD505-2E9C-101B-9397-08002B2CF9AE}" pid="3" name="subtitle">
    <vt:lpwstr>The CPAT mitigation module rebuilt as a readable Excel workbook (Egypt data)</vt:lpwstr>
  </property>
</Properties>
</file>