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v8.5</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excel_ai/Tracking_Legacy_Bugs_v8.5.xlsx</w:t>
      </w:r>
      <w:r>
        <w:t xml:space="preserve"> </w:t>
      </w:r>
      <w:r>
        <w:t xml:space="preserve">(tabs Bugs and Issues, every module in the same columns); the bugs are documented in</w:t>
      </w:r>
      <w:r>
        <w:t xml:space="preserve"> </w:t>
      </w:r>
      <w:r>
        <w:rPr>
          <w:rStyle w:val="VerbatimChar"/>
        </w:rPr>
        <w:t xml:space="preserve">excel_ai/Legacy_CPAT_Bugs_v8.5.docx</w:t>
      </w:r>
      <w:r>
        <w:t xml:space="preserve">, the rest in these appendices. Codes renumbered in v8.4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168</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14</w:t>
            </w:r>
          </w:p>
        </w:tc>
        <w:tc>
          <w:tcPr/>
          <w:p>
            <w:pPr>
              <w:pStyle w:val="Compact"/>
              <w:jc w:val="left"/>
            </w:pPr>
            <w:r>
              <w:t xml:space="preserve">Prototype bug: a defect of the prototype itself, found and fixed during development.</w:t>
            </w:r>
          </w:p>
        </w:tc>
        <w:tc>
          <w:tcPr/>
          <w:p>
            <w:pPr>
              <w:pStyle w:val="Compact"/>
              <w:jc w:val="left"/>
            </w:pPr>
            <w:r>
              <w:t xml:space="preserve">Fixed.</w:t>
            </w:r>
          </w:p>
        </w:tc>
        <w:tc>
          <w:tcPr/>
          <w:p>
            <w:pPr>
              <w:pStyle w:val="Compact"/>
              <w:jc w:val="left"/>
            </w:pPr>
            <w:r>
              <w:t xml:space="preserve">Documentation, appendix</w:t>
            </w:r>
          </w:p>
        </w:tc>
      </w:tr>
      <w:tr>
        <w:tc>
          <w:tcPr/>
          <w:p>
            <w:pPr>
              <w:pStyle w:val="Compact"/>
              <w:jc w:val="left"/>
            </w:pPr>
            <w:r>
              <w:t xml:space="preserve">I</w:t>
            </w:r>
          </w:p>
        </w:tc>
        <w:tc>
          <w:tcPr/>
          <w:p>
            <w:pPr>
              <w:pStyle w:val="Compact"/>
              <w:jc w:val="left"/>
            </w:pPr>
            <w:r>
              <w:t xml:space="preserve">82</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40</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v8.4 the prototype ended at FE fin and stayed flat (data bug DB1, which wrongly said legacy reads zero paths); v8.5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as legacy.</w:t>
      </w:r>
      <w:r>
        <w:t xml:space="preserve"> </w:t>
      </w:r>
      <w:r>
        <w:t xml:space="preserve">The last historical price year is 2022 (Settings C10, v3.7), as legacy, whose prices stay near their 2022 USD level.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2022 as legacy.</w:t>
      </w:r>
      <w:r>
        <w:t xml:space="preserve"> </w:t>
      </w:r>
      <w:r>
        <w:rPr>
          <w:iCs/>
          <w:i/>
        </w:rPr>
        <w:t xml:space="preserve">Status:</w:t>
      </w:r>
      <w:r>
        <w:t xml:space="preserve"> </w:t>
      </w:r>
      <w:r>
        <w:t xml:space="preserve">Accepted.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the prototype keeps the corrected Egypt prices). Plan: send the corrected block to the CPAT data team for the legacy Prices_dom table; when legacy carries it, the two read the same data and LD4, LD33 close.</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v5.7: GDP solved (WEO NGDP_R, 2000-2040). v6.1: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v1.09.</w:t>
      </w:r>
      <w:r>
        <w:t xml:space="preserve"> </w:t>
      </w:r>
      <w:r>
        <w:t xml:space="preserve">Fuel use and revenue totals of v1.09 and later include power and are not comparable with v1.08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v5.7: I25 closed (v5.6);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v2.4.</w:t>
      </w:r>
      <w:r>
        <w:t xml:space="preserve"> </w:t>
      </w:r>
      <w:r>
        <w:t xml:space="preserve">esub, esubpu, rsub, prsub, sgap and rgap are negative from v2.4 (net existing revenue rnet = rtx + rsub, unchanged in value). Outputs stored with v2.3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v3.2).</w:t>
      </w:r>
      <w:r>
        <w:t xml:space="preserve"> </w:t>
      </w:r>
      <w:r>
        <w:t xml:space="preserve">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v3.2 (switch, off by default as legacy since v3.4).</w:t>
      </w:r>
      <w:r>
        <w:t xml:space="preserve"> </w:t>
      </w:r>
      <w:r>
        <w:rPr>
          <w:iCs/>
          <w:i/>
        </w:rPr>
        <w:t xml:space="preserve">Status:</w:t>
      </w:r>
      <w:r>
        <w:t xml:space="preserve"> </w:t>
      </w:r>
      <w:r>
        <w:t xml:space="preserve">Resolved.</w:t>
      </w:r>
    </w:p>
    <w:p>
      <w:pPr>
        <w:pStyle w:val="BodyText"/>
      </w:pPr>
      <w:r>
        <w:rPr>
          <w:bCs/>
          <w:b/>
        </w:rPr>
        <w:t xml:space="preserve">I19. Jet fuel (replicated v3.11).</w:t>
      </w:r>
      <w:r>
        <w:t xml:space="preserve"> </w:t>
      </w:r>
      <w:r>
        <w:t xml:space="preserve">Legacy domestic aviation burns jet fuel (707 ktoe in 2022). Since v3.11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v4.15).</w:t>
      </w:r>
      <w:r>
        <w:t xml:space="preserve"> </w:t>
      </w:r>
      <w:r>
        <w:t xml:space="preserve">Legacy allocates by one auctioned share path (MTInputs rows 90-92, default 0: everything allocated free), the same for every sector. The prototype had benchmarks by sector group typed on Constants (v1.02), so an MTInputs auctioned share had no effect; since v4.15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(v5.6): legacy process emissions = 2023 inventory x the year-on-year growth of industrial energy CO2 (row 6576; 2024: +16.8%, the rebound after the 2023 demand shock, so 56.9 -&gt; 66.5). The prototype floored that growth at 0 (a departure: removed in v5.6,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v3.7).</w:t>
      </w:r>
      <w:r>
        <w:t xml:space="preserve"> </w:t>
      </w:r>
      <w:r>
        <w:t xml:space="preserve">Excel 365 removed the cell formulas calling the LAMBDAs SCALE and SHARE (found by bisection with the repair log); renamed SCALEBY and SHAREOF in v3.7.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prototype calibrated in 2024 and kept the switch off (user decisions v3.2, v3.4).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(v3.12); to confirm: combustion CH4 added, all fuel supply methane under other.</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v4.15).</w:t>
      </w:r>
      <w:r>
        <w:t xml:space="preserve"> </w:t>
      </w:r>
      <w:r>
        <w:t xml:space="preserve">Legacy cohorts start in GDPStartYear (MTInputs row 236, Egypt 2025): revenue gained before it never acts on GDP, and the first cohort holds only the change of that year. Replicated in v4.15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v4.15).</w:t>
      </w:r>
      <w:r>
        <w:t xml:space="preserve"> </w:t>
      </w:r>
      <w:r>
        <w:t xml:space="preserve">Legacy Low / High (FmAdj) adds -/+ the standard deviation of the income group to every source, also to manual and country-estimated multipliers. Replicated in v4.15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stored scenario-1 gas and biomass activity.</w:t>
      </w:r>
      <w:r>
        <w:t xml:space="preserve"> </w:t>
      </w:r>
      <w:r>
        <w:t xml:space="preserve">Legacy counts the methane fee in total revenue (row 8010) and so in the fiscal space, on the scenario’s own activity. The prototype counts it too, but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fiscal line only, no price effect (not replicated).</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prototype has the fiscal line (pros x factor, rpsu) and no price effect; electricity producer subsidies enter the power price in legacy (power parked).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The prototype does not build manual domestic prices (block placed, not read).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does not build manual domestic prices). Decided (user 2026-10-19): an issue; replicate legacy when manual domestic prices are built;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LD1</w:t>
            </w:r>
          </w:p>
        </w:tc>
        <w:tc>
          <w:tcPr/>
          <w:p>
            <w:pPr>
              <w:pStyle w:val="Compact"/>
              <w:jc w:val="left"/>
            </w:pPr>
            <w:r>
              <w:t xml:space="preserve">Decision</w:t>
            </w:r>
          </w:p>
        </w:tc>
        <w:tc>
          <w:tcPr/>
          <w:p>
            <w:pPr>
              <w:pStyle w:val="Compact"/>
              <w:jc w:val="left"/>
            </w:pPr>
            <w:r>
              <w:t xml:space="preserve">Elasticities: food &amp; forestry</w:t>
            </w:r>
          </w:p>
        </w:tc>
        <w:tc>
          <w:tcPr/>
          <w:p>
            <w:pPr>
              <w:pStyle w:val="Compact"/>
              <w:jc w:val="left"/>
            </w:pPr>
            <w:r>
              <w:t xml:space="preserve">Legacy: Industry elasticities (coded EC_SECTORS). Prototype: Services (buildings) elasticities.</w:t>
            </w:r>
          </w:p>
        </w:tc>
        <w:tc>
          <w:tcPr/>
          <w:p>
            <w:pPr>
              <w:pStyle w:val="Compact"/>
              <w:jc w:val="left"/>
            </w:pPr>
            <w:r>
              <w:t xml:space="preserve">User decision v0.11; legacy groups food &amp; forestry with services as Commercial</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(v0.14).</w:t>
            </w:r>
          </w:p>
        </w:tc>
        <w:tc>
          <w:tcPr/>
          <w:p>
            <w:pPr>
              <w:pStyle w:val="Compact"/>
              <w:jc w:val="left"/>
            </w:pPr>
            <w:r>
              <w:t xml:space="preserve">Legacy bug L170 (v8.5, user 2026-10-29; was data bug DB2): a blank is a missing value, not a zero; the data problem is issue I97 (very high)</w:t>
            </w:r>
          </w:p>
        </w:tc>
      </w:tr>
      <w:tr>
        <w:tc>
          <w:tcPr/>
          <w:p>
            <w:pPr>
              <w:pStyle w:val="Compact"/>
              <w:jc w:val="left"/>
            </w:pPr>
            <w:r>
              <w:t xml:space="preserve">LD4</w:t>
            </w:r>
          </w:p>
        </w:tc>
        <w:tc>
          <w:tcPr/>
          <w:p>
            <w:pPr>
              <w:pStyle w:val="Compact"/>
              <w:jc w:val="left"/>
            </w:pPr>
            <w:r>
              <w:t xml:space="preserve">Decision</w:t>
            </w:r>
          </w:p>
        </w:tc>
        <w:tc>
          <w:tcPr/>
          <w:p>
            <w:pPr>
              <w:pStyle w:val="Compact"/>
              <w:jc w:val="left"/>
            </w:pPr>
            <w:r>
              <w:t xml:space="preserve">Egypt price data</w:t>
            </w:r>
          </w:p>
        </w:tc>
        <w:tc>
          <w:tcPr/>
          <w:p>
            <w:pPr>
              <w:pStyle w:val="Compact"/>
              <w:jc w:val="left"/>
            </w:pPr>
            <w:r>
              <w:t xml:space="preserve">Legacy: Price block in the legacy release. Prototype: Corrected Egypt block supplied by the user (2026-10-09; 291 cells, years 2019-2020 added); changed cells bright yellow in Prices_dom.</w:t>
            </w:r>
          </w:p>
        </w:tc>
        <w:tc>
          <w:tcPr/>
          <w:p>
            <w:pPr>
              <w:pStyle w:val="Compact"/>
              <w:jc w:val="left"/>
            </w:pPr>
            <w:r>
              <w:t xml:space="preserve">User decision: the corrected Egypt prices (issue I99, 2026-10-29)</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v1.02: volatility-dependent effectiveness)</w:t>
            </w:r>
          </w:p>
        </w:tc>
      </w:tr>
      <w:tr>
        <w:tc>
          <w:tcPr/>
          <w:p>
            <w:pPr>
              <w:pStyle w:val="Compact"/>
              <w:jc w:val="left"/>
            </w:pPr>
            <w:r>
              <w:t xml:space="preserve">LD10</w:t>
            </w:r>
          </w:p>
        </w:tc>
        <w:tc>
          <w:tcPr/>
          <w:p>
            <w:pPr>
              <w:pStyle w:val="Compact"/>
              <w:jc w:val="left"/>
            </w:pPr>
            <w:r>
              <w:t xml:space="preserve">Decision</w:t>
            </w:r>
          </w:p>
        </w:tc>
        <w:tc>
          <w:tcPr/>
          <w:p>
            <w:pPr>
              <w:pStyle w:val="Compact"/>
              <w:jc w:val="left"/>
            </w:pPr>
            <w:r>
              <w:t xml:space="preserve">Policy paths after the target year</w:t>
            </w:r>
          </w:p>
        </w:tc>
        <w:tc>
          <w:tcPr/>
          <w:p>
            <w:pPr>
              <w:pStyle w:val="Compact"/>
              <w:jc w:val="left"/>
            </w:pPr>
            <w:r>
              <w:t xml:space="preserve">Legacy: Per instrument (carbon price: MTInputs switch). Prototype: Linear continuation for fuel price reform and feebates; carbon price keeps the switch; ETS benchmarks constant; ETS cap per MTInputs switch.</w:t>
            </w:r>
          </w:p>
        </w:tc>
        <w:tc>
          <w:tcPr/>
          <w:p>
            <w:pPr>
              <w:pStyle w:val="Compact"/>
              <w:jc w:val="left"/>
            </w:pPr>
            <w:r>
              <w:t xml:space="preserve">User decision v0.8 (one default)</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v2.4</w:t>
            </w:r>
          </w:p>
        </w:tc>
      </w:tr>
      <w:tr>
        <w:tc>
          <w:tcPr/>
          <w:p>
            <w:pPr>
              <w:pStyle w:val="Compact"/>
              <w:jc w:val="left"/>
            </w:pPr>
            <w:r>
              <w:t xml:space="preserve">LD16</w:t>
            </w:r>
          </w:p>
        </w:tc>
        <w:tc>
          <w:tcPr/>
          <w:p>
            <w:pPr>
              <w:pStyle w:val="Compact"/>
              <w:jc w:val="left"/>
            </w:pPr>
            <w:r>
              <w:t xml:space="preserve">To check (bucket 5)</w:t>
            </w:r>
          </w:p>
        </w:tc>
        <w:tc>
          <w:tcPr/>
          <w:p>
            <w:pPr>
              <w:pStyle w:val="Compact"/>
              <w:jc w:val="left"/>
            </w:pPr>
            <w:r>
              <w:t xml:space="preserve">Margins and production costs</w:t>
            </w:r>
          </w:p>
        </w:tc>
        <w:tc>
          <w:tcPr/>
          <w:p>
            <w:pPr>
              <w:pStyle w:val="Compact"/>
              <w:jc w:val="left"/>
            </w:pPr>
            <w:r>
              <w:t xml:space="preserve">Legacy: coded applies no inflation conversion. Prototype: x CPI index of the base year.</w:t>
            </w:r>
          </w:p>
        </w:tc>
        <w:tc>
          <w:tcPr/>
          <w:p>
            <w:pPr>
              <w:pStyle w:val="Compact"/>
              <w:jc w:val="left"/>
            </w:pPr>
            <w:r>
              <w:t xml:space="preserve">Consistent real terms (assumption A4)</w:t>
            </w:r>
          </w:p>
        </w:tc>
      </w:tr>
      <w:tr>
        <w:tc>
          <w:tcPr/>
          <w:p>
            <w:pPr>
              <w:pStyle w:val="Compact"/>
              <w:jc w:val="left"/>
            </w:pPr>
            <w:r>
              <w:t xml:space="preserve">LD19</w:t>
            </w:r>
          </w:p>
        </w:tc>
        <w:tc>
          <w:tcPr/>
          <w:p>
            <w:pPr>
              <w:pStyle w:val="Compact"/>
              <w:jc w:val="left"/>
            </w:pPr>
            <w:r>
              <w:t xml:space="preserve">Simplification</w:t>
            </w:r>
          </w:p>
        </w:tc>
        <w:tc>
          <w:tcPr/>
          <w:p>
            <w:pPr>
              <w:pStyle w:val="Compact"/>
              <w:jc w:val="left"/>
            </w:pPr>
            <w:r>
              <w:t xml:space="preserve">Producer subsidies</w:t>
            </w:r>
          </w:p>
        </w:tc>
        <w:tc>
          <w:tcPr/>
          <w:p>
            <w:pPr>
              <w:pStyle w:val="Compact"/>
              <w:jc w:val="left"/>
            </w:pPr>
            <w:r>
              <w:t xml:space="preserve">Legacy: In the supply cost. Prototype: Fiscal line by fuel (v4.16, LD19): producer subsidies (Prices_dom mit.pros, USD m real) x phase-out factor, in total revenue (rpsu), 12e and the fiscal space; no price effect.</w:t>
            </w:r>
          </w:p>
        </w:tc>
        <w:tc>
          <w:tcPr/>
          <w:p>
            <w:pPr>
              <w:pStyle w:val="Compact"/>
              <w:jc w:val="left"/>
            </w:pPr>
            <w:r>
              <w:t xml:space="preserve">User 2026-10-18 (add producer subsidies); legacy bugs L82, L83 fixed; issue I49: no price effect (legacy spreads the subsidy over world demand, so near zero for oil, coal and gas)</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(v1.06)</w:t>
            </w:r>
          </w:p>
        </w:tc>
        <w:tc>
          <w:tcPr/>
          <w:p>
            <w:pPr>
              <w:pStyle w:val="Compact"/>
              <w:jc w:val="left"/>
            </w:pPr>
            <w:r>
              <w:t xml:space="preserve">Legacy: Ten defects (CPAT-AI-Mitigation-Prototype_BugsIssuesUpgrades_v6.4.docx):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v4.14: new capacity sized for this year’s demand although it comes online next year (L67, was I8). Prototype: Fixed.</w:t>
            </w:r>
          </w:p>
        </w:tc>
        <w:tc>
          <w:tcPr/>
          <w:p>
            <w:pPr>
              <w:pStyle w:val="Compact"/>
              <w:jc w:val="left"/>
            </w:pPr>
            <w:r>
              <w:t xml:space="preserve">User request v1.06;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LD33</w:t>
            </w:r>
          </w:p>
        </w:tc>
        <w:tc>
          <w:tcPr/>
          <w:p>
            <w:pPr>
              <w:pStyle w:val="Compact"/>
              <w:jc w:val="left"/>
            </w:pPr>
            <w:r>
              <w:t xml:space="preserve">Decision</w:t>
            </w:r>
          </w:p>
        </w:tc>
        <w:tc>
          <w:tcPr/>
          <w:p>
            <w:pPr>
              <w:pStyle w:val="Compact"/>
              <w:jc w:val="left"/>
            </w:pPr>
            <w:r>
              <w:t xml:space="preserve">Power: historical electricity prices and VAT</w:t>
            </w:r>
          </w:p>
        </w:tc>
        <w:tc>
          <w:tcPr/>
          <w:p>
            <w:pPr>
              <w:pStyle w:val="Compact"/>
              <w:jc w:val="left"/>
            </w:pPr>
            <w:r>
              <w:t xml:space="preserve">Legacy: Legacy vintage (residential 0.112 $/kWh incl. 15.6% VAT in 2022). Prototype: Corrected Egypt block (residential 0.054, 0.048, 0.043 $/kWh nominal 2022-2024; VAT 0).</w:t>
            </w:r>
          </w:p>
        </w:tc>
        <w:tc>
          <w:tcPr/>
          <w:p>
            <w:pPr>
              <w:pStyle w:val="Compact"/>
              <w:jc w:val="left"/>
            </w:pPr>
            <w:r>
              <w:t xml:space="preserve">User data (2026-10-09); issue I99, decision 2026-10-29</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(v2.3; the last year is the LAMBDA year); same indices; values after 2030 not a legacy target.</w:t>
            </w:r>
          </w:p>
        </w:tc>
        <w:tc>
          <w:tcPr/>
          <w:p>
            <w:pPr>
              <w:pStyle w:val="Compact"/>
              <w:jc w:val="left"/>
            </w:pPr>
            <w:r>
              <w:t xml:space="preserve">User decisions v0.9 / v0.11 / v2.3</w:t>
            </w:r>
          </w:p>
        </w:tc>
      </w:tr>
      <w:tr>
        <w:tc>
          <w:tcPr/>
          <w:p>
            <w:pPr>
              <w:pStyle w:val="Compact"/>
              <w:jc w:val="left"/>
            </w:pPr>
            <w:r>
              <w:t xml:space="preserve">LD41</w:t>
            </w:r>
          </w:p>
        </w:tc>
        <w:tc>
          <w:tcPr/>
          <w:p>
            <w:pPr>
              <w:pStyle w:val="Compact"/>
              <w:jc w:val="left"/>
            </w:pPr>
            <w:r>
              <w:t xml:space="preserve">Data</w:t>
            </w:r>
          </w:p>
        </w:tc>
        <w:tc>
          <w:tcPr/>
          <w:p>
            <w:pPr>
              <w:pStyle w:val="Compact"/>
              <w:jc w:val="left"/>
            </w:pPr>
            <w:r>
              <w:t xml:space="preserve">Data vintage</w:t>
            </w:r>
          </w:p>
        </w:tc>
        <w:tc>
          <w:tcPr/>
          <w:p>
            <w:pPr>
              <w:pStyle w:val="Compact"/>
              <w:jc w:val="left"/>
            </w:pPr>
            <w:r>
              <w:t xml:space="preserve">Legacy: Proprietary price forecasts; IEA balances. Prototype: NoPropData extracts; energy use via kernel v1.6; IIASA EFs without inventory adjustment.</w:t>
            </w:r>
          </w:p>
        </w:tc>
        <w:tc>
          <w:tcPr/>
          <w:p>
            <w:pPr>
              <w:pStyle w:val="Compact"/>
              <w:jc w:val="left"/>
            </w:pPr>
            <w:r>
              <w:t xml:space="preserve">No proprietary data</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LD49</w:t>
            </w:r>
          </w:p>
        </w:tc>
        <w:tc>
          <w:tcPr/>
          <w:p>
            <w:pPr>
              <w:pStyle w:val="Compact"/>
              <w:jc w:val="left"/>
            </w:pPr>
            <w:r>
              <w:t xml:space="preserve">Bug fix</w:t>
            </w:r>
          </w:p>
        </w:tc>
        <w:tc>
          <w:tcPr/>
          <w:p>
            <w:pPr>
              <w:pStyle w:val="Compact"/>
              <w:jc w:val="left"/>
            </w:pPr>
            <w:r>
              <w:t xml:space="preserve">Local pollutants: factor mapping (v2.9)</w:t>
            </w:r>
          </w:p>
        </w:tc>
        <w:tc>
          <w:tcPr/>
          <w:p>
            <w:pPr>
              <w:pStyle w:val="Compact"/>
              <w:jc w:val="left"/>
            </w:pPr>
            <w:r>
              <w:t xml:space="preserve">Legacy: GAINS factors looked up by subsector; subsectors without a GAINS match get 0. Prototype: Each subsector takes the GAINS subsector of its CH4 factor (services as residential, rail as road, industry as manufacturing; Inputs column ch4s); v4.12: a fuel its GAINS subsector has no factor for takes the nearest GAINS match (LPG: natural gas of the same subsector; food &amp; forestry: construction; else manufacturing; Inputs columns efxs:eff).</w:t>
            </w:r>
          </w:p>
        </w:tc>
        <w:tc>
          <w:tcPr/>
          <w:p>
            <w:pPr>
              <w:pStyle w:val="Compact"/>
              <w:jc w:val="left"/>
            </w:pPr>
            <w:r>
              <w:t xml:space="preserve">Legacy bugs L58 (user 2026-10-18; was issue I27) and L59 (user 2026-10-18; was issue I35): a subsector or fuel without a GAINS match silently gets zero factors although it burns fuel</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v3.1: fix)</w:t>
            </w:r>
          </w:p>
        </w:tc>
      </w:tr>
      <w:tr>
        <w:tc>
          <w:tcPr/>
          <w:p>
            <w:pPr>
              <w:pStyle w:val="Compact"/>
              <w:jc w:val="left"/>
            </w:pPr>
            <w:r>
              <w:t xml:space="preserve">LD58</w:t>
            </w:r>
          </w:p>
        </w:tc>
        <w:tc>
          <w:tcPr/>
          <w:p>
            <w:pPr>
              <w:pStyle w:val="Compact"/>
              <w:jc w:val="left"/>
            </w:pPr>
            <w:r>
              <w:t xml:space="preserve">Data</w:t>
            </w:r>
          </w:p>
        </w:tc>
        <w:tc>
          <w:tcPr/>
          <w:p>
            <w:pPr>
              <w:pStyle w:val="Compact"/>
              <w:jc w:val="left"/>
            </w:pPr>
            <w:r>
              <w:t xml:space="preserve">GDP effects: legacy values (v3.1)</w:t>
            </w:r>
          </w:p>
        </w:tc>
        <w:tc>
          <w:tcPr/>
          <w:p>
            <w:pPr>
              <w:pStyle w:val="Compact"/>
              <w:jc w:val="left"/>
            </w:pPr>
            <w:r>
              <w:t xml:space="preserve">Legacy: Baseline GDP effect rows 8280-8287 are 0 (live formulas, IFNA(INDEX(…),0); the baseline has no policy); the policy rows 14584-14607 hold cached values of its carbon-tax run (GDP effect 2030 -0.07%, 2035 +0.34%, 2040 +1.22%; legacy carbon price Linear* to about 175 $/t in 2041). Prototype: Computed.</w:t>
            </w:r>
          </w:p>
        </w:tc>
        <w:tc>
          <w:tcPr/>
          <w:p>
            <w:pPr>
              <w:pStyle w:val="Compact"/>
              <w:jc w:val="left"/>
            </w:pPr>
            <w:r>
              <w:t xml:space="preserve">Proprietary rows stripped in the baseline block; v4.15 survey: the policy block has a benchmark, from a different carbon price path than the prototype scenarios</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LD62</w:t>
            </w:r>
          </w:p>
        </w:tc>
        <w:tc>
          <w:tcPr/>
          <w:p>
            <w:pPr>
              <w:pStyle w:val="Compact"/>
              <w:jc w:val="left"/>
            </w:pPr>
            <w:r>
              <w:t xml:space="preserve">Not yet</w:t>
            </w:r>
          </w:p>
        </w:tc>
        <w:tc>
          <w:tcPr/>
          <w:p>
            <w:pPr>
              <w:pStyle w:val="Compact"/>
              <w:jc w:val="left"/>
            </w:pPr>
            <w:r>
              <w:t xml:space="preserve">Road transport: biofuels (v3.5)</w:t>
            </w:r>
          </w:p>
        </w:tc>
        <w:tc>
          <w:tcPr/>
          <w:p>
            <w:pPr>
              <w:pStyle w:val="Compact"/>
              <w:jc w:val="left"/>
            </w:pPr>
            <w:r>
              <w:t xml:space="preserve">Legacy: Biofuel shares within road gasoline and diesel (rows 5436-5438, EF adjustment E2146:E2147). Prototype: Engineer road model as legacy (v4.12): bioethanol and other biofuels follow road gasoline, biodiesel follows diesel (base year x use / base-year use; Balances or EnergyCons); the feebate CO2 per liter of gasoline and diesel x their fossil share (E2146:E2147). Elasticity road model (the default): road biofuels on their own row with the biomass elasticities; legacy ties bioethanol and biodiesel to gasoline and diesel there too (rows 5404-5405) and gives other biofuels an oil row with bugs (5406, survey D11): not yet built.</w:t>
            </w:r>
          </w:p>
        </w:tc>
        <w:tc>
          <w:tcPr/>
          <w:p>
            <w:pPr>
              <w:pStyle w:val="Compact"/>
              <w:jc w:val="left"/>
            </w:pPr>
            <w:r>
              <w:t xml:space="preserve">User decision 2026-10-18 (realign with legacy, note as an issue: I40, replicated); the elasticity branch is left with the road model (user 2026-10-18: road engineer model not to be fixed now)</w:t>
            </w:r>
          </w:p>
        </w:tc>
      </w:tr>
      <w:tr>
        <w:tc>
          <w:tcPr/>
          <w:p>
            <w:pPr>
              <w:pStyle w:val="Compact"/>
              <w:jc w:val="left"/>
            </w:pPr>
            <w:r>
              <w:t xml:space="preserve">LD63</w:t>
            </w:r>
          </w:p>
        </w:tc>
        <w:tc>
          <w:tcPr/>
          <w:p>
            <w:pPr>
              <w:pStyle w:val="Compact"/>
              <w:jc w:val="left"/>
            </w:pPr>
            <w:r>
              <w:t xml:space="preserve">Not yet</w:t>
            </w:r>
          </w:p>
        </w:tc>
        <w:tc>
          <w:tcPr/>
          <w:p>
            <w:pPr>
              <w:pStyle w:val="Compact"/>
              <w:jc w:val="left"/>
            </w:pPr>
            <w:r>
              <w:t xml:space="preserve">Road transport: range anxiety (v3.5)</w:t>
            </w:r>
          </w:p>
        </w:tc>
        <w:tc>
          <w:tcPr/>
          <w:p>
            <w:pPr>
              <w:pStyle w:val="Compact"/>
              <w:jc w:val="left"/>
            </w:pPr>
            <w:r>
              <w:t xml:space="preserve">Legacy: Transport3: per-country solver results for the legacy model. Prototype: Same stored values; fit (calculated - actual EV sales share, data years) reported in rows trraf.</w:t>
            </w:r>
          </w:p>
        </w:tc>
        <w:tc>
          <w:tcPr/>
          <w:p>
            <w:pPr>
              <w:pStyle w:val="Compact"/>
              <w:jc w:val="left"/>
            </w:pPr>
            <w:r>
              <w:t xml:space="preserve">General; a goal seek for the corrected model comes later (Methods, chapter Transport section 6)</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LD67</w:t>
            </w:r>
          </w:p>
        </w:tc>
        <w:tc>
          <w:tcPr/>
          <w:p>
            <w:pPr>
              <w:pStyle w:val="Compact"/>
              <w:jc w:val="left"/>
            </w:pPr>
            <w:r>
              <w:t xml:space="preserve">Not yet</w:t>
            </w:r>
          </w:p>
        </w:tc>
        <w:tc>
          <w:tcPr/>
          <w:p>
            <w:pPr>
              <w:pStyle w:val="Compact"/>
              <w:jc w:val="left"/>
            </w:pPr>
            <w:r>
              <w:t xml:space="preserve">Exemption phase-out of uncovered fuels and sectors</w:t>
            </w:r>
          </w:p>
        </w:tc>
        <w:tc>
          <w:tcPr/>
          <w:p>
            <w:pPr>
              <w:pStyle w:val="Compact"/>
              <w:jc w:val="left"/>
            </w:pPr>
            <w:r>
              <w:t xml:space="preserve">Legacy: Rows 2259-2288: ExemptPhaseout, YearPha, ExemptPhaseoutPeriod (MTInputs rows 49-51) phase the tax in for fuels and sectors not covered; the initially exempt residential demand split (ExemptMostCook, rows 1784-1795, 5568-5570; L48, L92) is dead code in legacy. Prototype: v5.6: built. The phase-out of uncovered fuels and sectors (rows fc, sc: 1 if covered, else exph) and the initially exempt residential demand of the most-used cooking fuel (section 6b rows lkxp, lkxe, lkxr, lkx, lkxa through lkc; share ExemptCookShare on Settings C83 from HHSurvey; usage elasticity phased in; income factor as the row, L48 fixed).</w:t>
            </w:r>
          </w:p>
        </w:tc>
        <w:tc>
          <w:tcPr/>
          <w:p>
            <w:pPr>
              <w:pStyle w:val="Compact"/>
              <w:jc w:val="left"/>
            </w:pPr>
            <w:r>
              <w:t xml:space="preserve">Built (v5.6)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(v2.8), local pollutants (v2.9);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(v0.3-v0.4 / v0.5)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(v1.05 / v1.06)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(v1.05 / v1.06)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(v1.05 / v1.06)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(v1.07 build / v1.07)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(v1.05 / v1.09)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(v1.08 / v1.09)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(v1.09 / v2.2)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v1.01</w:t>
            </w:r>
          </w:p>
        </w:tc>
        <w:tc>
          <w:tcPr/>
          <w:p>
            <w:pPr>
              <w:pStyle w:val="Compact"/>
              <w:jc w:val="left"/>
            </w:pPr>
            <w:r>
              <w:t xml:space="preserve">Fixed (v1.02-v1.09 / v2.2)</w:t>
            </w:r>
          </w:p>
        </w:tc>
        <w:tc>
          <w:tcPr/>
          <w:p>
            <w:pPr>
              <w:pStyle w:val="Compact"/>
              <w:jc w:val="left"/>
            </w:pPr>
            <w:r>
              <w:t xml:space="preserve">legacy_comparison described the v1.01 baseline and its script wrote a different file name.</w:t>
            </w:r>
          </w:p>
        </w:tc>
        <w:tc>
          <w:tcPr/>
          <w:p>
            <w:pPr>
              <w:pStyle w:val="Compact"/>
              <w:jc w:val="left"/>
            </w:pPr>
            <w:r>
              <w:t xml:space="preserve">Re-run on v2.2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(v1.09 / v2.3)</w:t>
            </w:r>
          </w:p>
        </w:tc>
        <w:tc>
          <w:tcPr/>
          <w:p>
            <w:pPr>
              <w:pStyle w:val="Compact"/>
              <w:jc w:val="left"/>
            </w:pPr>
            <w:r>
              <w:t xml:space="preserve">Since v1.09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(v2.3 build / v2.3)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(v3.6 / v3.13)</w:t>
            </w:r>
          </w:p>
        </w:tc>
        <w:tc>
          <w:tcPr/>
          <w:p>
            <w:pPr>
              <w:pStyle w:val="Compact"/>
              <w:jc w:val="left"/>
            </w:pPr>
            <w:r>
              <w:t xml:space="preserve">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(v3.5 / v4.16)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(v4.2 / v5.3)</w:t>
            </w:r>
          </w:p>
        </w:tc>
        <w:tc>
          <w:tcPr/>
          <w:p>
            <w:pPr>
              <w:pStyle w:val="Compact"/>
              <w:jc w:val="left"/>
            </w:pPr>
            <w:r>
              <w:t xml:space="preserve">The 21 LAMBDA-library texts of the power pollutant rows (sheet Lambdas, column C) still named the sheet Inputs_power: the v3.13 fix (M12) re-pointed the texts only on sheets that stay in place, and Lambdas is an appended block since v4.2; pasted, they gave #NAME?.</w:t>
            </w:r>
          </w:p>
        </w:tc>
        <w:tc>
          <w:tcPr/>
          <w:p>
            <w:pPr>
              <w:pStyle w:val="Compact"/>
              <w:jc w:val="left"/>
            </w:pPr>
            <w:r>
              <w:t xml:space="preserve">merge_tabs re-points the Lambdas texts of an appended block too (host Mitigation); the full check lists any text naming a merged-away sheet.</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Legacy_CPAT_Bugs_v8.5.docx.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v8.5</dc:title>
  <dc:creator/>
  <cp:keywords/>
  <dcterms:created xsi:type="dcterms:W3CDTF">2026-10-29T01:56:03Z</dcterms:created>
  <dcterms:modified xsi:type="dcterms:W3CDTF">2026-10-29T01:56:03Z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