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v8.5</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 chapter Emissions).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101"/>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101"/>
        </w:numPr>
        <w:pStyle w:val="Compact"/>
      </w:pPr>
      <w:r>
        <w:t xml:space="preserve">food &amp; forestry takes construction (off-road machinery);</w:t>
      </w:r>
    </w:p>
    <w:p>
      <w:pPr>
        <w:numPr>
          <w:ilvl w:val="0"/>
          <w:numId w:val="1101"/>
        </w:numPr>
        <w:pStyle w:val="Compact"/>
      </w:pPr>
      <w:r>
        <w:t xml:space="preserve">biomass takes residential;</w:t>
      </w:r>
    </w:p>
    <w:p>
      <w:pPr>
        <w:numPr>
          <w:ilvl w:val="0"/>
          <w:numId w:val="1101"/>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105"/>
        </w:numPr>
        <w:pStyle w:val="Compact"/>
      </w:pPr>
      <w:r>
        <w:t xml:space="preserve">Legacy gives a zero factor to subsectors with no GAINS match (legacy bug L58, user decision 2026-10-18; was issue I27). Here every subsector is mapped to a GAINS subsector.</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v8.5</dc:title>
  <dc:creator/>
  <cp:keywords/>
  <dcterms:created xsi:type="dcterms:W3CDTF">2026-10-29T01:56:04Z</dcterms:created>
  <dcterms:modified xsi:type="dcterms:W3CDTF">2026-10-29T01:56:04Z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