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v8.2</w:t>
      </w:r>
    </w:p>
    <w:p>
      <w:pPr>
        <w:pStyle w:val="Subtitle"/>
      </w:pPr>
      <w:r>
        <w:t xml:space="preserve">Methods</w:t>
      </w:r>
    </w:p>
    <w:p>
      <w:pPr>
        <w:pStyle w:val="Date"/>
      </w:pP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I4).</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v6.1, I49). The producer subsidy phase-out is not in</w:t>
      </w:r>
      <w:r>
        <w:t xml:space="preserve"> </w:t>
      </w:r>
      <w:r>
        <w:rPr>
          <w:rStyle w:val="VerbatimChar"/>
        </w:rPr>
        <w:t xml:space="preserve">sp</w:t>
      </w:r>
      <w:r>
        <w:t xml:space="preserve">: it is a separate new-policy wedge (section 6b; v6.2).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953680b0ca692b5107991fdb156386072d3046e"/>
    <w:p>
      <w:pPr>
        <w:pStyle w:val="Heading3"/>
      </w:pPr>
      <w:r>
        <w:t xml:space="preserve">6b. Subsidy and price-control phase-outs, producer subsidies (v4.16;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europe-gas-market-shift-to-lng-v5.6-ld20"/>
    <w:p>
      <w:pPr>
        <w:pStyle w:val="Heading3"/>
      </w:pPr>
      <w:r>
        <w:t xml:space="preserve">Europe gas market: shift to LNG (v5.6,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CPAT-AI_BugsAndIssues_v6.4.docx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6.4.md"/>
    <w:p>
      <w:pPr>
        <w:pStyle w:val="Heading3"/>
      </w:pPr>
      <w:r>
        <w:t xml:space="preserve">3. Validation (</w:t>
      </w:r>
      <w:r>
        <w:rPr>
          <w:rStyle w:val="VerbatimChar"/>
        </w:rPr>
        <w:t xml:space="preserve">check_report_v6.4.md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59a85293ea030b6d56eac7e81a1770e7b1fde32"/>
    <w:p>
      <w:pPr>
        <w:pStyle w:val="Heading3"/>
      </w:pPr>
      <w:r>
        <w:t xml:space="preserve">Manual capacity and investment (v5.6,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5.6-power-plan-p5"/>
    <w:p>
      <w:pPr>
        <w:pStyle w:val="Heading3"/>
      </w:pPr>
      <w:r>
        <w:t xml:space="preserve">Coal implicit cost (v5.6,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ba7185b29dc9af4de07ab2cd1e17cc40ace9c74"/>
    <w:p>
      <w:pPr>
        <w:pStyle w:val="Heading3"/>
      </w:pPr>
      <w:r>
        <w:t xml:space="preserve">v5.6: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fb832e3939a8359d05d7442e817aca352d401c8"/>
    <w:p>
      <w:pPr>
        <w:pStyle w:val="Heading2"/>
      </w:pPr>
      <w:r>
        <w:t xml:space="preserve">Engineer road transport model: data and Python reference (v3.5,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subsector, fuel and pollutant, base year and final</w:t>
            </w:r>
          </w:p>
        </w:tc>
        <w:tc>
          <w:tcPr/>
          <w:p>
            <w:pPr>
              <w:pStyle w:val="Compact"/>
              <w:jc w:val="left"/>
            </w:pPr>
            <w:r>
              <w:t xml:space="preserve">Legacy sheet EF_PM (GAINS)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v6.0 loop came from price-block average ranges that ran into section 11, fixed in v6.2.)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A fuel that its GAINS subsector has no factor for takes the nearest GAINS match (v4.12, legacy bug L59, as the local pollutants: chapter Emissions).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(I17):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v4.11; switch on)</w:t>
      </w:r>
      <w:r>
        <w:t xml:space="preserve">: every CO2 emission factor is scaled by the 2021 inventory over the 2022 estimate (Egypt 0.930; chapter Emissions); the 2021-2022 inventory break (I17)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2b436f3c6ad7936d10a6bd1d76c1918d5aae6da"/>
    <w:p>
      <w:pPr>
        <w:pStyle w:val="Heading3"/>
      </w:pPr>
      <w:r>
        <w:t xml:space="preserve">Fuel production for supply methane (v5.6,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c5089baab3a50f5dc2d588867538f0f337558c3"/>
    <w:p>
      <w:pPr>
        <w:pStyle w:val="Heading3"/>
      </w:pPr>
      <w:r>
        <w:t xml:space="preserve">NDC comparison (v5.7,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I67 (China CO2 hard-coded in legacy: not</w:t>
      </w:r>
      <w:r>
        <w:t xml:space="preserve"> </w:t>
      </w:r>
      <w:r>
        <w:t xml:space="preserve">replicated), I68 (reference years outside the data: N/A; v6.1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aaef4dd214a935361c3a65b5bf5e428af3a74e3"/>
    <w:p>
      <w:pPr>
        <w:pStyle w:val="Heading3"/>
      </w:pPr>
      <w:r>
        <w:t xml:space="preserve">2. Results for Egypt (scenario 1, energy CO2, Mt; v4.11)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I17), and legacy’s rule carries that break into every year: calibrated CO2 is 16-29% below the 2022-2024 inventory. The 2023 dip is the fuel-use shock of legacy row 483 (I22,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v4.11 (before: the last inventory year GHGYear and the switch off, user decisions v3.2 and v3.4).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GAINS subsector, fuel and pollutant, base year and final, kt per PJ</w:t>
            </w:r>
          </w:p>
        </w:tc>
        <w:tc>
          <w:tcPr/>
          <w:p>
            <w:pPr>
              <w:pStyle w:val="Compact"/>
              <w:jc w:val="left"/>
            </w:pPr>
            <w:r>
              <w:t xml:space="preserve">Legacy sheet EF_PM (GAINS);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Each subsector takes the GAINS subsector of its CH4 factor: services use the residential factors, rail the road factors, and industry and other energy use the manufacturing factors (legacy bug L58). Power uses factors by generation type.</w:t>
      </w:r>
    </w:p>
    <w:p>
      <w:pPr>
        <w:pStyle w:val="BodyText"/>
      </w:pPr>
      <w:r>
        <w:t xml:space="preserve">A fuel that its GAINS subsector has no factor for takes the nearest GAINS match (v4.12, legacy bug L59, user decision 2026-10-18; was issue I35; Inputs columns</w:t>
      </w:r>
      <w:r>
        <w:t xml:space="preserve"> </w:t>
      </w:r>
      <w:r>
        <w:rPr>
          <w:rStyle w:val="VerbatimChar"/>
        </w:rPr>
        <w:t xml:space="preserve">efxs</w:t>
      </w:r>
      <w:r>
        <w:t xml:space="preserve"> </w:t>
      </w:r>
      <w:r>
        <w:t xml:space="preserve">to</w:t>
      </w:r>
      <w:r>
        <w:t xml:space="preserve"> </w:t>
      </w:r>
      <w:r>
        <w:rPr>
          <w:rStyle w:val="VerbatimChar"/>
        </w:rPr>
        <w:t xml:space="preserve">eff</w:t>
      </w:r>
      <w:r>
        <w:t xml:space="preserve">):</w:t>
      </w:r>
    </w:p>
    <w:p>
      <w:pPr>
        <w:numPr>
          <w:ilvl w:val="0"/>
          <w:numId w:val="1101"/>
        </w:numPr>
        <w:pStyle w:val="Compact"/>
      </w:pPr>
      <w:r>
        <w:t xml:space="preserve">LPG takes natural gas of the same GAINS subsector (both are gaseous fuels burnt in similar appliances; the only LPG factors in the data are for construction, i.e. off-road engines, with a CO factor about 300 times that of a gas stove);</w:t>
      </w:r>
    </w:p>
    <w:p>
      <w:pPr>
        <w:numPr>
          <w:ilvl w:val="0"/>
          <w:numId w:val="1101"/>
        </w:numPr>
        <w:pStyle w:val="Compact"/>
      </w:pPr>
      <w:r>
        <w:t xml:space="preserve">food &amp; forestry takes construction (off-road machinery);</w:t>
      </w:r>
    </w:p>
    <w:p>
      <w:pPr>
        <w:numPr>
          <w:ilvl w:val="0"/>
          <w:numId w:val="1101"/>
        </w:numPr>
        <w:pStyle w:val="Compact"/>
      </w:pPr>
      <w:r>
        <w:t xml:space="preserve">biomass takes residential;</w:t>
      </w:r>
    </w:p>
    <w:p>
      <w:pPr>
        <w:numPr>
          <w:ilvl w:val="0"/>
          <w:numId w:val="1101"/>
        </w:numPr>
        <w:pStyle w:val="Compact"/>
      </w:pPr>
      <w:r>
        <w:t xml:space="preserve">any other fuel takes manufacturing (construction for manufacturing itself).</w:t>
      </w:r>
    </w:p>
    <w:p>
      <w:pPr>
        <w:pStyle w:val="FirstParagraph"/>
      </w:pPr>
      <w:r>
        <w:t xml:space="preserve">Egypt 2022: residential LPG (3,182 ktoe) takes residential gas, other mining diesel (3,819) and fuel transformation LPG (2,466; manufacturing gas) the manufacturing factors, food &amp; forestry diesel (927) construction diesel. A pollutant missing for a fuel that the subsector does have factors for (for example organic carbon of manufacturing coal) stays 0: GAINS lists no zero factors.</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v4.12 (with the nearest GAINS factors, bug L59): PM2.5 is 95.6 kt in 2022 and 94.8 kt in 2040; NOx 886 kt in 2022. The check recomputes all rows of the block in Python for scenarios 1 and 2.</w:t>
      </w:r>
    </w:p>
    <w:p>
      <w:pPr>
        <w:pStyle w:val="BodyText"/>
      </w:pPr>
      <w:r>
        <w:t xml:space="preserve">The module’s input table in 2022 (kt): NOx 886, SO2 317, BC 33.2, POM 48.3, other PM2.5 14.1, VOC 377, CH4 2,150, CO 2,473, PM2.5 95.6, OC 37.2. Sectors without the fuels of bug L59 match the legacy input table (rows 15861-15948, in tonnes): gas power plants’ NOx is 104,502 t and road NOx 569,560 t in both. Before v4.12 (fuels without a factor at 0, as legacy) the totals were NOx 801, SO2 300, PM2.5 90.8: the fix adds residential LPG (as gas), mining and food &amp; forestry diesel and fuel transformation LPG. CH4 is above legacy’s 1,936 kt also because the prototype adds combustion CH4 and all fuel-supply methane, while legacy has extraction only (I34).</w:t>
      </w:r>
    </w:p>
    <w:p>
      <w:pPr>
        <w:pStyle w:val="BodyText"/>
      </w:pPr>
      <w:r>
        <w:t xml:space="preserve">Forcing in 2022: total -18.6 Mt CO2e (v4.11: -17.5; legacy cached -16.3); black carbon 11.9, CO 4.9, VOC 2.3, organic carbon -4.5, NOx -6.3, SO2 -27.0. The legacy values differ by the fuels of bug L59, and by 2040 also because fuel use and the factor paths differ.</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Legacy gives fuels with no GAINS factor zero emissions (legacy bug L59, user decision 2026-10-18; was issue I35). Egypt 2022: residential LPG, mining diesel, food &amp; forestry diesel and fuel transformation LPG, about 10 Mtoe in all; food &amp; forestry shows about 1 t of NOx in legacy (row 15939). Here they take the nearest GAINS match (section 1).</w:t>
      </w:r>
    </w:p>
    <w:p>
      <w:pPr>
        <w:numPr>
          <w:ilvl w:val="0"/>
          <w:numId w:val="1105"/>
        </w:numPr>
        <w:pStyle w:val="Compact"/>
      </w:pPr>
      <w:r>
        <w:t xml:space="preserve">Legacy gives a zero factor to subsectors with no GAINS match (legacy bug L58, user decision 2026-10-18; was issue I27). Here every subsector is mapped to a GAINS subsector.</w:t>
      </w:r>
    </w:p>
    <w:p>
      <w:pPr>
        <w:numPr>
          <w:ilvl w:val="0"/>
          <w:numId w:val="1105"/>
        </w:numPr>
        <w:pStyle w:val="Compact"/>
      </w:pPr>
      <w:r>
        <w:t xml:space="preserve">Food &amp; forestry is split into food and forestry/agriculture as legacy (v4.11,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(v4.15, LD55): total revenue of the scenario (existing taxes net of subsidies plus new policies, power included: rnet + rnew, v4.16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8e08f547e6bcd3d4cfd8ffea8e832bbbfe9176d"/>
    <w:p>
      <w:pPr>
        <w:pStyle w:val="Heading3"/>
      </w:pPr>
      <w:r>
        <w:t xml:space="preserve">2b. Timing rule (stated v6.2,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(v4.15: total revenue; v4.14,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(v4.15): total revenue, as legacy (the v3.1 reading</w:t>
      </w:r>
      <w:r>
        <w:t xml:space="preserve"> </w:t>
      </w:r>
      <w:r>
        <w:t xml:space="preserve">“</w:t>
      </w:r>
      <w:r>
        <w:t xml:space="preserve">new-policy revenue only</w:t>
      </w:r>
      <w:r>
        <w:t xml:space="preserve">”</w:t>
      </w:r>
      <w:r>
        <w:t xml:space="preserve"> </w:t>
      </w:r>
      <w:r>
        <w:t xml:space="preserve">misread legacy’s code rev.new.usd, which is the total). v6.2: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v4.16: fis.rev adds its parts (rnet + rnew + rsr + rpsu); the v4.15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beb510be05f5f6a1de9f6420c55e6669a3f447f"/>
    <w:p>
      <w:pPr>
        <w:pStyle w:val="Heading3"/>
      </w:pPr>
      <w:r>
        <w:t xml:space="preserve">5. Memo rows (v5.7;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6169ebda8d527965e89bce87b8b493065c89cc4"/>
    <w:p>
      <w:pPr>
        <w:pStyle w:val="Heading3"/>
      </w:pPr>
      <w:r>
        <w:t xml:space="preserve">2. 12d Fiscal reports (v3.13;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7fa80597d51390cc103d5e975abbe88ffd1b65d"/>
    <w:p>
      <w:pPr>
        <w:pStyle w:val="Heading3"/>
      </w:pPr>
      <w:r>
        <w:t xml:space="preserve">3. 11b Energy consumption: change against scenario 1 (v3.14;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f8cecd437d3e7bfef71856a49a84da1afecc76a"/>
    <w:p>
      <w:pPr>
        <w:pStyle w:val="Heading3"/>
      </w:pPr>
      <w:r>
        <w:t xml:space="preserve">4. 13b CO2 change, grid emission intensity, Kaya identity (v3.14;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v3.14-v3.17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I37).</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106f305d6bc6dd44c0bc3298f541f17c4690569"/>
    <w:p>
      <w:pPr>
        <w:pStyle w:val="Heading3"/>
      </w:pPr>
      <w:r>
        <w:t xml:space="preserve">5. 14b GHG change and energy GHGs including forcing (v3.14;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3b728790f042e1a64c4b92f43dc2fa3b21a3b46"/>
    <w:p>
      <w:pPr>
        <w:pStyle w:val="Heading3"/>
      </w:pPr>
      <w:r>
        <w:t xml:space="preserve">6. Section 17 Carbon pricing (v3.15;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8fad9bcece15deb2168184fac8675981191faeb"/>
    <w:p>
      <w:pPr>
        <w:pStyle w:val="Heading3"/>
      </w:pPr>
      <w:r>
        <w:t xml:space="preserve">7. 16b External balance (v3.16;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b88d4916b821299d228e71c8e59c5e430b6f67d"/>
    <w:p>
      <w:pPr>
        <w:pStyle w:val="Heading3"/>
      </w:pPr>
      <w:r>
        <w:t xml:space="preserve">8. Section 18 Welfare and externalities, climate part (v3.17;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9eb81c30e0da18543d2c9dbbd950114a172541b"/>
    <w:p>
      <w:pPr>
        <w:pStyle w:val="Heading3"/>
      </w:pPr>
      <w:r>
        <w:t xml:space="preserve">2b. Main scenario choice and regulations as shadow prices (v4.16,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(v4.8; row 10 before).</w:t>
            </w:r>
          </w:p>
        </w:tc>
      </w:tr>
      <w:tr>
        <w:tc>
          <w:tcPr/>
          <w:p>
            <w:pPr>
              <w:pStyle w:val="Compact"/>
              <w:jc w:val="left"/>
            </w:pPr>
            <w:r>
              <w:t xml:space="preserve">Roll-up (v4.8,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f0bac8f7d64b088a7746f3230a3c38c79ee2a"/>
    <w:p>
      <w:pPr>
        <w:pStyle w:val="Heading3"/>
      </w:pPr>
      <w:r>
        <w:t xml:space="preserve">5. Options and outputs added in v6.0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D10). A program without data for the country falls back to cash and the settings check says so (legacy drops</w:t>
      </w:r>
      <w:r>
        <w:t xml:space="preserve"> </w:t>
      </w:r>
      <w:r>
        <w:t xml:space="preserve">the transfer, D11). Median statistic: the transfer reaches only deciles where more than half receive (legacy row 2685;</w:t>
      </w:r>
      <w:r>
        <w:t xml:space="preserve"> </w:t>
      </w:r>
      <w:r>
        <w:t xml:space="preserve">the money not paid is not redistributed, as legacy); public investment and current spending are not flagged (D13).</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D20-D21),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(D18-D19),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D26), rank and top 20 (ties broken, D25), 14 CPAT sectors (chemicals and power added, D24)</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(D27).</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v4.13. Residential biomass has εY = 0 unless MTInputs</w:t>
      </w:r>
      <w:r>
        <w:t xml:space="preserve"> </w:t>
      </w:r>
      <w:r>
        <w:rPr>
          <w:rStyle w:val="VerbatimChar"/>
        </w:rPr>
        <w:t xml:space="preserve">BiomassNormal</w:t>
      </w:r>
      <w:r>
        <w:t xml:space="preserve"> </w:t>
      </w:r>
      <w:r>
        <w:t xml:space="preserve">= Yes (legacy row 5567; v4.13).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9271059c42f47575b1fb663e78b6ce2e160baf3"/>
    <w:p>
      <w:pPr>
        <w:pStyle w:val="Heading3"/>
      </w:pPr>
      <w:r>
        <w:t xml:space="preserve">Initially exempt residential demand (v5.6,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v4.7,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(v4.10, NORMS 0; v4.7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v4.6 results against v4.5: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(I38).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v4.7: PowerTech, PowerPaths, PowerParams (now Inputs blocks from Power, CoC, Balances, WEO, GHGs).</w:t>
      </w:r>
    </w:p>
    <w:p>
      <w:pPr>
        <w:numPr>
          <w:ilvl w:val="0"/>
          <w:numId w:val="1145"/>
        </w:numPr>
        <w:pStyle w:val="Compact"/>
      </w:pPr>
      <w:r>
        <w:t xml:space="preserve">v4.12: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v5.2 on sheet Manual inputs, shown on Settings). Inputs columns efxs:eff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v8.2</dc:title>
  <dc:creator/>
  <cp:keywords/>
  <dcterms:created xsi:type="dcterms:W3CDTF">2026-10-23T01:13:35Z</dcterms:created>
  <dcterms:modified xsi:type="dcterms:W3CDTF">2026-10-23T01:13:35Z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2026-10-23</vt:lpwstr>
  </property>
  <property fmtid="{D5CDD505-2E9C-101B-9397-08002B2CF9AE}" pid="3" name="subtitle">
    <vt:lpwstr>Methods</vt:lpwstr>
  </property>
</Properties>
</file>