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v1.0.1</w:t>
      </w:r>
    </w:p>
    <w:p>
      <w:pPr>
        <w:pStyle w:val="Subtitle"/>
      </w:pPr>
      <w:r>
        <w:t xml:space="preserve">Methods</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Legacy row numbers in this volume are rows of CPAT 1.0pre_456_NoPropData.xlsb, the file the prototype was built and checked against. In the latest file, CPAT 1.0pre_465, Mitigation rows from 5667 on sit 11 to 15 rows higher; the bug-fix register quotes 465 rows (v0.8.2).</w:t>
      </w:r>
    </w:p>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 chapter Power.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I89).</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v0.4.10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v0.6.1, I49). The producer subsidy phase-out is not in</w:t>
      </w:r>
      <w:r>
        <w:t xml:space="preserve"> </w:t>
      </w:r>
      <w:r>
        <w:rPr>
          <w:rStyle w:val="VerbatimChar"/>
        </w:rPr>
        <w:t xml:space="preserve">sp</w:t>
      </w:r>
      <w:r>
        <w:t xml:space="preserve">: it is a separate new-policy wedge (section 6b; v0.6.2).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(v0.4.12,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v0.4.12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(chapter Power).</w:t>
      </w:r>
    </w:p>
    <w:bookmarkEnd w:id="28"/>
    <w:bookmarkStart w:id="29" w:name="Xd28c7216f5dc55846afbca458ba4bd06d4ed781"/>
    <w:p>
      <w:pPr>
        <w:pStyle w:val="Heading3"/>
      </w:pPr>
      <w:r>
        <w:t xml:space="preserve">6b. Subsidy and price-control phase-outs, producer subsidies (v0.4.16;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(v0.6.1,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(v0.6.2,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(v0.4.15,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(LiveOutputs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(v0.4.15,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Xcc6058121b23a93c239150d4da54a1e96fe02c0"/>
    <w:p>
      <w:pPr>
        <w:pStyle w:val="Heading3"/>
      </w:pPr>
      <w:r>
        <w:t xml:space="preserve">Europe gas market: shift to LNG (v0.5.6,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 chapter Power.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Legacy_CPAT_Bugs_v&lt;version&gt;.docx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(chapter Prices 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(chapter Power 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0.6.4.md"/>
    <w:p>
      <w:pPr>
        <w:pStyle w:val="Heading3"/>
      </w:pPr>
      <w:r>
        <w:t xml:space="preserve">3. Validation (</w:t>
      </w:r>
      <w:r>
        <w:rPr>
          <w:rStyle w:val="VerbatimChar"/>
        </w:rPr>
        <w:t xml:space="preserve">check_report_v0.6.4.md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31f18f0880618b9283d19514558cbfa06612c85"/>
    <w:p>
      <w:pPr>
        <w:pStyle w:val="Heading3"/>
      </w:pPr>
      <w:r>
        <w:t xml:space="preserve">Manual capacity and investment (v0.5.6,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0.5.6-power-plan-p5"/>
    <w:p>
      <w:pPr>
        <w:pStyle w:val="Heading3"/>
      </w:pPr>
      <w:r>
        <w:t xml:space="preserve">Coal implicit cost (v0.5.6,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(chapter Power):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(chapter Power,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v0.6.2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v0.6.2,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(chapter Prices 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check_report_v0.1.05.md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aa417053ba27ac5ed42569850ecc2fdaa00f8c2"/>
    <w:p>
      <w:pPr>
        <w:pStyle w:val="Heading3"/>
      </w:pPr>
      <w:r>
        <w:t xml:space="preserve">v0.5.6: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v0.4.10: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 chapter Transport; bugs fixed and decisions against legacy: chapter Transport; the legacy model:</w:t>
      </w:r>
      <w:r>
        <w:t xml:space="preserve"> </w:t>
      </w:r>
      <w:r>
        <w:rPr>
          <w:rStyle w:val="VerbatimChar"/>
        </w:rPr>
        <w:t xml:space="preserve">Transport_Legacy_Survey.md</w:t>
      </w:r>
      <w:r>
        <w:t xml:space="preserve"> </w:t>
      </w:r>
      <w:r>
        <w:t xml:space="preserve">and chapter Transport.</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(v0.4.12,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v0.3.4.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 chapter Transport.</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t xml:space="preserve">chapter Transport,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t xml:space="preserve">chapter Transport;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v0.3.4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check_report_v0.6.4.md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v0.3.4: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03623d83316ab48f0691451ed3f411738db1e6d"/>
    <w:p>
      <w:pPr>
        <w:pStyle w:val="Heading2"/>
      </w:pPr>
      <w:r>
        <w:t xml:space="preserve">Engineer road transport model: data and Python reference (v0.3.5,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(v0.5.2: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 chapter Transport.</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 chapter Transport 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 chapter Transport.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v0.3.4)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country or region, subsector, fuel and pollutant, base year and final</w:t>
            </w:r>
          </w:p>
        </w:tc>
        <w:tc>
          <w:tcPr/>
          <w:p>
            <w:pPr>
              <w:pStyle w:val="Compact"/>
              <w:jc w:val="left"/>
            </w:pPr>
            <w:r>
              <w:t xml:space="preserve">Legacy sheet EF_PM (GAINS; all countries and World Bank regions)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(v0.6.2,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v0.6.0 loop came from price-block average ranges that ran into section 11, fixed in v0.6.2.)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(v0.4.12,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The factor is looked up by legacy EF code as for the local pollutants (v0.9.0: country, else World Bank region, else world; table Inputs_nc). Legacy 465 has these lookups but leaves the CH4 factors blank, so its combustion CH4 is zero (issue I34).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v0.6.2: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v0.5.6)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(v0.2.8),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 chapter Emissions.</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(I91):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v0.4.11; switch on)</w:t>
      </w:r>
      <w:r>
        <w:t xml:space="preserve">: every CO2 emission factor is scaled by the 2021 inventory over the 2022 estimate (Egypt 0.930; chapter Emissions); the 2021-2022 inventory break (I91)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c82f351f3e462f37b8c32cb9ceca4338fcbab6d"/>
    <w:p>
      <w:pPr>
        <w:pStyle w:val="Heading3"/>
      </w:pPr>
      <w:r>
        <w:t xml:space="preserve">Fuel production for supply methane (v0.5.6,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ba57b4978117dded288e7d4ef35612adfe2ae12"/>
    <w:p>
      <w:pPr>
        <w:pStyle w:val="Heading3"/>
      </w:pPr>
      <w:r>
        <w:t xml:space="preserve">NDC comparison (v0.5.7,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v0.6.1;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L169 (China CO2 hard-coded in legacy: not</w:t>
      </w:r>
      <w:r>
        <w:t xml:space="preserve"> </w:t>
      </w:r>
      <w:r>
        <w:t xml:space="preserve">replicated), I95 (reference years outside the data: N/A; v0.6.1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v0.4.11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v0.4.9),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7ddad83efe99e12d5587c7b24ed5d7469da10ac"/>
    <w:p>
      <w:pPr>
        <w:pStyle w:val="Heading3"/>
      </w:pPr>
      <w:r>
        <w:t xml:space="preserve">2. Results for Egypt (scenario 1, energy CO2, Mt; v0.4.11)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I91), and legacy’s rule carries that break into every year: calibrated CO2 is 16-29% below the 2022-2024 inventory. The 2023 dip is the fuel-use shock of legacy row 483 (I92,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v0.4.11 (before: the last inventory year GHGYear and the switch off, user decisions v0.3.2 and v0.3.4).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LiveOutputs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country or World Bank region, GAINS subsector, fuel and pollutant, base year and final, kt per PJ</w:t>
            </w:r>
          </w:p>
        </w:tc>
        <w:tc>
          <w:tcPr/>
          <w:p>
            <w:pPr>
              <w:pStyle w:val="Compact"/>
              <w:jc w:val="left"/>
            </w:pPr>
            <w:r>
              <w:t xml:space="preserve">Legacy sheet EF_PM (GAINS, all countries and regions);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The factors are those of legacy 465 (Mitigation rows 1052-1663; v0.9.0), in a table by legacy EF code on sheet Inputs_nc (Inputs, merged view):</w:t>
      </w:r>
    </w:p>
    <w:p>
      <w:pPr>
        <w:numPr>
          <w:ilvl w:val="0"/>
          <w:numId w:val="1101"/>
        </w:numPr>
        <w:pStyle w:val="Compact"/>
      </w:pPr>
      <w:r>
        <w:t xml:space="preserve">the legacy EF subsector of each subsector: road, rail, aviation (jet fuel), residential, services, construction, other manufacturing, food &amp; forestry and other energy keep their own code; mining &amp; chemicals, iron &amp; steel, other metals, machinery, cement and fuel transformation take manufacturing (</w:t>
      </w:r>
      <w:r>
        <w:rPr>
          <w:rStyle w:val="VerbatimChar"/>
        </w:rPr>
        <w:t xml:space="preserve">mnf</w:t>
      </w:r>
      <w:r>
        <w:t xml:space="preserve">, legacy rows 6388-6395); navigation, which legacy leaves out (bug L22), takes its own GAINS code</w:t>
      </w:r>
      <w:r>
        <w:t xml:space="preserve"> </w:t>
      </w:r>
      <w:r>
        <w:rPr>
          <w:rStyle w:val="VerbatimChar"/>
        </w:rPr>
        <w:t xml:space="preserve">nav</w:t>
      </w:r>
      <w:r>
        <w:t xml:space="preserve">;</w:t>
      </w:r>
    </w:p>
    <w:p>
      <w:pPr>
        <w:numPr>
          <w:ilvl w:val="0"/>
          <w:numId w:val="1101"/>
        </w:numPr>
        <w:pStyle w:val="Compact"/>
      </w:pPr>
      <w:r>
        <w:t xml:space="preserve">the factor of the country (</w:t>
      </w:r>
      <w:r>
        <w:rPr>
          <w:rStyle w:val="VerbatimChar"/>
        </w:rPr>
        <w:t xml:space="preserve">egy.mit.ef.&lt;sub&gt;.&lt;fuel&gt;.&lt;pollutant&gt;</w:t>
      </w:r>
      <w:r>
        <w:t xml:space="preserve">), else of its World Bank region (</w:t>
      </w:r>
      <w:r>
        <w:rPr>
          <w:rStyle w:val="VerbatimChar"/>
        </w:rPr>
        <w:t xml:space="preserve">CtryReg</w:t>
      </w:r>
      <w:r>
        <w:t xml:space="preserve">, Egypt</w:t>
      </w:r>
      <w:r>
        <w:t xml:space="preserve"> </w:t>
      </w:r>
      <w:r>
        <w:rPr>
          <w:rStyle w:val="VerbatimChar"/>
        </w:rPr>
        <w:t xml:space="preserve">mea</w:t>
      </w:r>
      <w:r>
        <w:t xml:space="preserve">), else of the world (</w:t>
      </w:r>
      <w:r>
        <w:rPr>
          <w:rStyle w:val="VerbatimChar"/>
        </w:rPr>
        <w:t xml:space="preserve">wld</w:t>
      </w:r>
      <w:r>
        <w:t xml:space="preserve">, absent from the data), else 0;</w:t>
      </w:r>
    </w:p>
    <w:p>
      <w:pPr>
        <w:numPr>
          <w:ilvl w:val="0"/>
          <w:numId w:val="1101"/>
        </w:numPr>
        <w:pStyle w:val="Compact"/>
      </w:pPr>
      <w:r>
        <w:t xml:space="preserve">other energy (</w:t>
      </w:r>
      <w:r>
        <w:rPr>
          <w:rStyle w:val="VerbatimChar"/>
        </w:rPr>
        <w:t xml:space="preserve">oen</w:t>
      </w:r>
      <w:r>
        <w:t xml:space="preserve">) takes, for each fuel and pollutant, the maximum factor across the other legacy subsectors (power included), as the legacy note says (issue I147);</w:t>
      </w:r>
    </w:p>
    <w:p>
      <w:pPr>
        <w:numPr>
          <w:ilvl w:val="0"/>
          <w:numId w:val="1101"/>
        </w:numPr>
        <w:pStyle w:val="Compact"/>
      </w:pPr>
      <w:r>
        <w:t xml:space="preserve">only the fuel and subsector pairs of the legacy table have factors (power: coal, gas, oil, biomass; road: gasoline, diesel, LPG, kerosene, gas; rail: diesel; aviation: jet fuel; residential: no gasoline or diesel); a pair or pollutant with no factor in the chain gives 0, as legacy (for example power biomass, road kerosene, residential oil, construction coal, gas, oil and biomass, services and other manufacturing coal; organic carbon and SO2 of LPG). None of these pairs burns fuel in Egypt.</w:t>
      </w:r>
    </w:p>
    <w:p>
      <w:pPr>
        <w:pStyle w:val="FirstParagraph"/>
      </w:pPr>
      <w:r>
        <w:t xml:space="preserve">The country-region-world chain covers the cases that bugs L58 (subsectors without a GAINS match) and L59 (fuels without a GAINS factor) fixed in v0.2.9 and v0.4.12 (nearest GAINS match): the CPAT team fixed them in 465. Egypt 2022: food &amp; forestry diesel, residential and fuel-transformation LPG, other-manufacturing diesel and LPG take the Middle East &amp; North Africa factors, as legacy.</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(v0.3.12)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v0.9.0 (factors of legacy 465): in 2022 every module sector equals the legacy input table (rows 15844-16053, tonnes) for every pollutant except</w:t>
      </w:r>
      <w:r>
        <w:t xml:space="preserve"> </w:t>
      </w:r>
      <w:r>
        <w:t xml:space="preserve">“</w:t>
      </w:r>
      <w:r>
        <w:t xml:space="preserve">other</w:t>
      </w:r>
      <w:r>
        <w:t xml:space="preserve">”</w:t>
      </w:r>
      <w:r>
        <w:t xml:space="preserve">, which adds navigation (bug L22: NOx +14.8 kt, SO2 +13.7 kt, BC +0.6 kt, PM2.5 +1.5 kt), and CH4 (combustion CH4 and all fuel supply methane, issue I34). Gas power plants’ NOx is 96,931 t, road NOx 557,470 t, food &amp; forestry black carbon 3.8 t in both. Modelled ambient PM2.5 in 2022 is 33.06 ug/m3 against legacy 30.17; the difference is navigation’s (2.89). In 2030 the sectors differ from legacy by the fuel-use paths (gas plants 0.88, other plants 0.62, road 0.70-0.77, food &amp; forestry 0.58 of legacy), not by the factors.</w:t>
      </w:r>
    </w:p>
    <w:p>
      <w:pPr>
        <w:pStyle w:val="BodyText"/>
      </w:pPr>
      <w:r>
        <w:t xml:space="preserve">The check recomputes all rows of the block in Python for scenarios 1 and 2.</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Bugs L58 and L59 (subsectors and fuels without a GAINS factor) were fixed by the CPAT team in 465 (country, else region, else world factors); the prototype follows 465 (v0.9.0) and keeps 0 where the 465 chain has no factor, as no such pair burns fuel in Egypt.</w:t>
      </w:r>
    </w:p>
    <w:p>
      <w:pPr>
        <w:numPr>
          <w:ilvl w:val="0"/>
          <w:numId w:val="1105"/>
        </w:numPr>
        <w:pStyle w:val="Compact"/>
      </w:pPr>
      <w:r>
        <w:t xml:space="preserve">Other energy takes the maximum factor of the fuel across the other subsectors (issue I147). Legacy takes the maximum year by year; the prototype the maximum of the base and of the final factors with the line between them, the same where one subsector holds the maximum throughout (Egypt: other oil products, the only fuel of other energy).</w:t>
      </w:r>
    </w:p>
    <w:p>
      <w:pPr>
        <w:numPr>
          <w:ilvl w:val="0"/>
          <w:numId w:val="1105"/>
        </w:numPr>
        <w:pStyle w:val="Compact"/>
      </w:pPr>
      <w:r>
        <w:t xml:space="preserve">Food &amp; forestry is split into food and forestry/agriculture as legacy (v0.4.11,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 chapter ETS 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(v0.4.15,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(v0.3.3;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 chapter ETS.</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6"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v0.4.15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(v0.4.15, LD55): total revenue of the scenario (existing taxes net of subsidies plus new policies, power included: rnet + rnew, v0.4.16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(v0.4.15,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644b21a46e83ca31e05fafd30d2f0371421128c"/>
    <w:p>
      <w:pPr>
        <w:pStyle w:val="Heading3"/>
      </w:pPr>
      <w:r>
        <w:t xml:space="preserve">2b. Timing rule (stated v0.6.2,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(v0.4.15: total revenue; v0.4.14,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(v0.4.15): total revenue, as legacy (the v0.3.1 reading</w:t>
      </w:r>
      <w:r>
        <w:t xml:space="preserve"> </w:t>
      </w:r>
      <w:r>
        <w:t xml:space="preserve">“</w:t>
      </w:r>
      <w:r>
        <w:t xml:space="preserve">new-policy revenue only</w:t>
      </w:r>
      <w:r>
        <w:t xml:space="preserve">”</w:t>
      </w:r>
      <w:r>
        <w:t xml:space="preserve"> </w:t>
      </w:r>
      <w:r>
        <w:t xml:space="preserve">misread legacy’s code rev.new.usd, which is the total). v0.6.2: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v0.4.16: fis.rev adds its parts (rnet + rnew + rsr + rpsu); the v0.4.15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(v0.4.15):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632b5ff0cbc6af25db9d44f279251d047d74c60"/>
    <w:p>
      <w:pPr>
        <w:pStyle w:val="Heading3"/>
      </w:pPr>
      <w:r>
        <w:t xml:space="preserve">5. Memo rows (v0.5.7;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(v0.6.0: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5ca5b0e4099bf07e1f19bc818d77b721e6a3b46"/>
    <w:p>
      <w:pPr>
        <w:pStyle w:val="Heading3"/>
      </w:pPr>
      <w:r>
        <w:t xml:space="preserve">2. 12d Fiscal reports (v0.3.13;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(v0.4.15,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LiveOutputs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v0.3.10),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f40e4f038e1ead5084a4ad3294e7a08e04c9c5f"/>
    <w:p>
      <w:pPr>
        <w:pStyle w:val="Heading3"/>
      </w:pPr>
      <w:r>
        <w:t xml:space="preserve">3. 11b Energy consumption: change against scenario 1 (v0.3.14;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e3f07e9d2b85aa99e4d7170f03f36a854f66462"/>
    <w:p>
      <w:pPr>
        <w:pStyle w:val="Heading3"/>
      </w:pPr>
      <w:r>
        <w:t xml:space="preserve">4. 13b CO2 change, grid emission intensity, Kaya identity (v0.3.14;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(v0.3.18):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v0.3.14-v0.3.17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I93).</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46bdcb12c5c27088788a83b43d125fa0fedd4e8"/>
    <w:p>
      <w:pPr>
        <w:pStyle w:val="Heading3"/>
      </w:pPr>
      <w:r>
        <w:t xml:space="preserve">5. 14b GHG change and energy GHGs including forcing (v0.3.14;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f2906ac67aa10bb871052c1fd456e018d2be0c3"/>
    <w:p>
      <w:pPr>
        <w:pStyle w:val="Heading3"/>
      </w:pPr>
      <w:r>
        <w:t xml:space="preserve">6. Section 17 Carbon pricing (v0.3.15;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LiveOutputs: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92496a3c66d5956c9131afa989cb4f025e2d023"/>
    <w:p>
      <w:pPr>
        <w:pStyle w:val="Heading3"/>
      </w:pPr>
      <w:r>
        <w:t xml:space="preserve">7. 16b External balance (v0.3.16;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LiveOutputs: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edc1fecb73f27f0967809ff7485bd27700d4a77"/>
    <w:p>
      <w:pPr>
        <w:pStyle w:val="Heading3"/>
      </w:pPr>
      <w:r>
        <w:t xml:space="preserve">8. Section 18 Welfare and externalities, climate part (v0.3.17;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(v0.5.2,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LiveOutputs: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5"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LiveOutputs has room for 12 scenario blocks.</w:t>
            </w:r>
          </w:p>
        </w:tc>
      </w:tr>
      <w:tr>
        <w:tc>
          <w:tcPr/>
          <w:p>
            <w:pPr>
              <w:pStyle w:val="Compact"/>
              <w:jc w:val="left"/>
            </w:pPr>
            <w:r>
              <w:t xml:space="preserve">LiveOutputs</w:t>
            </w:r>
          </w:p>
        </w:tc>
        <w:tc>
          <w:tcPr/>
          <w:p>
            <w:pPr>
              <w:pStyle w:val="Compact"/>
              <w:jc w:val="left"/>
            </w:pPr>
            <w:r>
              <w:t xml:space="preserve">The key indicators of every scenario group, one block per scenario, found on Mitigation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LiveOutputs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(LiveOutputs)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179"/>
    <w:bookmarkStart w:id="180" w:name="Xafdd63e1f4312ee4bdbedfdd6045a6a4e9af645"/>
    <w:p>
      <w:pPr>
        <w:pStyle w:val="Heading3"/>
      </w:pPr>
      <w:r>
        <w:t xml:space="preserve">2b. Main scenario choice and regulations as shadow prices (v0.4.16,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121"/>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121"/>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121"/>
        </w:numPr>
        <w:pStyle w:val="Compact"/>
      </w:pPr>
      <w:r>
        <w:rPr>
          <w:bCs/>
          <w:b/>
        </w:rPr>
        <w:t xml:space="preserve">StoreBaseline</w:t>
      </w:r>
      <w:r>
        <w:t xml:space="preserve">: replaces the stored baseline with the current scenario-1 results, after a confirmation.</w:t>
      </w:r>
    </w:p>
    <w:p>
      <w:pPr>
        <w:numPr>
          <w:ilvl w:val="0"/>
          <w:numId w:val="1121"/>
        </w:numPr>
        <w:pStyle w:val="Compact"/>
      </w:pPr>
      <w:r>
        <w:rPr>
          <w:bCs/>
          <w:b/>
        </w:rPr>
        <w:t xml:space="preserve">StoreLiveScenario</w:t>
      </w:r>
      <w:r>
        <w:t xml:space="preserve">: stores the live scenario as it stands, under an ID you choose (default: the next free ID from 100).</w:t>
      </w:r>
    </w:p>
    <w:p>
      <w:pPr>
        <w:numPr>
          <w:ilvl w:val="0"/>
          <w:numId w:val="1121"/>
        </w:numPr>
        <w:pStyle w:val="Compact"/>
      </w:pPr>
      <w:r>
        <w:rPr>
          <w:bCs/>
          <w:b/>
        </w:rPr>
        <w:t xml:space="preserve">SolveETSLive</w:t>
      </w:r>
      <w:r>
        <w:t xml:space="preserve">: ETS goal seek for the live scenario only. It fills the override prices and switches the override on.</w:t>
      </w:r>
    </w:p>
    <w:p>
      <w:pPr>
        <w:numPr>
          <w:ilvl w:val="0"/>
          <w:numId w:val="1121"/>
        </w:numPr>
        <w:pStyle w:val="Compact"/>
      </w:pPr>
      <w:r>
        <w:rPr>
          <w:bCs/>
          <w:b/>
        </w:rPr>
        <w:t xml:space="preserve">ClearStoredScenarios</w:t>
      </w:r>
      <w:r>
        <w:t xml:space="preserve">: deletes every stored scenario except the baseline.</w:t>
      </w:r>
    </w:p>
    <w:p>
      <w:pPr>
        <w:numPr>
          <w:ilvl w:val="0"/>
          <w:numId w:val="1121"/>
        </w:numPr>
        <w:pStyle w:val="Compact"/>
      </w:pPr>
      <w:r>
        <w:rPr>
          <w:bCs/>
          <w:b/>
        </w:rPr>
        <w:t xml:space="preserve">SortStoredOutputs</w:t>
      </w:r>
      <w:r>
        <w:t xml:space="preserve">: sorts StoredOutputs by code stem, then ID.</w:t>
      </w:r>
    </w:p>
    <w:p>
      <w:pPr>
        <w:numPr>
          <w:ilvl w:val="0"/>
          <w:numId w:val="1121"/>
        </w:numPr>
        <w:pStyle w:val="Compact"/>
      </w:pPr>
      <w:r>
        <w:rPr>
          <w:bCs/>
          <w:b/>
        </w:rPr>
        <w:t xml:space="preserve">GroupBlankScenarios</w:t>
      </w:r>
      <w:r>
        <w:t xml:space="preserve">: groups and collapses the scenario columns of ScenarioDefinition that have no name.</w:t>
      </w:r>
    </w:p>
    <w:p>
      <w:pPr>
        <w:numPr>
          <w:ilvl w:val="0"/>
          <w:numId w:val="1121"/>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121"/>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1"/>
    <w:bookmarkStart w:id="182"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122"/>
        </w:numPr>
        <w:pStyle w:val="Compact"/>
      </w:pPr>
      <w:r>
        <w:t xml:space="preserve">If the file was downloaded, unblock it first (file Properties &gt; Unblock), or Excel opens it with macros disabled.</w:t>
      </w:r>
    </w:p>
    <w:p>
      <w:pPr>
        <w:numPr>
          <w:ilvl w:val="0"/>
          <w:numId w:val="1122"/>
        </w:numPr>
        <w:pStyle w:val="Compact"/>
      </w:pPr>
      <w:r>
        <w:t xml:space="preserve">Open it and choose Enable Content.</w:t>
      </w:r>
    </w:p>
    <w:p>
      <w:pPr>
        <w:numPr>
          <w:ilvl w:val="0"/>
          <w:numId w:val="1122"/>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LiveOutputs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122"/>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122"/>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182"/>
    <w:bookmarkStart w:id="183" w:name="comparing-and-keeping-results"/>
    <w:p>
      <w:pPr>
        <w:pStyle w:val="Heading3"/>
      </w:pPr>
      <w:r>
        <w:t xml:space="preserve">5. Comparing and keeping results</w:t>
      </w:r>
    </w:p>
    <w:p>
      <w:pPr>
        <w:numPr>
          <w:ilvl w:val="0"/>
          <w:numId w:val="1123"/>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LiveOutputs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123"/>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123"/>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123"/>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LiveOutputs indicator except the price and Kaya indices.</w:t>
      </w:r>
    </w:p>
    <w:p>
      <w:pPr>
        <w:numPr>
          <w:ilvl w:val="0"/>
          <w:numId w:val="1123"/>
        </w:numPr>
        <w:pStyle w:val="Compact"/>
      </w:pPr>
      <w:r>
        <w:t xml:space="preserve">StoredOutputs holds values only, so results from other files can be pasted in as values under new IDs, as long as its column layout is kept (output code in column D).</w:t>
      </w:r>
    </w:p>
    <w:p>
      <w:pPr>
        <w:numPr>
          <w:ilvl w:val="0"/>
          <w:numId w:val="1123"/>
        </w:numPr>
        <w:pStyle w:val="Compact"/>
      </w:pPr>
      <w:r>
        <w:t xml:space="preserve">The baseline changes only when StoreBaseline is run.</w:t>
      </w:r>
    </w:p>
    <w:bookmarkEnd w:id="183"/>
    <w:bookmarkStart w:id="184" w:name="limits-1"/>
    <w:p>
      <w:pPr>
        <w:pStyle w:val="Heading3"/>
      </w:pPr>
      <w:r>
        <w:t xml:space="preserve">6. Limits</w:t>
      </w:r>
    </w:p>
    <w:p>
      <w:pPr>
        <w:numPr>
          <w:ilvl w:val="0"/>
          <w:numId w:val="1124"/>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124"/>
        </w:numPr>
        <w:pStyle w:val="Compact"/>
      </w:pPr>
      <w:r>
        <w:t xml:space="preserve">LiveOutputs (123 indicators, incl. power, fuel use and revenues with power, existing carbon pricing, GHGs, GDP effects) defines what is stored. To store more, add rows to the LiveOutputs blocks first.</w:t>
      </w:r>
    </w:p>
    <w:bookmarkEnd w:id="184"/>
    <w:bookmarkEnd w:id="185"/>
    <w:bookmarkEnd w:id="186"/>
    <w:bookmarkStart w:id="193"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LiveOutputs rows 911-1033, with legacy’s bugs fixed.</w:t>
      </w:r>
    </w:p>
    <w:p>
      <w:pPr>
        <w:numPr>
          <w:ilvl w:val="0"/>
          <w:numId w:val="1125"/>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5"/>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5"/>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5"/>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87"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(v0.4.8; row 10 before).</w:t>
            </w:r>
          </w:p>
        </w:tc>
      </w:tr>
      <w:tr>
        <w:tc>
          <w:tcPr/>
          <w:p>
            <w:pPr>
              <w:pStyle w:val="Compact"/>
              <w:jc w:val="left"/>
            </w:pPr>
            <w:r>
              <w:t xml:space="preserve">Roll-up (v0.4.8,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v0.4.8: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LiveOutputs reads the legacy codes without the scenario suffix, from the group of the scenario in its column E.</w:t>
            </w:r>
          </w:p>
        </w:tc>
      </w:tr>
    </w:tbl>
    <w:bookmarkEnd w:id="187"/>
    <w:bookmarkStart w:id="188"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v0.4.4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6"/>
        </w:numPr>
        <w:pStyle w:val="Compact"/>
      </w:pPr>
      <w:r>
        <w:rPr>
          <w:bCs/>
          <w:b/>
        </w:rPr>
        <w:t xml:space="preserve">Indirect prices (ScaleGTAP = Yes, legacy default).</w:t>
      </w:r>
    </w:p>
    <w:p>
      <w:pPr>
        <w:numPr>
          <w:ilvl w:val="1"/>
          <w:numId w:val="1127"/>
        </w:numPr>
        <w:pStyle w:val="Compact"/>
      </w:pPr>
      <w:r>
        <w:t xml:space="preserve">Legacy rescales each GTAP sector’s raw price change by k(s) = Σ_f σ(f,s) R_f / Σ_f Emb(f,s) dp(f,s).</w:t>
      </w:r>
    </w:p>
    <w:p>
      <w:pPr>
        <w:numPr>
          <w:ilvl w:val="1"/>
          <w:numId w:val="1127"/>
        </w:numPr>
        <w:pStyle w:val="Compact"/>
      </w:pPr>
      <w:r>
        <w:t xml:space="preserve">With Emb(f,s) = Y_s L(f,s) and σ(f,s) = Emb(f,s) / T_f, the sector’s adjusted change is Σ_f L(f,s) R_f / T_f. The sector-specific fuel prices cancel.</w:t>
      </w:r>
    </w:p>
    <w:p>
      <w:pPr>
        <w:numPr>
          <w:ilvl w:val="1"/>
          <w:numId w:val="1127"/>
        </w:numPr>
        <w:pStyle w:val="Compact"/>
      </w:pPr>
      <w:r>
        <w:t xml:space="preserve">Checked on legacy’s cache: all 59 sectors to 4e-16, and the 14 categories to 3e-6 (legacy prints 6 digits).</w:t>
      </w:r>
    </w:p>
    <w:p>
      <w:pPr>
        <w:numPr>
          <w:ilvl w:val="1"/>
          <w:numId w:val="1127"/>
        </w:numPr>
        <w:pStyle w:val="Compact"/>
      </w:pPr>
      <w:r>
        <w:t xml:space="preserve">ScaleGTAP = No uses g_f = R_f / spending_f, i.e. the economy-wide price change. Legacy instead uses the price change of each GTAP sector’s CPAT sector; that simplification is recorded.</w:t>
      </w:r>
    </w:p>
    <w:p>
      <w:pPr>
        <w:numPr>
          <w:ilvl w:val="0"/>
          <w:numId w:val="1126"/>
        </w:numPr>
        <w:pStyle w:val="Compact"/>
      </w:pPr>
      <w:r>
        <w:rPr>
          <w:bCs/>
          <w:b/>
        </w:rPr>
        <w:t xml:space="preserve">Gini.</w:t>
      </w:r>
    </w:p>
    <w:p>
      <w:pPr>
        <w:numPr>
          <w:ilvl w:val="1"/>
          <w:numId w:val="1128"/>
        </w:numPr>
        <w:pStyle w:val="Compact"/>
      </w:pPr>
      <w:r>
        <w:t xml:space="preserve">Legacy fits L(x) = a x² + b x to the cumulative decile shares (LINEST, no intercept) and takes Gini = (5 - area) / 5.</w:t>
      </w:r>
    </w:p>
    <w:p>
      <w:pPr>
        <w:numPr>
          <w:ilvl w:val="1"/>
          <w:numId w:val="1128"/>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8"/>
        </w:numPr>
        <w:pStyle w:val="Compact"/>
      </w:pPr>
      <w:r>
        <w:t xml:space="preserve">Replicated as an issue: the fitted curve, not the trapezoid rule.</w:t>
      </w:r>
    </w:p>
    <w:bookmarkEnd w:id="188"/>
    <w:bookmarkStart w:id="189"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v0.4.4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LiveOutputs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89"/>
    <w:bookmarkStart w:id="190" w:name="issues-replicated-tracked"/>
    <w:p>
      <w:pPr>
        <w:pStyle w:val="Heading3"/>
      </w:pPr>
      <w:r>
        <w:t xml:space="preserve">4. Issues replicated (tracked)</w:t>
      </w:r>
    </w:p>
    <w:p>
      <w:pPr>
        <w:numPr>
          <w:ilvl w:val="0"/>
          <w:numId w:val="1129"/>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29"/>
        </w:numPr>
        <w:pStyle w:val="Compact"/>
      </w:pPr>
      <w:r>
        <w:rPr>
          <w:bCs/>
          <w:b/>
        </w:rPr>
        <w:t xml:space="preserve">Deflator:</w:t>
      </w:r>
      <w:r>
        <w:t xml:space="preserve"> </w:t>
      </w:r>
      <w:r>
        <w:t xml:space="preserve">the GTAP values are converted with the local GDP deflator (legacy I244).</w:t>
      </w:r>
    </w:p>
    <w:p>
      <w:pPr>
        <w:numPr>
          <w:ilvl w:val="0"/>
          <w:numId w:val="1129"/>
        </w:numPr>
        <w:pStyle w:val="Compact"/>
      </w:pPr>
      <w:r>
        <w:rPr>
          <w:bCs/>
          <w:b/>
        </w:rPr>
        <w:t xml:space="preserve">Elasticities:</w:t>
      </w:r>
      <w:r>
        <w:t xml:space="preserve"> </w:t>
      </w:r>
      <w:r>
        <w:t xml:space="preserve">always overall, mean (the data have no other).</w:t>
      </w:r>
    </w:p>
    <w:p>
      <w:pPr>
        <w:numPr>
          <w:ilvl w:val="0"/>
          <w:numId w:val="1129"/>
        </w:numPr>
        <w:pStyle w:val="Compact"/>
      </w:pPr>
      <w:r>
        <w:rPr>
          <w:bCs/>
          <w:b/>
        </w:rPr>
        <w:t xml:space="preserve">Recycled amounts:</w:t>
      </w:r>
      <w:r>
        <w:t xml:space="preserve"> </w:t>
      </w:r>
      <w:r>
        <w:t xml:space="preserve">per capita from the overall sample, applied to urban and rural consumption.</w:t>
      </w:r>
    </w:p>
    <w:p>
      <w:pPr>
        <w:numPr>
          <w:ilvl w:val="0"/>
          <w:numId w:val="1129"/>
        </w:numPr>
        <w:pStyle w:val="Compact"/>
      </w:pPr>
      <w:r>
        <w:rPr>
          <w:bCs/>
          <w:b/>
        </w:rPr>
        <w:t xml:space="preserve">Lorenz-fit Gini</w:t>
      </w:r>
      <w:r>
        <w:t xml:space="preserve"> </w:t>
      </w:r>
      <w:r>
        <w:t xml:space="preserve">(section 2).</w:t>
      </w:r>
    </w:p>
    <w:p>
      <w:pPr>
        <w:numPr>
          <w:ilvl w:val="0"/>
          <w:numId w:val="1129"/>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0"/>
    <w:bookmarkStart w:id="191" w:name="X4ccec9af63c94024d42e7a6290bfdc3f64531e2"/>
    <w:p>
      <w:pPr>
        <w:pStyle w:val="Heading3"/>
      </w:pPr>
      <w:r>
        <w:t xml:space="preserve">5. Options and outputs added in v0.6.0 (every legacy option now modelled)</w:t>
      </w:r>
    </w:p>
    <w:p>
      <w:pPr>
        <w:numPr>
          <w:ilvl w:val="0"/>
          <w:numId w:val="1130"/>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L147). A program without data for the country falls back to cash and the settings check says so (legacy drops</w:t>
      </w:r>
      <w:r>
        <w:t xml:space="preserve"> </w:t>
      </w:r>
      <w:r>
        <w:t xml:space="preserve">the transfer, L148). Median statistic: the transfer reaches only deciles where more than half receive (legacy row 2685;</w:t>
      </w:r>
      <w:r>
        <w:t xml:space="preserve"> </w:t>
      </w:r>
      <w:r>
        <w:t xml:space="preserve">the money not paid is not redistributed, as legacy); public investment and current spending are not flagged (L150).</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0"/>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L157-L158),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(L155-L156), Gini change in points.</w:t>
      </w:r>
    </w:p>
    <w:p>
      <w:pPr>
        <w:numPr>
          <w:ilvl w:val="0"/>
          <w:numId w:val="1130"/>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L163), rank and top 20 (ties broken, L162), 14 CPAT sectors (chemicals and power added, L161)</w:t>
      </w:r>
      <w:r>
        <w:t xml:space="preserve"> </w:t>
      </w:r>
      <w:r>
        <w:t xml:space="preserve">with demand and output shares and weighted prices; LiveOutputs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(L164).</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0"/>
        </w:numPr>
        <w:pStyle w:val="Compact"/>
      </w:pPr>
      <w:r>
        <w:rPr>
          <w:bCs/>
          <w:b/>
        </w:rPr>
        <w:t xml:space="preserve">Charts</w:t>
      </w:r>
      <w:r>
        <w:t xml:space="preserve"> </w:t>
      </w:r>
      <w:r>
        <w:t xml:space="preserve">(sheet Charts, below the mitigation charts): the legacy Dashboard distribution charts from group 2.</w:t>
      </w:r>
    </w:p>
    <w:bookmarkEnd w:id="191"/>
    <w:bookmarkStart w:id="192" w:name="checks"/>
    <w:p>
      <w:pPr>
        <w:pStyle w:val="Heading3"/>
      </w:pPr>
      <w:r>
        <w:t xml:space="preserve">6. Checks</w:t>
      </w:r>
    </w:p>
    <w:p>
      <w:pPr>
        <w:numPr>
          <w:ilvl w:val="0"/>
          <w:numId w:val="1131"/>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1"/>
        </w:numPr>
        <w:pStyle w:val="Compact"/>
      </w:pPr>
      <w:r>
        <w:rPr>
          <w:bCs/>
          <w:b/>
        </w:rPr>
        <w:t xml:space="preserve">Quick check:</w:t>
      </w:r>
    </w:p>
    <w:p>
      <w:pPr>
        <w:numPr>
          <w:ilvl w:val="1"/>
          <w:numId w:val="1132"/>
        </w:numPr>
        <w:pStyle w:val="Compact"/>
      </w:pPr>
      <w:r>
        <w:t xml:space="preserve">group 2 of the sheet equals the reference fed with the sheet’s own inputs;</w:t>
      </w:r>
    </w:p>
    <w:p>
      <w:pPr>
        <w:numPr>
          <w:ilvl w:val="1"/>
          <w:numId w:val="1132"/>
        </w:numPr>
        <w:pStyle w:val="Compact"/>
      </w:pPr>
      <w:r>
        <w:t xml:space="preserve">the LAMBDA group equals group 2;</w:t>
      </w:r>
    </w:p>
    <w:p>
      <w:pPr>
        <w:numPr>
          <w:ilvl w:val="1"/>
          <w:numId w:val="1132"/>
        </w:numPr>
        <w:pStyle w:val="Compact"/>
      </w:pPr>
      <w:r>
        <w:t xml:space="preserve">no error values;</w:t>
      </w:r>
    </w:p>
    <w:p>
      <w:pPr>
        <w:numPr>
          <w:ilvl w:val="1"/>
          <w:numId w:val="1132"/>
        </w:numPr>
        <w:pStyle w:val="Compact"/>
      </w:pPr>
      <w:r>
        <w:t xml:space="preserve">scenario numbers align with Mitigation group by group.</w:t>
      </w:r>
    </w:p>
    <w:p>
      <w:pPr>
        <w:numPr>
          <w:ilvl w:val="0"/>
          <w:numId w:val="1131"/>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2"/>
    <w:bookmarkEnd w:id="193"/>
    <w:bookmarkStart w:id="209"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4"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3"/>
        </w:numPr>
        <w:pStyle w:val="Compact"/>
      </w:pPr>
      <w:r>
        <w:t xml:space="preserve">X^(1)(t) is the value of X in scenario 1 in the same year. ΔX = X − X^(1).</w:t>
      </w:r>
    </w:p>
    <w:p>
      <w:pPr>
        <w:numPr>
          <w:ilvl w:val="0"/>
          <w:numId w:val="113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3"/>
        </w:numPr>
        <w:pStyle w:val="Compact"/>
      </w:pPr>
      <w:r>
        <w:t xml:space="preserve">Numbers in parentheses in the symbol tables are the default assumptions of sheet Constants or Settings, not country data.</w:t>
      </w:r>
    </w:p>
    <w:p>
      <w:pPr>
        <w:numPr>
          <w:ilvl w:val="0"/>
          <w:numId w:val="113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4"/>
    <w:bookmarkStart w:id="196"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5">
              <w:r>
                <w:rPr>
                  <w:rStyle w:val="Hyperlink"/>
                </w:rPr>
                <w:t xml:space="preserve">j,f</w:t>
              </w:r>
            </w:hyperlink>
            <w:r>
              <w:t xml:space="preserve">, XE</w:t>
            </w:r>
            <w:hyperlink r:id="rId195">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v0.4.12,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4"/>
        </w:numPr>
        <w:pStyle w:val="Compact"/>
      </w:pPr>
      <w:r>
        <w:t xml:space="preserve">E11 is the log form of the legacy quick estimate, and V replaces its hardcoded 1.1 (fixes legacy bugs L15, L16).</w:t>
      </w:r>
    </w:p>
    <w:p>
      <w:pPr>
        <w:numPr>
          <w:ilvl w:val="0"/>
          <w:numId w:val="1134"/>
        </w:numPr>
        <w:pStyle w:val="Compact"/>
      </w:pPr>
      <w:r>
        <w:t xml:space="preserve">The fast estimate meets the cap only approximately. Section 6 gives the next-iteration price that a goal seek uses to close the gap; the solved prices enter E12 as the override.</w:t>
      </w:r>
    </w:p>
    <w:bookmarkEnd w:id="196"/>
    <w:bookmarkStart w:id="197"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5"/>
        </w:numPr>
        <w:pStyle w:val="Compact"/>
      </w:pPr>
      <w:r>
        <w:t xml:space="preserve">Other oil products take pass-through and margin from the dataset (fixes legacy bug L13).</w:t>
      </w:r>
    </w:p>
    <w:p>
      <w:pPr>
        <w:numPr>
          <w:ilvl w:val="0"/>
          <w:numId w:val="1135"/>
        </w:numPr>
        <w:pStyle w:val="Compact"/>
      </w:pPr>
      <w:r>
        <w:t xml:space="preserve">E21: the floating part applies (1 − π) once, so X̃_c(t) = X_c(L) + (C_c(L) − C_c(t)) · (1 − π_c) (v0.4.10,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7"/>
    <w:bookmarkStart w:id="198"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v0.6.2,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(v0.6.2: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8"/>
        </w:numPr>
        <w:pStyle w:val="Compact"/>
      </w:pPr>
      <w:r>
        <w:t xml:space="preserve">E61 caps effective retirement like nameplate retirement (fixes legacy bug L8); E62 keeps nameplate and effective capacity apart (fixes legacy bug L7).</w:t>
      </w:r>
    </w:p>
    <w:p>
      <w:pPr>
        <w:numPr>
          <w:ilvl w:val="0"/>
          <w:numId w:val="1138"/>
        </w:numPr>
        <w:pStyle w:val="Compact"/>
      </w:pPr>
      <w:r>
        <w:t xml:space="preserve">E63 uses actual capacity (fixes legacy bug L10); E65 normalises by the cheapest permitted type (fixes legacy bug L6); E67 values investment at the capital cost of the year (fixes legacy bug L5).</w:t>
      </w:r>
    </w:p>
    <w:bookmarkEnd w:id="198"/>
    <w:bookmarkStart w:id="200"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199">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39"/>
        </w:numPr>
        <w:pStyle w:val="Compact"/>
      </w:pPr>
      <w:r>
        <w:t xml:space="preserve">P is the after-tax price (E31), Sh the shadow price (E32), g GDP growth (E95), inc(t) the income factor (legacy row 2433, as power demand E53; v0.4.12;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v0.4.13. Residential biomass has εY = 0 unless MTInputs</w:t>
      </w:r>
      <w:r>
        <w:t xml:space="preserve"> </w:t>
      </w:r>
      <w:r>
        <w:rPr>
          <w:rStyle w:val="VerbatimChar"/>
        </w:rPr>
        <w:t xml:space="preserve">BiomassNormal</w:t>
      </w:r>
      <w:r>
        <w:t xml:space="preserve"> </w:t>
      </w:r>
      <w:r>
        <w:t xml:space="preserve">= Yes (legacy row 5567; v0.4.13).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39"/>
        </w:numPr>
        <w:pStyle w:val="Compact"/>
      </w:pPr>
      <w:r>
        <w:t xml:space="preserve">Electricity demand D_s is shown in the sector blocks as a memo. It is not part of the fuel totals; generation fuel use FU_k is.</w:t>
      </w:r>
    </w:p>
    <w:p>
      <w:pPr>
        <w:numPr>
          <w:ilvl w:val="0"/>
          <w:numId w:val="113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0"/>
    <w:bookmarkStart w:id="201"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0"/>
        </w:numPr>
        <w:pStyle w:val="Compact"/>
      </w:pPr>
      <w:r>
        <w:t xml:space="preserve">The fossil change is weighted by the fuel’s cookstove efficiency (p is read as a share of useful energy), and biomass gains the same useful energy: e_m d_m + e_b Σ b = 0 each year.</w:t>
      </w:r>
    </w:p>
    <w:p>
      <w:pPr>
        <w:numPr>
          <w:ilvl w:val="0"/>
          <w:numId w:val="1140"/>
        </w:numPr>
        <w:pStyle w:val="Compact"/>
      </w:pPr>
      <w:r>
        <w:t xml:space="preserve">W_m is the new policy of the row itself (E26-E29), so an exempt fuel (E18a) does not leak.</w:t>
      </w:r>
    </w:p>
    <w:p>
      <w:pPr>
        <w:numPr>
          <w:ilvl w:val="0"/>
          <w:numId w:val="114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 Methods, chapter Transport.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1"/>
        </w:numPr>
        <w:pStyle w:val="Compact"/>
      </w:pPr>
      <w:r>
        <w:t xml:space="preserve">T1 calibrates both ways at the last data year (legacy only scaled up, at 2024: bug L27).</w:t>
      </w:r>
    </w:p>
    <w:p>
      <w:pPr>
        <w:numPr>
          <w:ilvl w:val="0"/>
          <w:numId w:val="114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1"/>
        </w:numPr>
        <w:pStyle w:val="Compact"/>
      </w:pPr>
      <w:r>
        <w:t xml:space="preserve">No circular reference: the EV electricity price is last year’s power price, and GDP is that of section 9, which uses last year’s GDP effect.</w:t>
      </w:r>
    </w:p>
    <w:bookmarkEnd w:id="201"/>
    <w:bookmarkStart w:id="202"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2"/>
    <w:bookmarkStart w:id="203"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3"/>
    <w:bookmarkStart w:id="204"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3"/>
        </w:numPr>
        <w:pStyle w:val="Compact"/>
      </w:pPr>
      <w:r>
        <w:t xml:space="preserve">The flaring term burns the flared share of the abated oil and gas methane (r_fl = 44/16 t CO2 per t CH4).</w:t>
      </w:r>
    </w:p>
    <w:p>
      <w:pPr>
        <w:numPr>
          <w:ilvl w:val="0"/>
          <w:numId w:val="1143"/>
        </w:numPr>
        <w:pStyle w:val="Compact"/>
      </w:pPr>
      <w:r>
        <w:t xml:space="preserve">Shares, Act_j(Y) and k_CH4 come from scenario 1: the calibration is to the observed inventory.</w:t>
      </w:r>
    </w:p>
    <w:p>
      <w:pPr>
        <w:numPr>
          <w:ilvl w:val="0"/>
          <w:numId w:val="1143"/>
        </w:numPr>
        <w:pStyle w:val="Compact"/>
      </w:pPr>
      <w:r>
        <w:t xml:space="preserve">Fixes: non-energy methane grows and is abated (L18); flaring is CO2, not methane (L19); population from UN WPP (L20); each source uses its own curve (L21).</w:t>
      </w:r>
    </w:p>
    <w:bookmarkEnd w:id="204"/>
    <w:bookmarkStart w:id="205"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5"/>
    <w:bookmarkStart w:id="206"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6"/>
    <w:bookmarkStart w:id="207"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7"/>
    <w:bookmarkStart w:id="208" w:name="Xe03a42f21f1c28b92f99ec463e33d37054a3b8d"/>
    <w:p>
      <w:pPr>
        <w:pStyle w:val="Heading3"/>
      </w:pPr>
      <w:r>
        <w:t xml:space="preserve">Initially exempt residential demand (v0.5.6,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8"/>
    <w:bookmarkEnd w:id="209"/>
    <w:bookmarkStart w:id="212"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docs/methods/Data_tabs.md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0" w:name="summary"/>
    <w:p>
      <w:pPr>
        <w:pStyle w:val="Heading4"/>
      </w:pPr>
      <w:r>
        <w:t xml:space="preserve">Summary</w:t>
      </w:r>
    </w:p>
    <w:p>
      <w:pPr>
        <w:numPr>
          <w:ilvl w:val="0"/>
          <w:numId w:val="1145"/>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5"/>
        </w:numPr>
        <w:pStyle w:val="Compact"/>
      </w:pPr>
      <w:r>
        <w:rPr>
          <w:bCs/>
          <w:b/>
        </w:rPr>
        <w:t xml:space="preserve">Copy-in rules (NORMS 1.5).</w:t>
      </w:r>
    </w:p>
    <w:p>
      <w:pPr>
        <w:numPr>
          <w:ilvl w:val="1"/>
          <w:numId w:val="1146"/>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(v0.4.12), WEO, EF_GHG, SCC, EF_PM,</w:t>
      </w:r>
      <w:r>
        <w:t xml:space="preserve"> </w:t>
      </w:r>
      <w:r>
        <w:t xml:space="preserve">IO_GTAP, HHSurvey, HH_Elast, ASPIRE, WHOCooking, GDPRatios, Transport1, Transport2.</w:t>
      </w:r>
    </w:p>
    <w:p>
      <w:pPr>
        <w:numPr>
          <w:ilvl w:val="1"/>
          <w:numId w:val="1146"/>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v0.4.7, Power, CoC and GHGs (the inventory and, rows</w:t>
      </w:r>
      <w:r>
        <w:t xml:space="preserve"> </w:t>
      </w:r>
      <w:r>
        <w:t xml:space="preserve">1201-1388, the 2023-2024 emission shocks of the power model).</w:t>
      </w:r>
    </w:p>
    <w:p>
      <w:pPr>
        <w:numPr>
          <w:ilvl w:val="1"/>
          <w:numId w:val="1146"/>
        </w:numPr>
        <w:pStyle w:val="Compact"/>
      </w:pPr>
      <w:r>
        <w:t xml:space="preserve">**L*, Prices_dom:** legacy header rows and codes; paste legacy rows 4 onwards at A1.</w:t>
      </w:r>
    </w:p>
    <w:p>
      <w:pPr>
        <w:numPr>
          <w:ilvl w:val="0"/>
          <w:numId w:val="1145"/>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7"/>
        </w:numPr>
        <w:pStyle w:val="Compact"/>
      </w:pPr>
      <w:r>
        <w:t xml:space="preserve">Inputs_ela: elasticities (the country’s column of Elasticities, as legacy column G);</w:t>
      </w:r>
    </w:p>
    <w:p>
      <w:pPr>
        <w:numPr>
          <w:ilvl w:val="1"/>
          <w:numId w:val="1147"/>
        </w:numPr>
        <w:pStyle w:val="Compact"/>
      </w:pPr>
      <w:r>
        <w:t xml:space="preserve">Inputs_mult: multipliers (median ± standard deviation by group, instrument and lag);</w:t>
      </w:r>
    </w:p>
    <w:p>
      <w:pPr>
        <w:numPr>
          <w:ilvl w:val="1"/>
          <w:numId w:val="1147"/>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7"/>
        </w:numPr>
        <w:pStyle w:val="Compact"/>
      </w:pPr>
      <w:r>
        <w:t xml:space="preserve">Inputs_pint: international price series by source (rows 633-695);</w:t>
      </w:r>
    </w:p>
    <w:p>
      <w:pPr>
        <w:numPr>
          <w:ilvl w:val="1"/>
          <w:numId w:val="1147"/>
        </w:numPr>
        <w:pStyle w:val="Compact"/>
      </w:pPr>
      <w:r>
        <w:t xml:space="preserve">Inputs_ecp: existing carbon pricing (rows 1675-1764; v0.4.12: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7"/>
        </w:numPr>
        <w:pStyle w:val="Compact"/>
      </w:pPr>
      <w:r>
        <w:t xml:space="preserve">Inputs_ef: CO2 emission factors (rows 980-1011);</w:t>
      </w:r>
    </w:p>
    <w:p>
      <w:pPr>
        <w:numPr>
          <w:ilvl w:val="1"/>
          <w:numId w:val="1147"/>
        </w:numPr>
        <w:pStyle w:val="Compact"/>
      </w:pPr>
      <w:r>
        <w:t xml:space="preserve">Inputs_nc (v0.9.0): non-CO2 combustion emission factors of local pollutants and CH4 by legacy EF code (rows</w:t>
      </w:r>
      <w:r>
        <w:t xml:space="preserve"> </w:t>
      </w:r>
      <w:r>
        <w:t xml:space="preserve">1052-1663: country, else World Bank region, else world, from the all-country EF_PM; other energy the maximum</w:t>
      </w:r>
      <w:r>
        <w:t xml:space="preserve"> </w:t>
      </w:r>
      <w:r>
        <w:t xml:space="preserve">across the other subsectors);</w:t>
      </w:r>
    </w:p>
    <w:p>
      <w:pPr>
        <w:numPr>
          <w:ilvl w:val="1"/>
          <w:numId w:val="1147"/>
        </w:numPr>
        <w:pStyle w:val="Compact"/>
      </w:pPr>
      <w:r>
        <w:t xml:space="preserve">v0.4.7,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 chapter Power.</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5"/>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5"/>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5"/>
        </w:numPr>
        <w:pStyle w:val="Compact"/>
      </w:pPr>
      <w:r>
        <w:rPr>
          <w:bCs/>
          <w:b/>
        </w:rPr>
        <w:t xml:space="preserve">No table from legacy’s cached Egypt run is left (v0.4.7).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5"/>
        </w:numPr>
        <w:pStyle w:val="Compact"/>
      </w:pPr>
      <w:r>
        <w:rPr>
          <w:bCs/>
          <w:b/>
        </w:rPr>
        <w:t xml:space="preserve">Legacy bugs in the power data: all fixed (v0.4.10, NORMS 0; v0.4.7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5"/>
        </w:numPr>
        <w:pStyle w:val="Compact"/>
      </w:pPr>
      <w:r>
        <w:t xml:space="preserve">Balances, EnergyCons, EF_PM, IO_GTAP, HHSurvey, HH_Elast, ASPIRE, WHOCooking and GDPRatios became legacy tables</w:t>
      </w:r>
      <w:r>
        <w:t xml:space="preserve"> </w:t>
      </w:r>
      <w:r>
        <w:t xml:space="preserve">(v0.4.5).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145"/>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5"/>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8"/>
        </w:numPr>
        <w:pStyle w:val="Compact"/>
      </w:pPr>
      <w:r>
        <w:t xml:space="preserve">the country’s code, else its World Bank region, else the world;</w:t>
      </w:r>
    </w:p>
    <w:p>
      <w:pPr>
        <w:numPr>
          <w:ilvl w:val="1"/>
          <w:numId w:val="1148"/>
        </w:numPr>
        <w:pStyle w:val="Compact"/>
      </w:pPr>
      <w:r>
        <w:t xml:space="preserve">LPG and kerosene in power, and coal, LPG, kerosene and other oil products in road, take the row legacy points to;</w:t>
      </w:r>
    </w:p>
    <w:p>
      <w:pPr>
        <w:numPr>
          <w:ilvl w:val="1"/>
          <w:numId w:val="1148"/>
        </w:numPr>
        <w:pStyle w:val="Compact"/>
      </w:pPr>
      <w:r>
        <w:t xml:space="preserve">jet fuel uses the IEA factor (EFJetIEA);</w:t>
      </w:r>
    </w:p>
    <w:p>
      <w:pPr>
        <w:numPr>
          <w:ilvl w:val="1"/>
          <w:numId w:val="1148"/>
        </w:numPr>
        <w:pStyle w:val="Compact"/>
      </w:pPr>
      <w:r>
        <w:t xml:space="preserve">biomass is zero.</w:t>
      </w:r>
    </w:p>
    <w:p>
      <w:pPr>
        <w:numPr>
          <w:ilvl w:val="0"/>
          <w:numId w:val="1145"/>
        </w:numPr>
        <w:pStyle w:val="Compact"/>
      </w:pPr>
      <w:r>
        <w:t xml:space="preserve">GHGs: the legacy table adds Zimbabwe 2021 (legacy row 947). The previous extract stopped at row 946.</w:t>
      </w:r>
    </w:p>
    <w:p>
      <w:pPr>
        <w:numPr>
          <w:ilvl w:val="0"/>
          <w:numId w:val="1145"/>
        </w:numPr>
        <w:pStyle w:val="Compact"/>
      </w:pPr>
      <w:r>
        <w:t xml:space="preserve">All named ranges over data tables reach the capacity of the full legacy tables, with margin.</w:t>
      </w:r>
    </w:p>
    <w:p>
      <w:pPr>
        <w:numPr>
          <w:ilvl w:val="0"/>
          <w:numId w:val="1145"/>
        </w:numPr>
        <w:pStyle w:val="Compact"/>
      </w:pPr>
      <w:r>
        <w:t xml:space="preserve">v0.4.6: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145"/>
        </w:numPr>
        <w:pStyle w:val="Compact"/>
      </w:pPr>
      <w:r>
        <w:t xml:space="preserve">v0.4.6 results against v0.4.5: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5"/>
        </w:numPr>
        <w:pStyle w:val="Compact"/>
      </w:pPr>
      <w:r>
        <w:t xml:space="preserve">v0.4.7: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(I94).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5"/>
        </w:numPr>
        <w:pStyle w:val="Compact"/>
      </w:pPr>
      <w:r>
        <w:t xml:space="preserve">Dropped in v0.4.7: PowerTech, PowerPaths, PowerParams (now Inputs blocks from Power, CoC, Balances, WEO, GHGs).</w:t>
      </w:r>
    </w:p>
    <w:p>
      <w:pPr>
        <w:numPr>
          <w:ilvl w:val="0"/>
          <w:numId w:val="1145"/>
        </w:numPr>
        <w:pStyle w:val="Compact"/>
      </w:pPr>
      <w:r>
        <w:t xml:space="preserve">v0.4.12: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v0.5.2 on sheet Manual inputs, shown on Settings). Inputs columns efxs:eff (v0.9.0: removed, legacy 465 factors; nearest GAINS factors, bug</w:t>
      </w:r>
      <w:r>
        <w:t xml:space="preserve"> </w:t>
      </w:r>
      <w:r>
        <w:t xml:space="preserve">L59) and ecpk, xcp0 (existing carbon pricing), which replace ctc and etc.</w:t>
      </w:r>
    </w:p>
    <w:bookmarkEnd w:id="210"/>
    <w:bookmarkStart w:id="211"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v0.5.2: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_rels/footnotes.xml.rels><?xml version="1.0" encoding="UTF-8"?><Relationships xmlns="http://schemas.openxmlformats.org/package/2006/relationships"><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v1.0.1</dc:title>
  <dc:creator/>
  <cp:keywords/>
  <dcterms:created xsi:type="dcterms:W3CDTF">2026-10-29T18:43:25Z</dcterms:created>
  <dcterms:modified xsi:type="dcterms:W3CDTF">2026-10-29T18:43:25Z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Methods</vt:lpwstr>
  </property>
</Properties>
</file>