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Equation list: CPAT code names</w:t>
      </w:r>
    </w:p>
    <w:p>
      <w:pPr>
        <w:pStyle w:val="Subtitle"/>
      </w:pPr>
      <w:r>
        <w:t xml:space="preserve">Coded</w:t>
      </w:r>
      <w:r>
        <w:t xml:space="preserve"> </w:t>
      </w:r>
      <w:r>
        <w:t xml:space="preserve">CPAT: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mitigation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modules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Status: first draft.</w:t>
      </w:r>
      <w:r>
        <w:t xml:space="preserve"> </w:t>
      </w:r>
      <w:r>
        <w:t xml:space="preserve">This is the parallel version of</w:t>
      </w:r>
      <w:r>
        <w:t xml:space="preserve"> </w:t>
      </w:r>
      <w:r>
        <w:rPr>
          <w:rStyle w:val="VerbatimChar"/>
        </w:rPr>
        <w:t xml:space="preserve">Equations.qmd</w:t>
      </w:r>
      <w:r>
        <w:t xml:space="preserve">: the same equations, ids and order, with the CPAT variable codes of the codes map (</w:t>
      </w:r>
      <w:r>
        <w:rPr>
          <w:rStyle w:val="VerbatimChar"/>
        </w:rPr>
        <w:t xml:space="preserve">excel_ai/CPAT-AI_CodesMap_v&lt;version&gt;.xlsx</w:t>
      </w:r>
      <w:r>
        <w:t xml:space="preserve">) in place of the symbols. Inputs appear under their</w:t>
      </w:r>
      <w:r>
        <w:t xml:space="preserve"> </w:t>
      </w:r>
      <w:r>
        <w:rPr>
          <w:rStyle w:val="VerbatimChar"/>
        </w:rPr>
        <w:t xml:space="preserve">NameOfParameter</w:t>
      </w:r>
      <w:r>
        <w:t xml:space="preserve"> </w:t>
      </w:r>
      <w:r>
        <w:t xml:space="preserve">(ScenarioDefinition / MTInputs). In the code, the variable of each equation carries the same name.</w:t>
      </w:r>
    </w:p>
    <w:bookmarkStart w:id="20" w:name="how-to-read-this-list"/>
    <w:p>
      <w:pPr>
        <w:pStyle w:val="Heading2"/>
      </w:pPr>
      <w:r>
        <w:t xml:space="preserve">How to read this list</w:t>
      </w:r>
    </w:p>
    <w:p>
      <w:pPr>
        <w:numPr>
          <w:ilvl w:val="0"/>
          <w:numId w:val="1001"/>
        </w:numPr>
        <w:pStyle w:val="Compact"/>
      </w:pPr>
      <w:r>
        <w:t xml:space="preserve">A code is the stem of the full CPAT code</w:t>
      </w:r>
      <w:r>
        <w:t xml:space="preserve"> </w:t>
      </w:r>
      <w:r>
        <w:rPr>
          <w:rStyle w:val="VerbatimChar"/>
        </w:rPr>
        <w:t xml:space="preserve">&lt;iso&gt;.mit.&lt;variable&gt;.&lt;sector&gt;.&lt;fuel&gt;.&lt;scenario&gt;</w:t>
      </w:r>
      <w:r>
        <w:t xml:space="preserve">: here</w:t>
      </w:r>
      <w:r>
        <w:t xml:space="preserve"> </w:t>
      </w:r>
      <w:r>
        <w:rPr>
          <w:rStyle w:val="VerbatimChar"/>
        </w:rPr>
        <w:t xml:space="preserve">ener</w:t>
      </w:r>
      <w:r>
        <w:t xml:space="preserve"> </w:t>
      </w:r>
      <w:r>
        <w:t xml:space="preserve">with subscripts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stands for</w:t>
      </w:r>
      <w:r>
        <w:t xml:space="preserve"> </w:t>
      </w:r>
      <w:r>
        <w:rPr>
          <w:rStyle w:val="VerbatimChar"/>
        </w:rPr>
        <w:t xml:space="preserve">ener.&lt;sector&gt;.&lt;fuel&gt;</w:t>
      </w:r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. Suffixes as in Excel-AI and the code:</w:t>
      </w:r>
      <w:r>
        <w:t xml:space="preserve"> </w:t>
      </w:r>
      <w:r>
        <w:rPr>
          <w:rStyle w:val="VerbatimChar"/>
        </w:rPr>
        <w:t xml:space="preserve">_prev</w:t>
      </w:r>
      <w:r>
        <w:t xml:space="preserve"> </w:t>
      </w:r>
      <w:r>
        <w:t xml:space="preserve">is shown as the subscript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, the baseline value of the same year as the superscript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(Excel-AI</w:t>
      </w:r>
      <w:r>
        <w:t xml:space="preserve"> </w:t>
      </w:r>
      <w:r>
        <w:rPr>
          <w:rStyle w:val="VerbatimChar"/>
        </w:rPr>
        <w:t xml:space="preserve">.ref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Indices and their omission as in the Greek version: every equation holds for each scenario and country, and each year unless shown;</w:t>
      </w:r>
      <w:r>
        <w:t xml:space="preserve"> </w:t>
      </w:r>
      <w:r>
        <w:t xml:space="preserve">“</w:t>
      </w:r>
      <w:r>
        <w:t xml:space="preserve">Over …</w:t>
      </w:r>
      <w:r>
        <w:t xml:space="preserve">”</w:t>
      </w:r>
      <w:r>
        <w:t xml:space="preserve"> </w:t>
      </w:r>
      <w:r>
        <w:t xml:space="preserve">lists the rest. Sector codes (</w:t>
      </w:r>
      <w:r>
        <w:rPr>
          <w:rStyle w:val="VerbatimChar"/>
        </w:rPr>
        <w:t xml:space="preserve">rod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</w:t>
      </w:r>
      <w:r>
        <w:t xml:space="preserve">, …) and fuel codes (</w:t>
      </w:r>
      <w:r>
        <w:rPr>
          <w:rStyle w:val="VerbatimChar"/>
        </w:rPr>
        <w:t xml:space="preserve">coa</w:t>
      </w:r>
      <w:r>
        <w:t xml:space="preserve">,</w:t>
      </w:r>
      <w:r>
        <w:t xml:space="preserve"> </w:t>
      </w:r>
      <w:r>
        <w:rPr>
          <w:rStyle w:val="VerbatimChar"/>
        </w:rPr>
        <w:t xml:space="preserve">nga</w:t>
      </w:r>
      <w:r>
        <w:t xml:space="preserve">,</w:t>
      </w:r>
      <w:r>
        <w:t xml:space="preserve"> </w:t>
      </w:r>
      <w:r>
        <w:rPr>
          <w:rStyle w:val="VerbatimChar"/>
        </w:rPr>
        <w:t xml:space="preserve">gso</w:t>
      </w:r>
      <w:r>
        <w:t xml:space="preserve">,</w:t>
      </w:r>
      <w:r>
        <w:t xml:space="preserve"> </w:t>
      </w:r>
      <w:r>
        <w:rPr>
          <w:rStyle w:val="VerbatimChar"/>
        </w:rPr>
        <w:t xml:space="preserve">die</w:t>
      </w:r>
      <w:r>
        <w:t xml:space="preserve">,</w:t>
      </w:r>
      <w:r>
        <w:t xml:space="preserve"> </w:t>
      </w:r>
      <w:r>
        <w:rPr>
          <w:rStyle w:val="VerbatimChar"/>
        </w:rPr>
        <w:t xml:space="preserve">lpg</w:t>
      </w:r>
      <w:r>
        <w:t xml:space="preserve">,</w:t>
      </w:r>
      <w:r>
        <w:t xml:space="preserve"> </w:t>
      </w:r>
      <w:r>
        <w:rPr>
          <w:rStyle w:val="VerbatimChar"/>
        </w:rPr>
        <w:t xml:space="preserve">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oop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ecy</w:t>
      </w:r>
      <w:r>
        <w:t xml:space="preserve">, …) are those of the codes map.</w:t>
      </w:r>
    </w:p>
    <w:p>
      <w:pPr>
        <w:numPr>
          <w:ilvl w:val="0"/>
          <w:numId w:val="1001"/>
        </w:numPr>
        <w:pStyle w:val="Compact"/>
      </w:pPr>
      <w:r>
        <w:t xml:space="preserve">A name marked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is not yet confirmed in the codes map; the appendix lists them.</w:t>
      </w:r>
    </w:p>
    <w:bookmarkEnd w:id="20"/>
    <w:bookmarkStart w:id="30" w:name="executive-summary-core-equations"/>
    <w:p>
      <w:pPr>
        <w:pStyle w:val="Heading1"/>
      </w:pPr>
      <w:r>
        <w:t xml:space="preserve">Executive summary: core equations</w:t>
      </w:r>
    </w:p>
    <w:p>
      <w:pPr>
        <w:pStyle w:val="FirstParagraph"/>
      </w:pPr>
      <w:r>
        <w:t xml:space="preserve">One year of the model, in the order of the calculation chain (spec section 4.3): policies and prices (computed for all years before the year loop), then fuel use, power, revenues, emissions and GDP, then distribution in its analysis year.</w:t>
      </w:r>
    </w:p>
    <w:bookmarkStart w:id="21" w:name="m1-policies"/>
    <w:p>
      <w:pPr>
        <w:pStyle w:val="Heading2"/>
      </w:pPr>
      <w:r>
        <w:t xml:space="preserve">M1 Policies</w:t>
      </w:r>
    </w:p>
    <w:p>
      <w:pPr>
        <w:pStyle w:val="FirstParagraph"/>
      </w:pPr>
      <w:r>
        <w:t xml:space="preserve">Every policy is a path from a start year to a target year, set per scenario.</w:t>
      </w:r>
    </w:p>
    <w:p>
      <w:pPr>
        <w:pStyle w:val="BodyText"/>
      </w:pPr>
      <w:r>
        <w:rPr>
          <w:bCs/>
          <w:b/>
        </w:rPr>
        <w:t xml:space="preserve">M1.1 Policy path (linear from a start to a target level)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monospace"/>
            </m:rPr>
            <m:t>p</m:t>
          </m:r>
          <m:r>
            <m:rPr>
              <m:sty m:val="p"/>
              <m:scr m:val="monospace"/>
            </m:rPr>
            <m:t>a</m:t>
          </m:r>
          <m:r>
            <m:rPr>
              <m:sty m:val="p"/>
              <m:scr m:val="monospace"/>
            </m:rPr>
            <m:t>t</m:t>
          </m:r>
          <m:r>
            <m:rPr>
              <m:sty m:val="p"/>
              <m:scr m:val="monospace"/>
            </m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y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y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</m:e>
          </m:d>
        </m:oMath>
      </m:oMathPara>
    </w:p>
    <w:p>
      <w:pPr>
        <w:pStyle w:val="FirstParagraph"/>
      </w:pPr>
      <w:r>
        <w:t xml:space="preserve">Excel-AI notation (the methodology describes the paths in words). Held flat after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unless the input says the path continues. Source: Excel-AI: Equations.md section 0 (Λ, Λ̄).</w:t>
      </w:r>
    </w:p>
    <w:p>
      <w:pPr>
        <w:pStyle w:val="BodyText"/>
      </w:pPr>
      <w:r>
        <w:rPr>
          <w:bCs/>
          <w:b/>
        </w:rPr>
        <w:t xml:space="preserve">M1.2 National carbon tax per tonne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monospace"/>
            </m:rPr>
            <m:t>p</m:t>
          </m:r>
          <m:r>
            <m:rPr>
              <m:sty m:val="p"/>
              <m:scr m:val="monospace"/>
            </m:rPr>
            <m:t>a</m:t>
          </m:r>
          <m:r>
            <m:rPr>
              <m:sty m:val="p"/>
              <m:scr m:val="monospace"/>
            </m:rPr>
            <m:t>t</m:t>
          </m:r>
          <m:r>
            <m:rPr>
              <m:sty m:val="p"/>
              <m:scr m:val="monospace"/>
            </m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l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CPI index (US CPI of the results year over year</w:t>
      </w:r>
      <w:r>
        <w:t xml:space="preserve"> </w:t>
      </w:r>
      <m:oMath>
        <m:r>
          <m:t>t</m:t>
        </m:r>
      </m:oMath>
      <w:r>
        <w:t xml:space="preserve">) if the inputs are nominal, else 1 (Excel-AI notation). Source: methodology: 03_Mitigation, Prices &gt; Notation (</w:t>
      </w:r>
      <m:oMath>
        <m:r>
          <m:t>N</m:t>
        </m:r>
        <m:r>
          <m:t>C</m:t>
        </m:r>
        <m:r>
          <m:t>T</m:t>
        </m:r>
      </m:oMath>
      <w:r>
        <w:t xml:space="preserve">); Excel-AI: E1.</w:t>
      </w:r>
    </w:p>
    <w:p>
      <w:pPr>
        <w:pStyle w:val="BodyText"/>
      </w:pPr>
      <w:r>
        <w:rPr>
          <w:bCs/>
          <w:b/>
        </w:rPr>
        <w:t xml:space="preserve">M1.3 New carbon tax and ETS cost by sector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j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s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c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e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b</m:t>
                  </m:r>
                  <m:r>
                    <m:rPr>
                      <m:sty m:val="p"/>
                      <m:scr m:val="monospace"/>
                    </m:rPr>
                    <m:t>r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(power and the 16 subsectors).</w:t>
      </w:r>
      <w:r>
        <w:t xml:space="preserve"> </w:t>
      </w:r>
      <m:oMath>
        <m:sSub>
          <m:e>
            <m:r>
              <m:t>κ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new-ETS coverage,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share allocated free (output-based),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p>
            <m:r>
              <m:t>E</m:t>
            </m:r>
          </m:sup>
        </m:sSup>
      </m:oMath>
      <w:r>
        <w:t xml:space="preserve"> </w:t>
      </w:r>
      <w:r>
        <w:t xml:space="preserve">the tax-equivalent ETS price (Excel-AI notation; methodology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 </w:t>
      </w:r>
      <w:r>
        <w:t xml:space="preserve">is the national ETS price). Where the new tax complements an existing ETS,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is one minus the existing ETS coverage. Source: methodology: 03_Mitigation, Prices &gt; Notation (</w:t>
      </w:r>
      <m:oMath>
        <m:r>
          <m:t>N</m:t>
        </m:r>
        <m:r>
          <m:t>C</m:t>
        </m:r>
        <m:r>
          <m:t>T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  <m:r>
              <m:t>C</m:t>
            </m:r>
            <m:r>
              <m:t>T</m:t>
            </m:r>
            <m:r>
              <m:rPr>
                <m:sty m:val="p"/>
              </m:rPr>
              <m:t>/</m:t>
            </m:r>
            <m:r>
              <m:t>E</m:t>
            </m:r>
            <m:r>
              <m:t>T</m:t>
            </m:r>
            <m:r>
              <m:t>S</m:t>
            </m:r>
          </m:sub>
        </m:sSub>
      </m:oMath>
      <w:r>
        <w:t xml:space="preserve">); Excel-AI: E5, E6, E13-E15.</w:t>
      </w:r>
    </w:p>
    <w:p>
      <w:pPr>
        <w:pStyle w:val="BodyText"/>
      </w:pPr>
      <w:r>
        <w:rPr>
          <w:bCs/>
          <w:b/>
        </w:rPr>
        <w:t xml:space="preserve">M1.4 Shadow price of non-pricing policies by sector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b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g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  <m:r>
            <m:t> </m:t>
          </m:r>
          <m:r>
            <m:rPr>
              <m:sty m:val="p"/>
              <m:scr m:val="monospace"/>
            </m:rPr>
            <m:t>s</m:t>
          </m:r>
          <m:r>
            <m:rPr>
              <m:sty m:val="p"/>
              <m:scr m:val="monospace"/>
            </m:rPr>
            <m:t>s</m:t>
          </m:r>
          <m:r>
            <m:rPr>
              <m:sty m:val="p"/>
              <m:scr m:val="monospace"/>
            </m:rPr>
            <m:t>c</m:t>
          </m:r>
          <m:r>
            <m:t> 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b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e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b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is the sector group of</w:t>
      </w:r>
      <w:r>
        <w:t xml:space="preserve"> </w:t>
      </w:r>
      <m:oMath>
        <m:r>
          <m:t>s</m:t>
        </m:r>
      </m:oMath>
      <w:r>
        <w:t xml:space="preserve">. Excel-AI notation: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feebate rate,</w:t>
      </w:r>
      <w:r>
        <w:t xml:space="preserve"> </w:t>
      </w:r>
      <m:oMath>
        <m:r>
          <m:t>r</m:t>
        </m:r>
        <m:r>
          <m:t>e</m:t>
        </m:r>
        <m:sSub>
          <m:e>
            <m:r>
              <m:t>g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regulations (placeholder, 0),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share of the feebate on the efficiency margin. The shadow price acts on the efficiency margin only (M3.1); it raises no revenue. Source: Excel-AI: E3, E16.</w:t>
      </w:r>
    </w:p>
    <w:bookmarkEnd w:id="21"/>
    <w:bookmarkStart w:id="22" w:name="m2-energy-prices"/>
    <w:p>
      <w:pPr>
        <w:pStyle w:val="Heading2"/>
      </w:pPr>
      <w:r>
        <w:t xml:space="preserve">M2 Energy prices</w:t>
      </w:r>
    </w:p>
    <w:p>
      <w:pPr>
        <w:pStyle w:val="FirstParagraph"/>
      </w:pPr>
      <w:r>
        <w:t xml:space="preserve">Prices before policies by sector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fuel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(the methodology’s price sectors), then new policies and the after-tax price by sector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fuel</w:t>
      </w:r>
      <w:r>
        <w:t xml:space="preserve"> </w:t>
      </w:r>
      <m:oMath>
        <m:r>
          <m:t>f</m:t>
        </m:r>
      </m:oMath>
      <w:r>
        <w:t xml:space="preserve">. All quantity-free: computed for all years before the year loop.</w:t>
      </w:r>
    </w:p>
    <w:p>
      <w:pPr>
        <w:pStyle w:val="BodyText"/>
      </w:pPr>
      <w:r>
        <w:rPr>
          <w:bCs/>
          <w:b/>
        </w:rPr>
        <w:t xml:space="preserve">M2.1 Supply price (fixed part plus a floating part that follows the international price)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monospace"/>
            </m:rPr>
            <m:t>s</m:t>
          </m:r>
          <m:r>
            <m:rPr>
              <m:sty m:val="p"/>
              <m:scr m:val="monospace"/>
            </m:rPr>
            <m:t>p</m:t>
          </m:r>
          <m:r>
            <m:rPr>
              <m:sty m:val="p"/>
              <m:scr m:val="monospace"/>
            </m:rPr>
            <m:t>f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f</m:t>
              </m:r>
            </m:e>
          </m:d>
          <m:r>
            <m:t> 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 projection years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L</m:t>
        </m:r>
      </m:oMath>
      <w:r>
        <w:t xml:space="preserve"> </w:t>
      </w:r>
      <w:r>
        <w:t xml:space="preserve">(last historical price year). The methodology writes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f</m:t>
        </m:r>
        <m:r>
          <m:t>i</m:t>
        </m:r>
        <m:r>
          <m:t>x</m:t>
        </m:r>
        <m:r>
          <m:t>s</m:t>
        </m:r>
        <m:r>
          <m:t>p</m:t>
        </m:r>
        <m:r>
          <m:rPr>
            <m:sty m:val="p"/>
          </m:rPr>
          <m:t>+</m:t>
        </m:r>
        <m:r>
          <m:t>f</m:t>
        </m:r>
        <m:r>
          <m:t>l</m:t>
        </m:r>
        <m:r>
          <m:t>t</m:t>
        </m:r>
        <m:r>
          <m:t>s</m:t>
        </m:r>
        <m:r>
          <m:t>p</m:t>
        </m:r>
        <m:r>
          <m:rPr>
            <m:sty m:val="p"/>
          </m:rPr>
          <m:t>+</m:t>
        </m:r>
        <m:r>
          <m:t>p</m:t>
        </m:r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t>l</m:t>
        </m:r>
        <m:r>
          <m:t>t</m:t>
        </m:r>
        <m:r>
          <m:t>s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r>
          <m:t>l</m:t>
        </m:r>
        <m:r>
          <m:t>t</m:t>
        </m:r>
        <m:r>
          <m:t>s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 </m:t>
        </m:r>
        <m:r>
          <m:t>g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g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 Excel-AI adds the producer subsidy</w:t>
      </w:r>
      <w:r>
        <w:t xml:space="preserve"> </w:t>
      </w:r>
      <m:oMath>
        <m:r>
          <m:t>p</m:t>
        </m:r>
        <m:r>
          <m:t>s</m:t>
        </m:r>
      </m:oMath>
      <w:r>
        <w:t xml:space="preserve"> </w:t>
      </w:r>
      <w:r>
        <w:t xml:space="preserve">separately (appendix A2). Source: methodology: 03_Mitigation, Appendix C &gt; Calculations (supply price, floating portion); Excel-AI: E19, E20.</w:t>
      </w:r>
    </w:p>
    <w:p>
      <w:pPr>
        <w:pStyle w:val="BodyText"/>
      </w:pPr>
      <w:r>
        <w:rPr>
          <w:bCs/>
          <w:b/>
        </w:rPr>
        <w:t xml:space="preserve">M2.2 Excise and other taxes, floating with the pass-through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l</m:t>
              </m:r>
            </m:e>
          </m:d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p</m:t>
        </m:r>
        <m:r>
          <m:t>c</m:t>
        </m:r>
        <m:r>
          <m:t>c</m:t>
        </m:r>
      </m:oMath>
      <w:r>
        <w:t xml:space="preserve"> </w:t>
      </w:r>
      <w:r>
        <w:t xml:space="preserve">is the price-control (pass-through) coefficient: 1 for a liberalised market, 0 for fixed prices. A positive tax does not fall below its last historical level (appendix A2). Here</w:t>
      </w:r>
      <w:r>
        <w:t xml:space="preserve"> </w:t>
      </w:r>
      <m:oMath>
        <m:r>
          <m:t>t</m:t>
        </m:r>
        <m:r>
          <m:t>x</m:t>
        </m:r>
        <m:r>
          <m:t>o</m:t>
        </m:r>
      </m:oMath>
      <w:r>
        <w:t xml:space="preserve"> </w:t>
      </w:r>
      <w:r>
        <w:t xml:space="preserve">holds existing taxes and subsidies only; the methodology’s</w:t>
      </w:r>
      <w:r>
        <w:t xml:space="preserve"> </w:t>
      </w:r>
      <m:oMath>
        <m:r>
          <m:t>t</m:t>
        </m:r>
        <m:r>
          <m:t>x</m:t>
        </m:r>
        <m:r>
          <m:t>o</m:t>
        </m:r>
      </m:oMath>
      <w:r>
        <w:t xml:space="preserve"> </w:t>
      </w:r>
      <w:r>
        <w:t xml:space="preserve">also includes the carbon prices, which Excel-AI keeps apart (M2.5). Source: methodology: 03_Mitigation, Appendix C &gt; Calculations (</w:t>
      </w:r>
      <m:oMath>
        <m:r>
          <m:t>f</m:t>
        </m:r>
        <m:r>
          <m:t>l</m:t>
        </m:r>
        <m:r>
          <m:t>t</m:t>
        </m:r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t>c</m:t>
        </m:r>
        <m:r>
          <m:t>c</m:t>
        </m:r>
      </m:oMath>
      <w:r>
        <w:t xml:space="preserve">); Excel-AI: E21-E23.</w:t>
      </w:r>
    </w:p>
    <w:p>
      <w:pPr>
        <w:pStyle w:val="BodyText"/>
      </w:pPr>
      <w:r>
        <w:rPr>
          <w:bCs/>
          <w:b/>
        </w:rPr>
        <w:t xml:space="preserve">M2.3 VAT and retail price before new policies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o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sSup>
            <m:e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 Source: methodology: 03_Mitigation, Appendix C &gt; Calculations (VAT, retail price); Excel-AI: E24, E25.</w:t>
      </w:r>
    </w:p>
    <w:p>
      <w:pPr>
        <w:pStyle w:val="BodyText"/>
      </w:pPr>
      <w:r>
        <w:rPr>
          <w:bCs/>
          <w:b/>
        </w:rPr>
        <w:t xml:space="preserve">M2.4 New carbon price, ETS cost and excise per unit of energy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j</m:t>
                  </m:r>
                  <m:r>
                    <m:rPr>
                      <m:sty m:val="p"/>
                      <m:scr m:val="monospace"/>
                    </m:rPr>
                    <m:t>u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den>
          </m:f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price sector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f</m:t>
            </m:r>
          </m:e>
        </m:d>
      </m:oMath>
      <w:r>
        <w:t xml:space="preserve">.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the calibrated CO2 emission factor (M7.1),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exemption factor (0 for an exempt fuel),</w:t>
      </w:r>
      <w:r>
        <w:t xml:space="preserve"> </w:t>
      </w:r>
      <m:oMath>
        <m:sSup>
          <m:e>
            <m:r>
              <m:t>F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the fuel-price reform path (M1.1) in price units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GJ per price unit (Excel-AI notation 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). Source: methodology: 03_Mitigation, Appendix C &gt; Calculations (</w:t>
      </w:r>
      <m:oMath>
        <m:r>
          <m:t>n</m:t>
        </m:r>
        <m:r>
          <m:t>c</m:t>
        </m:r>
        <m:r>
          <m:t>p</m:t>
        </m:r>
        <m:r>
          <m:rPr>
            <m:sty m:val="p"/>
          </m:rPr>
          <m:t>=</m:t>
        </m:r>
        <m:r>
          <m:t>n</m:t>
        </m:r>
        <m:r>
          <m:t>c</m:t>
        </m:r>
        <m:r>
          <m:t>t</m:t>
        </m:r>
        <m:r>
          <m:rPr>
            <m:sty m:val="p"/>
          </m:rPr>
          <m:t>+</m:t>
        </m:r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c</m:t>
        </m:r>
      </m:oMath>
      <w:r>
        <w:t xml:space="preserve">); Excel-AI: E26-E29.</w:t>
      </w:r>
    </w:p>
    <w:p>
      <w:pPr>
        <w:pStyle w:val="BodyText"/>
      </w:pPr>
      <w:r>
        <w:rPr>
          <w:bCs/>
          <w:b/>
        </w:rPr>
        <w:t xml:space="preserve">M2.5 After-tax price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b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x</m:t>
                      </m:r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w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x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x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d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e>
              </m: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r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r</m:t>
              </m:r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Δ</m:t>
        </m:r>
        <m:r>
          <m:t>x</m:t>
        </m:r>
        <m:r>
          <m:t>c</m:t>
        </m:r>
        <m:r>
          <m:t>p</m:t>
        </m:r>
      </m:oMath>
      <w:r>
        <w:t xml:space="preserve"> </w:t>
      </w:r>
      <w:r>
        <w:t xml:space="preserve">is the change in existing carbon pricing against the price data, which already contain it (appendix A2).</w:t>
      </w:r>
      <w:r>
        <w:t xml:space="preserve"> </w:t>
      </w:r>
      <m:oMath>
        <m:bar>
          <m:barPr>
            <m:pos m:val="bot"/>
          </m:barPr>
          <m:e>
            <m:r>
              <m:t>p</m:t>
            </m:r>
          </m:e>
        </m:bar>
      </m:oMath>
      <w:r>
        <w:t xml:space="preserve"> </w:t>
      </w:r>
      <w:r>
        <w:t xml:space="preserve">is the price floor (0.01). Source: methodology: 03_Mitigation, Appendix C &gt; Calculations (retail price); Excel-AI: E30, E31.</w:t>
      </w:r>
    </w:p>
    <w:p>
      <w:pPr>
        <w:pStyle w:val="BodyText"/>
      </w:pPr>
      <w:r>
        <w:rPr>
          <w:bCs/>
          <w:b/>
        </w:rPr>
        <w:t xml:space="preserve">M2.6 Shadow price per unit of energy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x</m:t>
              </m:r>
            </m:e>
            <m:sub>
              <m:r>
                <m:t>s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 Excel-AI notation (the methodology names the shadow price in words only). Source: Excel-AI: E32.</w:t>
      </w:r>
    </w:p>
    <w:bookmarkEnd w:id="22"/>
    <w:bookmarkStart w:id="23" w:name="m3-fuel-use"/>
    <w:p>
      <w:pPr>
        <w:pStyle w:val="Heading2"/>
      </w:pPr>
      <w:r>
        <w:t xml:space="preserve">M3 Fuel use</w:t>
      </w:r>
    </w:p>
    <w:p>
      <w:pPr>
        <w:pStyle w:val="FirstParagraph"/>
      </w:pPr>
      <w:r>
        <w:t xml:space="preserve">The core behavioural equation of CPAT (switchable slot</w:t>
      </w:r>
      <w:r>
        <w:t xml:space="preserve"> </w:t>
      </w:r>
      <w:r>
        <w:rPr>
          <w:iCs/>
          <w:i/>
        </w:rPr>
        <w:t xml:space="preserve">fuel demand</w:t>
      </w:r>
      <w:r>
        <w:t xml:space="preserve">, spec section 7).</w:t>
      </w:r>
    </w:p>
    <w:p>
      <w:pPr>
        <w:pStyle w:val="BodyText"/>
      </w:pPr>
      <w:r>
        <w:rPr>
          <w:bCs/>
          <w:b/>
        </w:rPr>
        <w:t xml:space="preserve">M3.1 Fuel use, constant-elasticity form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l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l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e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f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f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_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i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m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rPr>
                              <m:sty m:val="p"/>
                              <m:scr m:val="monospace"/>
                            </m:rPr>
                            <m:t>a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d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d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e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f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f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†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</m:sup>
          </m:sSup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k</m:t>
              </m:r>
            </m:e>
            <m:sub>
              <m:r>
                <m:t>t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g</m:t>
                      </m:r>
                      <m:r>
                        <m:rPr>
                          <m:sty m:val="p"/>
                          <m:scr m:val="monospace"/>
                        </m:rPr>
                        <m:t>d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.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o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  <m:r>
                        <m:rPr>
                          <m:sty m:val="p"/>
                          <m:scr m:val="monospace"/>
                        </m:rPr>
                        <m:t>.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a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a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a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s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h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a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  <m:scr m:val="monospace"/>
                            </m:rPr>
                            <m:t>s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h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l</m:t>
                  </m:r>
                  <m:r>
                    <m:rPr>
                      <m:sty m:val="p"/>
                      <m:scr m:val="monospace"/>
                    </m:rPr>
                    <m:t>_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m</m:t>
                  </m:r>
                </m:e>
              </m:d>
            </m:sup>
          </m:sSup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 the elasticities</w:t>
      </w:r>
      <w:r>
        <w:t xml:space="preserve"> </w:t>
      </w:r>
      <m:oMath>
        <m:sSub>
          <m:e>
            <m:r>
              <m:t>ϵ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ϵ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ϵ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vary by country, sector and fuel. As the methodology, with three Excel-AI additions: the shadow price enters the efficiency term only;</w:t>
      </w:r>
      <w:r>
        <w:t xml:space="preserve"> </w:t>
      </w:r>
      <m:oMath>
        <m:sSubSup>
          <m:e>
            <m:r>
              <m:t>α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is the additional policy-induced efficiency gain of the sector’s group (Excel-AI notation);</w:t>
      </w:r>
      <w:r>
        <w:t xml:space="preserve"> </w:t>
      </w:r>
      <m:oMath>
        <m:r>
          <m:t>i</m:t>
        </m:r>
        <m:r>
          <m:t>n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adjusts the income elasticity to the income level (Excel-AI notation).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demand shock (methodology: Covid adjustment; in Excel-AI the 2023-2024 shock, switch on). Source: methodology: 03_Mitigation, Fuel Consumption Dynamics; Excel-AI: E69 (LAMBDAs FUELUSE, AEEIFACTOR).</w:t>
      </w:r>
    </w:p>
    <w:p>
      <w:pPr>
        <w:pStyle w:val="BodyText"/>
      </w:pPr>
      <w:r>
        <w:rPr>
          <w:bCs/>
          <w:b/>
        </w:rPr>
        <w:t xml:space="preserve">M3.2 Fuel use used by the rest of the model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p"/>
                            <m:scr m:val="monospace"/>
                          </m:rPr>
                          <m:t>t</m:t>
                        </m:r>
                        <m:r>
                          <m:rPr>
                            <m:sty m:val="p"/>
                            <m:scr m:val="monospace"/>
                          </m:rPr>
                          <m:t>r</m:t>
                        </m:r>
                        <m:r>
                          <m:rPr>
                            <m:sty m:val="p"/>
                            <m:scr m:val="monospace"/>
                          </m:rPr>
                          <m:t>f</m:t>
                        </m:r>
                        <m:r>
                          <m:rPr>
                            <m:sty m:val="p"/>
                            <m:scr m:val="monospace"/>
                          </m:rPr>
                          <m:t>c</m:t>
                        </m:r>
                      </m:e>
                      <m:sub>
                        <m: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  <m:scr m:val="monospace"/>
                      </m:rPr>
                      <m:t>r</m:t>
                    </m:r>
                    <m:r>
                      <m:rPr>
                        <m:sty m:val="p"/>
                        <m:scr m:val="monospace"/>
                      </m:rPr>
                      <m:t>o</m:t>
                    </m:r>
                    <m:r>
                      <m:rPr>
                        <m:sty m:val="p"/>
                        <m:scr m:val="monospace"/>
                      </m:rP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p"/>
                        <m:scr m:val="monospace"/>
                      </m:rPr>
                      <m:t>T</m:t>
                    </m:r>
                    <m:r>
                      <m:rPr>
                        <m:sty m:val="p"/>
                        <m:scr m:val="monospace"/>
                      </m:rPr>
                      <m:t>r</m:t>
                    </m:r>
                    <m:r>
                      <m:rPr>
                        <m:sty m:val="p"/>
                        <m:scr m:val="monospace"/>
                      </m:rPr>
                      <m:t>M</m:t>
                    </m:r>
                    <m:r>
                      <m:rPr>
                        <m:sty m:val="p"/>
                        <m:scr m:val="monospace"/>
                      </m:rPr>
                      <m:t>o</m:t>
                    </m:r>
                    <m:r>
                      <m:rPr>
                        <m:sty m:val="p"/>
                        <m:scr m:val="monospace"/>
                      </m:rPr>
                      <m:t>d</m:t>
                    </m:r>
                    <m:r>
                      <m:rPr>
                        <m:sty m:val="p"/>
                        <m:scr m:val="monospace"/>
                      </m:rPr>
                      <m:t>e</m:t>
                    </m:r>
                    <m:r>
                      <m:rPr>
                        <m:sty m:val="p"/>
                        <m:scr m:val="monospace"/>
                      </m:rP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Engineer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  <m:scr m:val="monospace"/>
                          </m:rPr>
                          <m:t>e</m:t>
                        </m:r>
                        <m:r>
                          <m:rPr>
                            <m:sty m:val="p"/>
                            <m:scr m:val="monospace"/>
                          </m:rPr>
                          <m:t>n</m:t>
                        </m:r>
                        <m:r>
                          <m:rPr>
                            <m:sty m:val="p"/>
                            <m:scr m:val="monospace"/>
                          </m:rPr>
                          <m:t>e</m:t>
                        </m:r>
                        <m:r>
                          <m:rPr>
                            <m:sty m:val="p"/>
                            <m:scr m:val="monospace"/>
                          </m:rPr>
                          <m:t>l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p"/>
                            <m:scr m:val="monospace"/>
                          </m:rPr>
                          <m:t>l</m:t>
                        </m:r>
                        <m:r>
                          <m:rPr>
                            <m:sty m:val="p"/>
                            <m:scr m:val="monospace"/>
                          </m:rPr>
                          <m:t>k</m:t>
                        </m:r>
                        <m:r>
                          <m:rPr>
                            <m:sty m:val="p"/>
                            <m:scr m:val="monospace"/>
                          </m:rPr>
                          <m:t>c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f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sSup>
          <m:e>
            <m:r>
              <m:t>F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is M3.1,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the road engineer model (M5),</w:t>
      </w:r>
      <w:r>
        <w:t xml:space="preserve"> </w:t>
      </w:r>
      <m:oMath>
        <m:r>
          <m:t>L</m:t>
        </m:r>
        <m:r>
          <m:t>k</m:t>
        </m:r>
      </m:oMath>
      <w:r>
        <w:t xml:space="preserve"> </w:t>
      </w:r>
      <w:r>
        <w:t xml:space="preserve">residential leakage to biomass (appendix A3, off by default). Excel-AI notation for the superscripts. Source: Excel-AI: E69, ROADSWITCH, section 6b.</w:t>
      </w:r>
    </w:p>
    <w:bookmarkEnd w:id="23"/>
    <w:bookmarkStart w:id="24" w:name="m4-power"/>
    <w:p>
      <w:pPr>
        <w:pStyle w:val="Heading2"/>
      </w:pPr>
      <w:r>
        <w:t xml:space="preserve">M4 Power</w:t>
      </w:r>
    </w:p>
    <w:p>
      <w:pPr>
        <w:pStyle w:val="FirstParagraph"/>
      </w:pPr>
      <w:r>
        <w:t xml:space="preserve">Electricity demand, generation, capacity and prices: the engineer model (standard-CPAT). Generation types</w:t>
      </w:r>
      <w:r>
        <w:t xml:space="preserve"> </w:t>
      </w:r>
      <m:oMath>
        <m:r>
          <m:t>f</m:t>
        </m:r>
      </m:oMath>
      <w:r>
        <w:t xml:space="preserve">: coal, gas, oil, nuclear, wind, solar, hydro, other renewables, biomass.</w:t>
      </w:r>
    </w:p>
    <w:p>
      <w:pPr>
        <w:pStyle w:val="BodyText"/>
      </w:pPr>
      <w:r>
        <w:rPr>
          <w:bCs/>
          <w:b/>
        </w:rPr>
        <w:t xml:space="preserve">M4.1 Electricity demand by sector (last year’s electricity price)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monospace"/>
                </m:rPr>
                <m:t>m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</m:e>
          </m:d>
          <m:r>
            <m:t> 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the demand group (transport, residential, industry, services),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its price weight. The methodology’s form, with Excel-AI’s timing: the demand price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T</m:t>
            </m:r>
          </m:sup>
        </m:sSup>
      </m:oMath>
      <w:r>
        <w:t xml:space="preserve"> </w:t>
      </w:r>
      <w:r>
        <w:t xml:space="preserve">is a blend of last year’s residential and industrial end-user prices, so power demand does not depend on this year’s power price. The methodology writes the GDP elasticity</w:t>
      </w:r>
      <w:r>
        <w:t xml:space="preserve"> </w:t>
      </w:r>
      <m:oMath>
        <m:sSub>
          <m:e>
            <m:r>
              <m:t>ϵ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(undefined there); Excel-AI uses</w:t>
      </w:r>
      <w:r>
        <w:t xml:space="preserve"> </w:t>
      </w:r>
      <m:oMath>
        <m:sSub>
          <m:e>
            <m:r>
              <m:t>ϵ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with the income factor. Road electricity comes from the road engineer model. Source: methodology: 03_Mitigation, Engineer model &gt; Power demand; Excel-AI: E52-E54 (LAMBDA DEMANDMULT).</w:t>
      </w:r>
    </w:p>
    <w:p>
      <w:pPr>
        <w:pStyle w:val="BodyText"/>
      </w:pPr>
      <w:r>
        <w:rPr>
          <w:bCs/>
          <w:b/>
        </w:rPr>
        <w:t xml:space="preserve">M4.2 Generation required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m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Source: methodology: 03_Mitigation, Engineer model &gt; Power demand; Excel-AI: E57.</w:t>
      </w:r>
    </w:p>
    <w:p>
      <w:pPr>
        <w:pStyle w:val="BodyText"/>
      </w:pPr>
      <w:r>
        <w:rPr>
          <w:bCs/>
          <w:b/>
        </w:rPr>
        <w:t xml:space="preserve">M4.3 Variable cost and levelised total investment cost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u</m:t>
                  </m:r>
                  <m:r>
                    <m:rPr>
                      <m:sty m:val="p"/>
                      <m:scr m:val="monospace"/>
                    </m:rPr>
                    <m:t>u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+</m:t>
          </m:r>
          <m:sSubSup>
            <m:e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x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is the fuel price averaged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;</w:t>
      </w:r>
      <w:r>
        <w:t xml:space="preserve"> </w:t>
      </w:r>
      <m:oMath>
        <m:bar>
          <m:barPr>
            <m:pos m:val="top"/>
          </m:barPr>
          <m:e>
            <m:r>
              <m:t>v</m:t>
            </m:r>
            <m:r>
              <m:t>c</m:t>
            </m:r>
          </m:e>
        </m:bar>
      </m:oMath>
      <w:r>
        <w:t xml:space="preserve"> </w:t>
      </w:r>
      <w:r>
        <w:t xml:space="preserve">the levelised variable cost, a discounted average of</w:t>
      </w:r>
      <w:r>
        <w:t xml:space="preserve"> </w:t>
      </w:r>
      <m:oMath>
        <m:r>
          <m:t>v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the last year (computed before the year loop: it depends on prices and policies only). Source: methodology: 03_Mitigation, Power prices &gt; Concepts 1-2; Excel-AI: E37-E43, E46.</w:t>
      </w:r>
    </w:p>
    <w:p>
      <w:pPr>
        <w:pStyle w:val="BodyText"/>
      </w:pPr>
      <w:r>
        <w:rPr>
          <w:bCs/>
          <w:b/>
        </w:rPr>
        <w:t xml:space="preserve">M4.4 Dispatch between coal and gas (logit)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K</m:t>
                      </m:r>
                      <m:r>
                        <m:rPr>
                          <m:sty m:val="p"/>
                          <m:scr m:val="monospace"/>
                        </m:rPr>
                        <m:t>_</m:t>
                      </m:r>
                      <m:r>
                        <m:rPr>
                          <m:sty m:val="p"/>
                          <m:scr m:val="monospace"/>
                        </m:rPr>
                        <m:t>d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K</m:t>
                      </m:r>
                      <m:r>
                        <m:rPr>
                          <m:sty m:val="p"/>
                          <m:scr m:val="monospace"/>
                        </m:rPr>
                        <m:t>_</m:t>
                      </m:r>
                      <m:r>
                        <m:rPr>
                          <m:sty m:val="p"/>
                          <m:scr m:val="monospace"/>
                        </m:rPr>
                        <m:t>d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Over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</m:oMath>
      <w:r>
        <w:t xml:space="preserve"> </w:t>
      </w:r>
      <w:r>
        <w:t xml:space="preserve">{coal, gas}; other types run at their capacity factors. Source: methodology: 03_Mitigation, Engineer model &gt; Dispatch decision; Excel-AI: E57-E60 (LAMBDAs DISPATCH, LOGITW).</w:t>
      </w:r>
    </w:p>
    <w:p>
      <w:pPr>
        <w:pStyle w:val="BodyText"/>
      </w:pPr>
      <w:r>
        <w:rPr>
          <w:bCs/>
          <w:b/>
        </w:rPr>
        <w:t xml:space="preserve">M4.5 Capacity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m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/</m:t>
          </m:r>
          <m:sSubSup>
            <m:e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 The methodology writes the stock equation with</w:t>
      </w:r>
      <w:r>
        <w:t xml:space="preserve"> </w:t>
      </w:r>
      <m:oMath>
        <m:r>
          <m:t>g</m:t>
        </m:r>
      </m:oMath>
      <w:r>
        <w:t xml:space="preserve">; it is capacity. Coal retirements follow plant data where available, plus cost-based early retirement (appendix A4). Source: methodology: 03_Mitigation, Engineer model &gt; Retirement and capacity needed; Excel-AI: E56, E61, E62.</w:t>
      </w:r>
    </w:p>
    <w:p>
      <w:pPr>
        <w:pStyle w:val="BodyText"/>
      </w:pPr>
      <w:r>
        <w:rPr>
          <w:bCs/>
          <w:b/>
        </w:rPr>
        <w:t xml:space="preserve">M4.6 Investment allocation (logit with scale-up limits)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i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z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a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K</m:t>
                      </m:r>
                      <m:r>
                        <m:rPr>
                          <m:sty m:val="p"/>
                          <m:scr m:val="monospace"/>
                        </m:rPr>
                        <m:t>_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K</m:t>
                      </m:r>
                      <m:r>
                        <m:rPr>
                          <m:sty m:val="p"/>
                          <m:scr m:val="monospace"/>
                        </m:rPr>
                        <m:t>_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 A second round allocates what the scale-up limits leave unallocated to the cheapest types (appendix A4). Source: methodology: 03_Mitigation, Engineer model &gt; Investment decision; Excel-AI: E63-E67 (LAMBDAs FIRSTROUND, CHEAPFILL).</w:t>
      </w:r>
    </w:p>
    <w:p>
      <w:pPr>
        <w:pStyle w:val="BodyText"/>
      </w:pPr>
      <w:r>
        <w:rPr>
          <w:bCs/>
          <w:b/>
        </w:rPr>
        <w:t xml:space="preserve">M4.7 End-user electricity price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m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l</m:t>
              </m:r>
            </m:e>
            <m:sub>
              <m:r>
                <m:t>g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c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c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  <m:scr m:val="monospace"/>
                    </m:rPr>
                    <m:t>v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v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l</m:t>
                  </m:r>
                </m:e>
                <m:sub>
                  <m:r>
                    <m:t>g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b</m:t>
                  </m:r>
                  <m:r>
                    <m:rPr>
                      <m:sty m:val="p"/>
                      <m:scr m:val="monospace"/>
                    </m:rPr>
                    <m:t>s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x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  <m:scr m:val="monospace"/>
                    </m:rPr>
                    <m:t>v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Over user groups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(residential, industry);</w:t>
      </w:r>
      <w:r>
        <w:t xml:space="preserve"> </w:t>
      </w:r>
      <m:oMath>
        <m:r>
          <m:t>g</m:t>
        </m:r>
        <m:r>
          <m:t>n</m:t>
        </m:r>
        <m:sSup>
          <m:e>
            <m:r>
              <m:t>c</m:t>
            </m:r>
          </m:e>
          <m:sup>
            <m:r>
              <m:t>a</m:t>
            </m:r>
            <m:r>
              <m:t>v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f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n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 </m:t>
        </m:r>
        <m:r>
          <m:t>g</m:t>
        </m:r>
        <m:r>
          <m:t>n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generation-weighted generation cost. Excel-AI’s form (data up to the last historical year, then cost changes passed through at</w:t>
      </w:r>
      <w:r>
        <w:t xml:space="preserve"> </w:t>
      </w:r>
      <m:oMath>
        <m:r>
          <m:t>p</m:t>
        </m:r>
        <m:r>
          <m:t>c</m:t>
        </m:r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; the supply cost uses last year’s generation cost). The methodology instead adds a markup</w:t>
      </w:r>
      <w:r>
        <w:t xml:space="preserve"> </w:t>
      </w:r>
      <m:oMath>
        <m:r>
          <m:t>m</m:t>
        </m:r>
        <m:sSup>
          <m:e>
            <m: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calibrated to historical retail prices; Excel-AI’s subsidy gap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v</m:t>
            </m:r>
            <m:r>
              <m:t>a</m:t>
            </m:r>
            <m:r>
              <m:t>t</m:t>
            </m:r>
            <m:r>
              <m:t>r</m:t>
            </m:r>
            <m:r>
              <m:t>a</m:t>
            </m:r>
            <m:r>
              <m:t>t</m:t>
            </m:r>
            <m:r>
              <m:t>e</m:t>
            </m:r>
          </m:e>
        </m:d>
        <m:r>
          <m:rPr>
            <m:sty m:val="p"/>
          </m:rPr>
          <m:t>−</m:t>
        </m:r>
        <m:r>
          <m:t>s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plays that role (appendix A4).</w:t>
      </w:r>
      <w:r>
        <w:t xml:space="preserve"> </w:t>
      </w:r>
      <m:oMath>
        <m:r>
          <m:t>r</m:t>
        </m:r>
        <m:r>
          <m:t>e</m:t>
        </m:r>
        <m:r>
          <m:t>b</m:t>
        </m:r>
      </m:oMath>
      <w:r>
        <w:t xml:space="preserve"> </w:t>
      </w:r>
      <w:r>
        <w:t xml:space="preserve">is the rebate switch,</w:t>
      </w:r>
      <w:r>
        <w:t xml:space="preserve"> </w:t>
      </w:r>
      <m:oMath>
        <m:r>
          <m:t>p</m:t>
        </m:r>
        <m:r>
          <m:t>e</m:t>
        </m:r>
        <m:r>
          <m:t>x</m:t>
        </m:r>
      </m:oMath>
      <w:r>
        <w:t xml:space="preserve"> </w:t>
      </w:r>
      <w:r>
        <w:t xml:space="preserve">the power excise. Source: methodology: 03_Mitigation, Power prices &gt; Concept 4; Excel-AI: E48-E51.</w:t>
      </w:r>
    </w:p>
    <w:bookmarkEnd w:id="24"/>
    <w:bookmarkStart w:id="25" w:name="m5-road-transport-engineer-model"/>
    <w:p>
      <w:pPr>
        <w:pStyle w:val="Heading2"/>
      </w:pPr>
      <w:r>
        <w:t xml:space="preserve">M5 Road transport (engineer model)</w:t>
      </w:r>
    </w:p>
    <w:p>
      <w:pPr>
        <w:pStyle w:val="FirstParagraph"/>
      </w:pPr>
      <w:r>
        <w:t xml:space="preserve">Excel-AI notation throughout (the methodology’s road chapter covers externalities, not the engineer model). Vehicle classes: passenger, freight, 2-3 wheelers; technologies: ICE, BEV, PHEV.</w:t>
      </w:r>
    </w:p>
    <w:p>
      <w:pPr>
        <w:pStyle w:val="BodyText"/>
      </w:pPr>
      <w:r>
        <w:rPr>
          <w:bCs/>
          <w:b/>
        </w:rPr>
        <w:t xml:space="preserve">M5.1 Vehicle ownership (Gompertz target, partial adjustment)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w</m:t>
              </m:r>
              <m:r>
                <m:rPr>
                  <m:sty m:val="p"/>
                  <m:scr m:val="monospace"/>
                </m:rPr>
                <m:t>n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w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j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⋅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w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w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⋅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w</m:t>
              </m:r>
              <m:r>
                <m:rPr>
                  <m:sty m:val="p"/>
                  <m:scr m:val="monospace"/>
                </m:rP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Over vehicle classes; growth limited per year.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GDP per capita,</w:t>
      </w:r>
      <w:r>
        <w:t xml:space="preserve"> </w:t>
      </w:r>
      <m:oMath>
        <m:r>
          <m:t>S</m:t>
        </m:r>
        <m:r>
          <m:t>a</m:t>
        </m:r>
        <m:r>
          <m:t>t</m:t>
        </m:r>
      </m:oMath>
      <w:r>
        <w:t xml:space="preserve"> </w:t>
      </w:r>
      <w:r>
        <w:t xml:space="preserve">saturation level,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calibration to observed ownership. The only partial-adjustment equation in Excel-AI. Source: Excel-AI: Methods Transport, T1-T2 (LAMBDAs OWNDEM, GOMPTGT).</w:t>
      </w:r>
    </w:p>
    <w:p>
      <w:pPr>
        <w:pStyle w:val="BodyText"/>
      </w:pPr>
      <w:r>
        <w:rPr>
          <w:bCs/>
          <w:b/>
        </w:rPr>
        <w:t xml:space="preserve">M5.2 Electric-vehicle share of purchases (logit on total cost of ownership)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o</m:t>
                      </m:r>
                    </m:e>
                    <m:sub>
                      <m:r>
                        <m:t>e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c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o</m:t>
                          </m:r>
                        </m:e>
                      </m:ba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o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  <m:scr m:val="monospace"/>
                            </m:rPr>
                            <m:t>t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c</m:t>
                          </m:r>
                          <m:r>
                            <m:rPr>
                              <m:sty m:val="p"/>
                              <m:scr m:val="monospace"/>
                            </m:rPr>
                            <m:t>o</m:t>
                          </m:r>
                        </m:e>
                      </m:ba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Over vehicle classes. Source: Excel-AI: Methods Transport (demand and choice).</w:t>
      </w:r>
    </w:p>
    <w:p>
      <w:pPr>
        <w:pStyle w:val="BodyText"/>
      </w:pPr>
      <w:r>
        <w:rPr>
          <w:bCs/>
          <w:b/>
        </w:rPr>
        <w:t xml:space="preserve">M5.3 Road fuel use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k</m:t>
                  </m:r>
                  <m:r>
                    <m:rPr>
                      <m:sty m:val="p"/>
                      <m:scr m:val="monospace"/>
                    </m:rPr>
                    <m:t>m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g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road fuels</w:t>
      </w:r>
      <w:r>
        <w:t xml:space="preserve"> </w:t>
      </w:r>
      <m:oMath>
        <m:r>
          <m:t>f</m:t>
        </m:r>
      </m:oMath>
      <w:r>
        <w:t xml:space="preserve">; vehicle classes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m:oMath>
        <m:r>
          <m:t>V</m:t>
        </m:r>
        <m:r>
          <m:t>K</m:t>
        </m:r>
        <m:r>
          <m:t>T</m:t>
        </m:r>
      </m:oMath>
      <w:r>
        <w:t xml:space="preserve"> </w:t>
      </w:r>
      <w:r>
        <w:t xml:space="preserve">vehicle-km,</w:t>
      </w:r>
      <w:r>
        <w:t xml:space="preserve"> </w:t>
      </w:r>
      <m:oMath>
        <m:r>
          <m:t>F</m:t>
        </m:r>
        <m:r>
          <m:t>E</m:t>
        </m:r>
      </m:oMath>
      <w:r>
        <w:t xml:space="preserve"> </w:t>
      </w:r>
      <w:r>
        <w:t xml:space="preserve">fuel use per km of the stock (Excel-AI notation). Source: Excel-AI: Methods Transport T16 (LAMBDA DEMROAD).</w:t>
      </w:r>
    </w:p>
    <w:bookmarkEnd w:id="25"/>
    <w:bookmarkStart w:id="26" w:name="m6-revenues"/>
    <w:p>
      <w:pPr>
        <w:pStyle w:val="Heading2"/>
      </w:pPr>
      <w:r>
        <w:t xml:space="preserve">M6 Revenues</w:t>
      </w:r>
    </w:p>
    <w:p>
      <w:pPr>
        <w:pStyle w:val="FirstParagraph"/>
      </w:pPr>
      <w:r>
        <w:t xml:space="preserve">Revenue in USD million: fuel use in ktoe times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(PJ per ktoe) times a price component in USD/GJ.</w:t>
      </w:r>
    </w:p>
    <w:p>
      <w:pPr>
        <w:pStyle w:val="BodyText"/>
      </w:pPr>
      <w:r>
        <w:rPr>
          <w:bCs/>
          <w:b/>
        </w:rPr>
        <w:t xml:space="preserve">M6.1 Revenue from new policies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x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s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  <m:scr m:val="monospace"/>
                    </m:rPr>
                    <m:t>v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x</m:t>
                      </m:r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w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n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x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(power adds its own terms, appendix A6).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ETS revenue factor (auctioned part; Excel-AI notation). Source: methodology: 03_Mitigation, Fiscal revenues &gt; Overview (</w:t>
      </w:r>
      <m:oMath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F</m:t>
        </m:r>
        <m:r>
          <m:t> </m:t>
        </m:r>
        <m:r>
          <m:t>φ</m:t>
        </m:r>
        <m:r>
          <m:t> </m:t>
        </m:r>
        <m:r>
          <m:t>n</m:t>
        </m:r>
        <m:r>
          <m:t>c</m:t>
        </m:r>
        <m:r>
          <m:t>p</m:t>
        </m:r>
      </m:oMath>
      <w:r>
        <w:t xml:space="preserve">); Excel-AI: E73.</w:t>
      </w:r>
    </w:p>
    <w:p>
      <w:pPr>
        <w:pStyle w:val="BodyText"/>
      </w:pPr>
      <w:r>
        <w:rPr>
          <w:bCs/>
          <w:b/>
        </w:rPr>
        <w:t xml:space="preserve">M6.2 Revenue from existing taxes and cost of existing subsidies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d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v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r>
            <m:rPr>
              <m:sty m:val="p"/>
              <m:scr m:val="monospace"/>
            </m:rPr>
            <m:t>e</m:t>
          </m:r>
          <m:r>
            <m:rPr>
              <m:sty m:val="p"/>
              <m:scr m:val="monospace"/>
            </m:rPr>
            <m:t>s</m:t>
          </m:r>
          <m:r>
            <m:rPr>
              <m:sty m:val="p"/>
              <m:scr m:val="monospace"/>
            </m:rPr>
            <m:t>u</m:t>
          </m:r>
          <m:r>
            <m:rPr>
              <m:sty m:val="p"/>
              <m:scr m:val="monospace"/>
            </m:rPr>
            <m:t>b</m:t>
          </m:r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t</m:t>
        </m:r>
        <m:r>
          <m:t>x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x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the positive (taxes) and negative (subsidies, negative) parts. Source: methodology: 03_Mitigation, Fiscal revenues &gt; Total revenues raised by policy; Excel-AI: E71, E72.</w:t>
      </w:r>
    </w:p>
    <w:p>
      <w:pPr>
        <w:pStyle w:val="BodyText"/>
      </w:pPr>
      <w:r>
        <w:rPr>
          <w:bCs/>
          <w:b/>
        </w:rPr>
        <w:t xml:space="preserve">M6.3 Total revenue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t</m:t>
          </m:r>
          <m:r>
            <m:rPr>
              <m:sty m:val="p"/>
              <m:scr m:val="monospace"/>
            </m:rPr>
            <m:t>o</m:t>
          </m:r>
          <m:r>
            <m:rPr>
              <m:sty m:val="p"/>
              <m:scr m:val="monospace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n</m:t>
          </m:r>
          <m:r>
            <m:rPr>
              <m:sty m:val="p"/>
              <m:scr m:val="monospace"/>
            </m:rPr>
            <m:t>e</m:t>
          </m:r>
          <m:r>
            <m:rPr>
              <m:sty m:val="p"/>
              <m:scr m:val="monospace"/>
            </m:rPr>
            <m:t>t</m:t>
          </m:r>
          <m:r>
            <m:rPr>
              <m:sty m:val="p"/>
            </m:rPr>
            <m:t>+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n</m:t>
          </m:r>
          <m:r>
            <m:rPr>
              <m:sty m:val="p"/>
              <m:scr m:val="monospace"/>
            </m:rPr>
            <m:t>e</m:t>
          </m:r>
          <m:r>
            <m:rPr>
              <m:sty m:val="p"/>
              <m:scr m:val="monospace"/>
            </m:rPr>
            <m:t>w</m:t>
          </m:r>
          <m:r>
            <m:rPr>
              <m:sty m:val="p"/>
            </m:rPr>
            <m:t>+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m</m:t>
          </m:r>
          <m:r>
            <m:rPr>
              <m:sty m:val="p"/>
              <m:scr m:val="monospace"/>
            </m:rPr>
            <m:t>f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n</m:t>
          </m:r>
          <m:r>
            <m:rPr>
              <m:sty m:val="p"/>
              <m:scr m:val="monospace"/>
            </m:rPr>
            <m:t>e</m:t>
          </m:r>
          <m:r>
            <m:rPr>
              <m:sty m:val="p"/>
              <m:scr m:val="monospace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t</m:t>
          </m:r>
          <m:r>
            <m:rPr>
              <m:sty m:val="p"/>
              <m:scr m:val="monospace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  <m:scr m:val="monospace"/>
            </m:rPr>
            <m:t>r</m:t>
          </m:r>
          <m:r>
            <m:rPr>
              <m:sty m:val="p"/>
              <m:scr m:val="monospace"/>
            </m:rPr>
            <m:t>s</m:t>
          </m:r>
          <m:r>
            <m:rPr>
              <m:sty m:val="p"/>
              <m:scr m:val="monospace"/>
            </m:rPr>
            <m:t>u</m:t>
          </m:r>
          <m:r>
            <m:rPr>
              <m:sty m:val="p"/>
              <m:scr m:val="monospace"/>
            </m:rPr>
            <m:t>b</m:t>
          </m:r>
        </m:oMath>
      </m:oMathPara>
    </w:p>
    <w:p>
      <w:pPr>
        <w:pStyle w:val="FirstParagraph"/>
      </w:pPr>
      <m:oMath>
        <m:r>
          <m:t>r</m:t>
        </m:r>
        <m:r>
          <m:t>e</m:t>
        </m:r>
        <m:sSup>
          <m:e>
            <m:r>
              <m:t>v</m:t>
            </m:r>
          </m:e>
          <m:sup>
            <m:r>
              <m:t>p</m:t>
            </m:r>
            <m:r>
              <m:t>o</m:t>
            </m:r>
            <m:r>
              <m:t>w</m:t>
            </m:r>
          </m:sup>
        </m:sSup>
      </m:oMath>
      <w:r>
        <w:t xml:space="preserve"> </w:t>
      </w:r>
      <w:r>
        <w:t xml:space="preserve">power-sector revenue (appendix A6),</w:t>
      </w:r>
      <w:r>
        <w:t xml:space="preserve"> </w:t>
      </w:r>
      <m:oMath>
        <m:r>
          <m:t>r</m:t>
        </m:r>
        <m:r>
          <m:t>e</m:t>
        </m:r>
        <m:sSup>
          <m:e>
            <m:r>
              <m:t>v</m:t>
            </m:r>
          </m:e>
          <m:sup>
            <m:r>
              <m:t>m</m:t>
            </m:r>
            <m:r>
              <m:t>f</m:t>
            </m:r>
          </m:sup>
        </m:sSup>
      </m:oMath>
      <w:r>
        <w:t xml:space="preserve"> </w:t>
      </w:r>
      <w:r>
        <w:t xml:space="preserve">methane fee (appendix A7). Source: Excel-AI: E75, E76.</w:t>
      </w:r>
    </w:p>
    <w:bookmarkEnd w:id="26"/>
    <w:bookmarkStart w:id="27" w:name="m7-emissions"/>
    <w:p>
      <w:pPr>
        <w:pStyle w:val="Heading2"/>
      </w:pPr>
      <w:r>
        <w:t xml:space="preserve">M7 Emissions</w:t>
      </w:r>
    </w:p>
    <w:p>
      <w:pPr>
        <w:pStyle w:val="FirstParagraph"/>
      </w:pPr>
      <w:r>
        <w:rPr>
          <w:bCs/>
          <w:b/>
        </w:rPr>
        <w:t xml:space="preserve">M7.1 Energy-related CO2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2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monospace"/>
            </m:rPr>
            <m:t>c</m:t>
          </m:r>
          <m:r>
            <m:rPr>
              <m:sty m:val="p"/>
              <m:scr m:val="monospace"/>
            </m:rPr>
            <m:t>o</m:t>
          </m:r>
          <m:r>
            <m:rPr>
              <m:sty m:val="p"/>
              <m:scr m:val="monospace"/>
            </m:rPr>
            <m:t>2</m:t>
          </m:r>
          <m:r>
            <m:rPr>
              <m:sty m:val="p"/>
              <m:scr m:val="monospace"/>
            </m:rPr>
            <m:t>.</m:t>
          </m:r>
          <m:r>
            <m:rPr>
              <m:sty m:val="p"/>
              <m:scr m:val="monospace"/>
            </m:rPr>
            <m:t>t</m:t>
          </m:r>
          <m:r>
            <m:rPr>
              <m:sty m:val="p"/>
              <m:scr m:val="monospace"/>
            </m:rPr>
            <m:t>o</m:t>
          </m:r>
          <m:r>
            <m:rPr>
              <m:sty m:val="p"/>
              <m:scr m:val="monospace"/>
            </m:rP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2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(including power: generation fuel use),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carries the calibration to the inventory (appendix A7; off by default in Excel-AI). Source: methodology: 03_Mitigation, Emissions &gt; Energy-related emissions; Excel-AI: E77, E78.</w:t>
      </w:r>
    </w:p>
    <w:p>
      <w:pPr>
        <w:pStyle w:val="BodyText"/>
      </w:pPr>
      <w:r>
        <w:rPr>
          <w:bCs/>
          <w:b/>
        </w:rPr>
        <w:t xml:space="preserve">M7.2 Other greenhouse gases (pattern)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g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g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r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UNFCCC sectors</w:t>
      </w:r>
      <w:r>
        <w:t xml:space="preserve"> </w:t>
      </w:r>
      <m:oMath>
        <m:r>
          <m:t>u</m:t>
        </m:r>
      </m:oMath>
      <w:r>
        <w:t xml:space="preserve">, gases</w:t>
      </w:r>
      <w:r>
        <w:t xml:space="preserve"> </w:t>
      </w:r>
      <m:oMath>
        <m:r>
          <m:t>p</m:t>
        </m:r>
      </m:oMath>
      <w:r>
        <w:t xml:space="preserve">. Each source grows with its driver (energy CO2, industrial energy CO2, GDP and population with elasticities); the source equations are in appendix A7. Source: methodology: 03_Mitigation, Emissions (N2O, IPPU, agriculture, LULUCF, waste); Excel-AI: E80-E86.</w:t>
      </w:r>
    </w:p>
    <w:bookmarkEnd w:id="27"/>
    <w:bookmarkStart w:id="28" w:name="m8-gdp"/>
    <w:p>
      <w:pPr>
        <w:pStyle w:val="Heading2"/>
      </w:pPr>
      <w:r>
        <w:t xml:space="preserve">M8 GDP</w:t>
      </w:r>
    </w:p>
    <w:p>
      <w:pPr>
        <w:pStyle w:val="FirstParagraph"/>
      </w:pPr>
      <w:r>
        <w:t xml:space="preserve">Excel-AI notation throughout: the methodology describes the multipliers but gives no in-model equation.</w:t>
      </w:r>
    </w:p>
    <w:p>
      <w:pPr>
        <w:pStyle w:val="BodyText"/>
      </w:pPr>
      <w:r>
        <w:rPr>
          <w:bCs/>
          <w:b/>
        </w:rPr>
        <w:t xml:space="preserve">M8.1 Fiscal space and impulse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w</m:t>
                  </m:r>
                </m:e>
                <m:sub>
                  <m:r>
                    <m:t>t</m:t>
                  </m:r>
                </m:sub>
                <m:sup>
                  <m:r>
                    <m:t>B</m:t>
                  </m:r>
                </m:sup>
              </m:sSubSup>
            </m:num>
            <m:den>
              <m:sSubSup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u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d</m:t>
                  </m:r>
                </m:e>
                <m:sub>
                  <m:r>
                    <m:t>t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m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 Excel-AI: E91, E92.</w:t>
      </w:r>
    </w:p>
    <w:p>
      <w:pPr>
        <w:pStyle w:val="BodyText"/>
      </w:pPr>
      <w:r>
        <w:rPr>
          <w:bCs/>
          <w:b/>
        </w:rPr>
        <w:t xml:space="preserve">M8.2 GDP effect of the use of revenue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h</m:t>
                  </m:r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100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19</m:t>
              </m:r>
            </m:sup>
            <m:e>
              <m:sSub>
                <m:e>
                  <m:r>
                    <m:rPr>
                      <m:sty m:val="p"/>
                      <m:scr m:val="monospace"/>
                    </m:rPr>
                    <m:t>f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m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m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Over uses of revenue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(labour and corporate tax cuts, public investment, current spending, transfers; the revenue itself with excise multipliers). Multipliers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by lag (methodology chapter 4, estimated offline). Applied only if endogenous GDP is switched on. Source: methodology: 04_Multipliers; Excel-AI: E93, E94.</w:t>
      </w:r>
    </w:p>
    <w:p>
      <w:pPr>
        <w:pStyle w:val="BodyText"/>
      </w:pPr>
      <w:r>
        <w:rPr>
          <w:bCs/>
          <w:b/>
        </w:rPr>
        <w:t xml:space="preserve">M8.3 GDP feedback, one year later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d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r>
            <m:t> 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l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g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l</m:t>
                  </m:r>
                  <m:r>
                    <m:rPr>
                      <m:sty m:val="p"/>
                      <m:scr m:val="monospace"/>
                    </m:rPr>
                    <m:t>v</m:t>
                  </m:r>
                  <m:r>
                    <m:rPr>
                      <m:sty m:val="p"/>
                      <m:scr m:val="monospace"/>
                    </m:rPr>
                    <m:t>l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  <m:scr m:val="monospace"/>
                    </m:rPr>
                    <m:t>g</m:t>
                  </m:r>
                  <m:r>
                    <m:rPr>
                      <m:sty m:val="p"/>
                      <m:scr m:val="monospace"/>
                    </m:rPr>
                    <m:t>d</m:t>
                  </m:r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l</m:t>
                  </m:r>
                  <m:r>
                    <m:rPr>
                      <m:sty m:val="p"/>
                      <m:scr m:val="monospace"/>
                    </m:rPr>
                    <m:t>v</m:t>
                  </m:r>
                  <m:r>
                    <m:rPr>
                      <m:sty m:val="p"/>
                      <m:scr m:val="monospace"/>
                    </m:rPr>
                    <m:t>l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only link from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year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other than lags of a block’s own quantities. Revenue of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moves GDP from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(root NORMS 5c). Source: Excel-AI: E95.</w:t>
      </w:r>
    </w:p>
    <w:bookmarkEnd w:id="28"/>
    <w:bookmarkStart w:id="29" w:name="d-distribution"/>
    <w:p>
      <w:pPr>
        <w:pStyle w:val="Heading2"/>
      </w:pPr>
      <w:r>
        <w:t xml:space="preserve">D Distribution</w:t>
      </w:r>
    </w:p>
    <w:p>
      <w:pPr>
        <w:pStyle w:val="FirstParagraph"/>
      </w:pPr>
      <w:r>
        <w:t xml:space="preserve">One analysis year</w:t>
      </w:r>
      <w:r>
        <w:t xml:space="preserve"> </w:t>
      </w:r>
      <m:oMath>
        <m:r>
          <m:t>y</m:t>
        </m:r>
      </m:oMath>
      <w:r>
        <w:t xml:space="preserve">; households</w:t>
      </w:r>
      <w:r>
        <w:t xml:space="preserve"> </w:t>
      </w:r>
      <m:oMath>
        <m:r>
          <m:t>j</m:t>
        </m:r>
      </m:oMath>
      <w:r>
        <w:t xml:space="preserve">, deciles</w:t>
      </w:r>
      <w:r>
        <w:t xml:space="preserve"> </w:t>
      </w:r>
      <m:oMath>
        <m:r>
          <m:t>d</m:t>
        </m:r>
      </m:oMath>
      <w:r>
        <w:t xml:space="preserve">, consumption categories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(methodology chapter 5).</w:t>
      </w:r>
    </w:p>
    <w:p>
      <w:pPr>
        <w:pStyle w:val="BodyText"/>
      </w:pPr>
      <w:r>
        <w:rPr>
          <w:bCs/>
          <w:b/>
        </w:rPr>
        <w:t xml:space="preserve">D1.1 Budget shares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b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weighted mean</m:t>
              </m:r>
            </m:e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</m:sSub>
          <m:r>
            <m:t> </m:t>
          </m:r>
          <m:f>
            <m:fPr>
              <m:type m:val="bar"/>
            </m:fPr>
            <m:num>
              <m:sSubSup>
                <m:e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s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num>
            <m:den>
              <m:sSubSup>
                <m:e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Over categories</w:t>
      </w:r>
      <w:r>
        <w:t xml:space="preserve"> </w:t>
      </w:r>
      <m:oMath>
        <m:r>
          <m:t>g</m:t>
        </m:r>
      </m:oMath>
      <w:r>
        <w:t xml:space="preserve">, deciles</w:t>
      </w:r>
      <w:r>
        <w:t xml:space="preserve"> </w:t>
      </w:r>
      <m:oMath>
        <m:r>
          <m:t>d</m:t>
        </m:r>
      </m:oMath>
      <w:r>
        <w:t xml:space="preserve">; samples overall, urban, rural. Source: methodology: 05_Distribution, eq-5_1; Excel-AI: Distribution tab, budget shares (HHSurvey).</w:t>
      </w:r>
    </w:p>
    <w:p>
      <w:pPr>
        <w:pStyle w:val="BodyText"/>
      </w:pPr>
      <w:r>
        <w:rPr>
          <w:bCs/>
          <w:b/>
        </w:rPr>
        <w:t xml:space="preserve">D1.2 Energy intensities of consumption categories (input-output)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  <m:scr m:val="monospace"/>
                </m:rPr>
                <m:t>i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_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l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  <m:scr m:val="monospace"/>
                        </m:rPr>
                        <m:t>i</m:t>
                      </m:r>
                      <m:r>
                        <m:rPr>
                          <m:sty m:val="p"/>
                          <m:scr m:val="monospace"/>
                        </m:rPr>
                        <m:t>o</m:t>
                      </m:r>
                      <m:r>
                        <m:rPr>
                          <m:sty m:val="p"/>
                          <m:scr m:val="monospace"/>
                        </m:rPr>
                        <m:t>_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Over fuels</w:t>
      </w:r>
      <w:r>
        <w:t xml:space="preserve"> </w:t>
      </w:r>
      <m:oMath>
        <m:r>
          <m:t>f</m:t>
        </m:r>
      </m:oMath>
      <w:r>
        <w:t xml:space="preserve">, categories</w:t>
      </w:r>
      <w:r>
        <w:t xml:space="preserve"> </w:t>
      </w:r>
      <m:oMath>
        <m:r>
          <m:t>g</m:t>
        </m:r>
      </m:oMath>
      <w:r>
        <w:t xml:space="preserve">. Source: methodology: 05_Distribution, eq-5_3.</w:t>
      </w:r>
    </w:p>
    <w:p>
      <w:pPr>
        <w:pStyle w:val="BodyText"/>
      </w:pPr>
      <w:r>
        <w:rPr>
          <w:bCs/>
          <w:b/>
        </w:rPr>
        <w:t xml:space="preserve">D1.3 Price change by fuel from mitigation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num>
            <m:den>
              <m:sSubSup>
                <m:e>
                  <m:r>
                    <m:rPr>
                      <m:sty m:val="p"/>
                      <m:scr m:val="monospace"/>
                    </m:rPr>
                    <m:t>a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B</m:t>
                  </m:r>
                </m:sup>
              </m:sSub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h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u</m:t>
              </m:r>
              <m:r>
                <m:rPr>
                  <m:sty m:val="p"/>
                  <m:scr m:val="monospace"/>
                </m:rPr>
                <m:t>g</m:t>
              </m:r>
              <m:r>
                <m:rPr>
                  <m:sty m:val="p"/>
                  <m:scr m:val="monospace"/>
                </m:rPr>
                <m:t>h</m:t>
              </m:r>
            </m:e>
            <m:sub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Over fuel-sector pairs (residential prices for direct effects; producer and electricity prices for indirect effects).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pass-through (</w:t>
      </w:r>
      <m:oMath>
        <m:r>
          <m:rPr>
            <m:sty m:val="p"/>
          </m:rPr>
          <m:t>≤</m:t>
        </m:r>
        <m:r>
          <m:t>1</m:t>
        </m:r>
      </m:oMath>
      <w:r>
        <w:t xml:space="preserve">) where the option is on. Source: methodology: 05_Distribution, sec 5.3.1, eq-5_8.</w:t>
      </w:r>
    </w:p>
    <w:p>
      <w:pPr>
        <w:pStyle w:val="BodyText"/>
      </w:pPr>
      <w:r>
        <w:rPr>
          <w:bCs/>
          <w:b/>
        </w:rPr>
        <w:t xml:space="preserve">D1.4 Additional expenditure (direct and indirect effect)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​</m:t>
              </m:r>
            </m:sup>
            <m:e>
              <m:sSubSup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i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e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monospace"/>
                </m:rPr>
                <m:t>b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h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Over households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(deciles</w:t>
      </w:r>
      <w:r>
        <w:t xml:space="preserve"> </w:t>
      </w:r>
      <m:oMath>
        <m:r>
          <m:t>d</m:t>
        </m:r>
      </m:oMath>
      <w:r>
        <w:t xml:space="preserve">). As a share of consumption; the direct effect is the part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 fuel category, the indirect the rest. Source: methodology: 05_Distribution, eq-5_2.</w:t>
      </w:r>
    </w:p>
    <w:p>
      <w:pPr>
        <w:pStyle w:val="BodyText"/>
      </w:pPr>
      <w:r>
        <w:rPr>
          <w:bCs/>
          <w:b/>
        </w:rPr>
        <w:t xml:space="preserve">D1.5 Revenue recycling, targeted transfer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y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monospace"/>
                    </m:rPr>
                    <m:t>r</m:t>
                  </m:r>
                  <m:r>
                    <m:rPr>
                      <m:sty m:val="p"/>
                      <m:scr m:val="monospace"/>
                    </m:rPr>
                    <m:t>n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w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t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r</m:t>
              </m:r>
            </m:num>
            <m:den>
              <m:sSubSup>
                <m:e>
                  <m:r>
                    <m:rPr>
                      <m:sty m:val="p"/>
                      <m:scr m:val="monospace"/>
                    </m:rPr>
                    <m:t>p</m:t>
                  </m:r>
                  <m:r>
                    <m:rPr>
                      <m:sty m:val="p"/>
                      <m:scr m:val="monospace"/>
                    </m:rPr>
                    <m:t>o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y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v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Over deciles</w:t>
      </w:r>
      <w:r>
        <w:t xml:space="preserve"> </w:t>
      </w:r>
      <m:oMath>
        <m:r>
          <m:t>d</m:t>
        </m:r>
      </m:oMath>
      <w:r>
        <w:t xml:space="preserve">; other recycling options (PIT, existing schemes, infrastructure) in appendix B. Source: methodology: 05_Distribution, eq-5_9 to eq-5_12.</w:t>
      </w:r>
    </w:p>
    <w:p>
      <w:pPr>
        <w:pStyle w:val="BodyText"/>
      </w:pPr>
      <w:r>
        <w:rPr>
          <w:bCs/>
          <w:b/>
        </w:rPr>
        <w:t xml:space="preserve">D1.6 Net effect by decile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r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n</m:t>
              </m:r>
              <m:r>
                <m:rPr>
                  <m:sty m:val="p"/>
                  <m:scr m:val="monospace"/>
                </m:rPr>
                <m:t>s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f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o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Over deciles</w:t>
      </w:r>
      <w:r>
        <w:t xml:space="preserve"> </w:t>
      </w:r>
      <m:oMath>
        <m:r>
          <m:t>d</m:t>
        </m:r>
      </m:oMath>
      <w:r>
        <w:t xml:space="preserve">. Consumption effects are Laspeyres (upper-bound) estimates unless the behavioural option (eq-5_7) is on. Source: methodology: 05_Distribution, sec 5.4.</w:t>
      </w:r>
    </w:p>
    <w:bookmarkEnd w:id="29"/>
    <w:bookmarkEnd w:id="30"/>
    <w:bookmarkStart w:id="39" w:name="appendix-a-mitigation-adjustments"/>
    <w:p>
      <w:pPr>
        <w:pStyle w:val="Heading1"/>
      </w:pPr>
      <w:r>
        <w:t xml:space="preserve">Appendix A: mitigation adjustments</w:t>
      </w:r>
    </w:p>
    <w:p>
      <w:pPr>
        <w:pStyle w:val="FirstParagraph"/>
      </w:pPr>
      <w:r>
        <w:t xml:space="preserve">Started; completed block by block before each block is coded (coded/TODO.md phase 0). Sources for each block:</w:t>
      </w:r>
      <w:r>
        <w:t xml:space="preserve"> </w:t>
      </w:r>
      <w:r>
        <w:rPr>
          <w:rStyle w:val="VerbatimChar"/>
        </w:rPr>
        <w:t xml:space="preserve">excel_ai/mitigation/Equations.md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Equations_addendum.md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Formulas.md</w:t>
      </w:r>
      <w:r>
        <w:t xml:space="preserve"> </w:t>
      </w:r>
      <w:r>
        <w:t xml:space="preserve">(the workbook formulas), and the Methods chapters in</w:t>
      </w:r>
      <w:r>
        <w:t xml:space="preserve"> </w:t>
      </w:r>
      <w:r>
        <w:rPr>
          <w:rStyle w:val="VerbatimChar"/>
        </w:rPr>
        <w:t xml:space="preserve">excel_ai/mitigation/docs/methods/</w:t>
      </w:r>
      <w:r>
        <w:t xml:space="preserve">.</w:t>
      </w:r>
    </w:p>
    <w:bookmarkStart w:id="31" w:name="a1-policies"/>
    <w:p>
      <w:pPr>
        <w:pStyle w:val="Heading2"/>
      </w:pPr>
      <w:r>
        <w:t xml:space="preserve">A1 Policies</w:t>
      </w:r>
    </w:p>
    <w:p>
      <w:pPr>
        <w:pStyle w:val="FirstParagraph"/>
      </w:pPr>
      <w:r>
        <w:t xml:space="preserve">To complete: ETS (coverage, benchmarks, cap, semi-elasticity, fast price estimate, override, volatility adjustment: E4-E13); fuel-price reform path (E2); feebates (E3); existing carbon pricing growth (E17); methane fee (E18); exemptions (E18a); subsidy and price-control phase-outs; Pigouvian components (R3).</w:t>
      </w:r>
    </w:p>
    <w:p>
      <w:pPr>
        <w:pStyle w:val="BodyText"/>
      </w:pPr>
      <w:r>
        <w:rPr>
          <w:bCs/>
          <w:b/>
        </w:rPr>
        <w:t xml:space="preserve">A1.1 ETS fast price estimate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  <m:r>
                        <m:rPr>
                          <m:sty m:val="p"/>
                          <m:scr m:val="monospace"/>
                        </m:rPr>
                        <m:t>.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a</m:t>
                      </m:r>
                      <m:r>
                        <m:rPr>
                          <m:sty m:val="p"/>
                          <m:scr m:val="monospace"/>
                        </m:rP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rPr>
                          <m:sty m:val="p"/>
                          <m:scr m:val="monospace"/>
                        </m:rPr>
                        <m:t>e</m:t>
                      </m:r>
                      <m:r>
                        <m:rPr>
                          <m:sty m:val="p"/>
                          <m:scr m:val="monospace"/>
                        </m:rPr>
                        <m:t>t</m:t>
                      </m:r>
                      <m:r>
                        <m:rPr>
                          <m:sty m:val="p"/>
                          <m:scr m:val="monospace"/>
                        </m:rPr>
                        <m:t>s</m:t>
                      </m:r>
                      <m:r>
                        <m:rPr>
                          <m:sty m:val="p"/>
                          <m:scr m:val="monospace"/>
                        </m:rPr>
                        <m:t>.</m:t>
                      </m:r>
                      <m:r>
                        <m:rPr>
                          <m:sty m:val="p"/>
                          <m:scr m:val="monospace"/>
                        </m:rPr>
                        <m:t>b</m:t>
                      </m:r>
                      <m:r>
                        <m:rPr>
                          <m:sty m:val="p"/>
                          <m:scr m:val="monospace"/>
                        </m:rPr>
                        <m:t>c</m:t>
                      </m:r>
                      <m:r>
                        <m:rPr>
                          <m:sty m:val="p"/>
                          <m:scr m:val="monospace"/>
                        </m:rP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s</m:t>
              </m:r>
              <m:r>
                <m:rPr>
                  <m:sty m:val="p"/>
                  <m:scr m:val="monospace"/>
                </m:rPr>
                <m:t>.</m:t>
              </m:r>
              <m:r>
                <m:rPr>
                  <m:sty m:val="p"/>
                  <m:scr m:val="monospace"/>
                </m:rPr>
                <m:t>v</m:t>
              </m:r>
              <m:r>
                <m:rPr>
                  <m:sty m:val="p"/>
                  <m:scr m:val="monospace"/>
                </m:rPr>
                <m:t>a</m:t>
              </m:r>
              <m:r>
                <m:rPr>
                  <m:sty m:val="p"/>
                  <m:scr m:val="monospace"/>
                </m:rPr>
                <m:t>d</m:t>
              </m:r>
              <m:r>
                <m:rPr>
                  <m:sty m:val="p"/>
                  <m:scr m:val="monospace"/>
                </m:rPr>
                <m:t>j</m:t>
              </m:r>
            </m:den>
          </m:f>
        </m:oMath>
      </m:oMathPara>
    </w:p>
    <w:p>
      <w:pPr>
        <w:pStyle w:val="FirstParagraph"/>
      </w:pPr>
      <w:r>
        <w:t xml:space="preserve">Excel-AI notation.</w:t>
      </w:r>
      <w:r>
        <w:t xml:space="preserve"> </w:t>
      </w:r>
      <m:oMath>
        <m:r>
          <m:t>b</m:t>
        </m:r>
        <m:r>
          <m:t>c</m:t>
        </m:r>
        <m:r>
          <m:t>e</m:t>
        </m:r>
      </m:oMath>
      <w:r>
        <w:t xml:space="preserve"> </w:t>
      </w:r>
      <w:r>
        <w:t xml:space="preserve">is baseline CO2 covered, from the baseline pass (spec D15). Source: Excel-AI: E7-E11.</w:t>
      </w:r>
    </w:p>
    <w:bookmarkEnd w:id="31"/>
    <w:bookmarkStart w:id="32" w:name="a2-prices"/>
    <w:p>
      <w:pPr>
        <w:pStyle w:val="Heading2"/>
      </w:pPr>
      <w:r>
        <w:t xml:space="preserve">A2 Prices</w:t>
      </w:r>
    </w:p>
    <w:p>
      <w:pPr>
        <w:pStyle w:val="FirstParagraph"/>
      </w:pPr>
      <w:r>
        <w:t xml:space="preserve">To complete: last historical year and price data; excise floor (E22); split of taxes and subsidies by sign (E23); producer subsidy (R7); existing carbon pricing level and change (E30); VAT on oil products by household share; other oil products (L13).</w:t>
      </w:r>
    </w:p>
    <w:p>
      <w:pPr>
        <w:pStyle w:val="BodyText"/>
      </w:pPr>
      <w:r>
        <w:rPr>
          <w:bCs/>
          <w:b/>
        </w:rPr>
        <w:t xml:space="preserve">A2.1 Excise floor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o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nor/>
              <m:sty m:val="p"/>
            </m:rPr>
            <m:t> if </m:t>
          </m:r>
          <m:sSub>
            <m:e>
              <m:r>
                <m:rPr>
                  <m:sty m:val="p"/>
                  <m:scr m:val="monospace"/>
                </m:rPr>
                <m:t>t</m:t>
              </m:r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o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t</m:t>
            </m:r>
            <m:r>
              <m:t>x</m:t>
            </m:r>
            <m:r>
              <m:t>o</m:t>
            </m:r>
          </m:e>
        </m:acc>
      </m:oMath>
      <w:r>
        <w:t xml:space="preserve"> </w:t>
      </w:r>
      <w:r>
        <w:t xml:space="preserve">is the floating value of M2.2;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last historical price year. Source: Excel-AI: E22.</w:t>
      </w:r>
    </w:p>
    <w:p>
      <w:pPr>
        <w:pStyle w:val="BodyText"/>
      </w:pPr>
      <w:r>
        <w:rPr>
          <w:bCs/>
          <w:b/>
        </w:rPr>
        <w:t xml:space="preserve">A2.2 Change in existing carbon pricing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c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  <m:scr m:val="monospace"/>
                    </m:rPr>
                    <m:t>x</m:t>
                  </m:r>
                  <m:r>
                    <m:rPr>
                      <m:sty m:val="p"/>
                      <m:scr m:val="monospace"/>
                    </m:rPr>
                    <m:t>e</m:t>
                  </m:r>
                  <m:r>
                    <m:rPr>
                      <m:sty m:val="p"/>
                      <m:scr m:val="monospace"/>
                    </m:rPr>
                    <m:t>t</m:t>
                  </m:r>
                  <m:r>
                    <m:rPr>
                      <m:sty m:val="p"/>
                      <m:scr m:val="monospace"/>
                    </m:rPr>
                    <m:t>s</m:t>
                  </m:r>
                  <m:r>
                    <m:rPr>
                      <m:sty m:val="p"/>
                      <m:scr m:val="monospace"/>
                    </m:rPr>
                    <m:t>.</m:t>
                  </m:r>
                  <m:r>
                    <m:rPr>
                      <m:sty m:val="p"/>
                      <m:scr m:val="monospace"/>
                    </m:rP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d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monospace"/>
                </m:rPr>
                <m:t>e</m:t>
              </m:r>
              <m:r>
                <m:rPr>
                  <m:sty m:val="p"/>
                  <m:scr m:val="monospace"/>
                </m:rP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Sup>
            <m:e>
              <m:r>
                <m:rPr>
                  <m:sty m:val="p"/>
                  <m:scr m:val="monospace"/>
                </m:rPr>
                <m:t>X</m:t>
              </m:r>
              <m:r>
                <m:rPr>
                  <m:sty m:val="p"/>
                  <m:scr m:val="monospace"/>
                </m:rPr>
                <m:t>C</m:t>
              </m:r>
              <m:r>
                <m:rPr>
                  <m:sty m:val="p"/>
                  <m:scr m:val="monospace"/>
                </m:rPr>
                <m:t>P</m:t>
              </m:r>
              <m:r>
                <m:rPr>
                  <m:sty m:val="p"/>
                  <m:scr m:val="monospace"/>
                </m:rPr>
                <m:t>0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the last data year;</w:t>
      </w:r>
      <w:r>
        <w:t xml:space="preserve"> </w:t>
      </w:r>
      <m:oMath>
        <m:r>
          <m:t>X</m:t>
        </m:r>
        <m:r>
          <m:t>C</m:t>
        </m:r>
        <m:sSup>
          <m:e>
            <m:r>
              <m:t>P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the existing carbon pricing already in the price data. Source: methodology: 03_Mitigation, Appendix C (existing carbon price); Excel-AI: E17, E30.</w:t>
      </w:r>
    </w:p>
    <w:bookmarkEnd w:id="32"/>
    <w:bookmarkStart w:id="33" w:name="a3-fuel-use"/>
    <w:p>
      <w:pPr>
        <w:pStyle w:val="Heading2"/>
      </w:pPr>
      <w:r>
        <w:t xml:space="preserve">A3 Fuel use</w:t>
      </w:r>
    </w:p>
    <w:p>
      <w:pPr>
        <w:pStyle w:val="FirstParagraph"/>
      </w:pPr>
      <w:r>
        <w:t xml:space="preserve">To complete: residential leakage to biomass (E69a-e; methodology: substitution share</w:t>
      </w:r>
      <w:r>
        <w:t xml:space="preserve"> </w:t>
      </w:r>
      <m:oMath>
        <m:sSub>
          <m:e>
            <m:r>
              <m:t>ϵ</m:t>
            </m:r>
          </m:e>
          <m:sub>
            <m:r>
              <m:t>b</m:t>
            </m:r>
            <m:r>
              <m:t>i</m:t>
            </m:r>
            <m:r>
              <m:t>o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t> </m:t>
        </m:r>
        <m:r>
          <m:t>E</m:t>
        </m:r>
        <m:r>
          <m:t>f</m:t>
        </m:r>
        <m:sSub>
          <m:e>
            <m:r>
              <m:t>f</m:t>
            </m:r>
          </m:e>
          <m:sub>
            <m:r>
              <m:t>b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/</m:t>
        </m:r>
        <m:r>
          <m:t>E</m:t>
        </m:r>
        <m:r>
          <m:t>f</m:t>
        </m:r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); initially exempt use (R6); biofuels in road, aviation and navigation (R10); self-generated renewables; income elasticity adjustment; residential biomass income elasticity (BiomassNormal).</w:t>
      </w:r>
    </w:p>
    <w:bookmarkEnd w:id="33"/>
    <w:bookmarkStart w:id="34" w:name="a4-power"/>
    <w:p>
      <w:pPr>
        <w:pStyle w:val="Heading2"/>
      </w:pPr>
      <w:r>
        <w:t xml:space="preserve">A4 Power</w:t>
      </w:r>
    </w:p>
    <w:p>
      <w:pPr>
        <w:pStyle w:val="FirstParagraph"/>
      </w:pPr>
      <w:r>
        <w:t xml:space="preserve">To complete: capacity factors and overrides; vintages of capital cost and storage (E34-E36); VRE share and storage (methodology: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, long-term storage above 75%); early coal retirement (E62); investment need (E63,</w:t>
      </w:r>
      <w:r>
        <w:t xml:space="preserve"> </w:t>
      </w:r>
      <m:oMath>
        <m:r>
          <m:t>R</m:t>
        </m:r>
        <m:r>
          <m:t>e</m:t>
        </m:r>
        <m:sSubSup>
          <m:e>
            <m:r>
              <m:t>q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R</m:t>
        </m:r>
        <m:r>
          <m:t>e</m:t>
        </m:r>
        <m:sSub>
          <m:e>
            <m:r>
              <m:t>q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); second-round investment; manual capacity; PPAs; supply cost lag (E48); subsidy gap; renewable subsidies and rebates.</w:t>
      </w:r>
    </w:p>
    <w:bookmarkEnd w:id="34"/>
    <w:bookmarkStart w:id="35" w:name="a5-road-transport"/>
    <w:p>
      <w:pPr>
        <w:pStyle w:val="Heading2"/>
      </w:pPr>
      <w:r>
        <w:t xml:space="preserve">A5 Road transport</w:t>
      </w:r>
    </w:p>
    <w:p>
      <w:pPr>
        <w:pStyle w:val="FirstParagraph"/>
      </w:pPr>
      <w:r>
        <w:t xml:space="preserve">To complete from Methods Transport (T1-T18): retirement, purchases new and used, total cost of ownership, ICE fuel split, new and stock fuel economy, vehicle-km, calibration, buses, range anxiety (fitted offline), biofuels.</w:t>
      </w:r>
    </w:p>
    <w:bookmarkEnd w:id="35"/>
    <w:bookmarkStart w:id="36" w:name="a6-revenues"/>
    <w:p>
      <w:pPr>
        <w:pStyle w:val="Heading2"/>
      </w:pPr>
      <w:r>
        <w:t xml:space="preserve">A6 Revenues</w:t>
      </w:r>
    </w:p>
    <w:p>
      <w:pPr>
        <w:pStyle w:val="FirstParagraph"/>
      </w:pPr>
      <w:r>
        <w:t xml:space="preserve">To complete: power-sector revenues (E75: fuel taxes of generation, excise, VAT on electricity, subsidy gap, renewable subsidies, rebates); subsidy reform revenue; producer subsidies; price-control losses (memo).</w:t>
      </w:r>
    </w:p>
    <w:bookmarkEnd w:id="36"/>
    <w:bookmarkStart w:id="37" w:name="a7-emissions"/>
    <w:p>
      <w:pPr>
        <w:pStyle w:val="Heading2"/>
      </w:pPr>
      <w:r>
        <w:t xml:space="preserve">A7 Emissions</w:t>
      </w:r>
    </w:p>
    <w:p>
      <w:pPr>
        <w:pStyle w:val="FirstParagraph"/>
      </w:pPr>
      <w:r>
        <w:t xml:space="preserve">To complete: CO2 calibration factor (E77, off by default; baseline pass, spec D15); ETS check (E79); combustion CH4; methane from fuel production with abatement (</w:t>
      </w:r>
      <m:oMath>
        <m:r>
          <m:t>r</m:t>
        </m:r>
        <m:r>
          <m:t>e</m:t>
        </m:r>
        <m:r>
          <m:t>d</m:t>
        </m:r>
        <m:r>
          <m:rPr>
            <m:sty m:val="p"/>
          </m:rPr>
          <m:t>=</m:t>
        </m:r>
        <m:r>
          <m:t>A</m:t>
        </m:r>
        <m:r>
          <m:t> </m:t>
        </m:r>
        <m:r>
          <m:t>m</m:t>
        </m:r>
        <m:sSup>
          <m:e>
            <m:r>
              <m:t>f</m:t>
            </m:r>
          </m:e>
          <m:sup>
            <m:r>
              <m:t>B</m:t>
            </m:r>
          </m:sup>
        </m:sSup>
      </m:oMath>
      <w:r>
        <w:t xml:space="preserve">); energy-CH4 calibration; N2O scaled to CO2; IPPU, agriculture, LULUCF, waste and other (methodology Emissions); local air pollutants by sector (section 15, E87-E90).</w:t>
      </w:r>
    </w:p>
    <w:bookmarkEnd w:id="37"/>
    <w:bookmarkStart w:id="38" w:name="a8-gdp-and-results"/>
    <w:p>
      <w:pPr>
        <w:pStyle w:val="Heading2"/>
      </w:pPr>
      <w:r>
        <w:t xml:space="preserve">A8 GDP and results</w:t>
      </w:r>
    </w:p>
    <w:p>
      <w:pPr>
        <w:pStyle w:val="FirstParagraph"/>
      </w:pPr>
      <w:r>
        <w:t xml:space="preserve">To complete: current account (R11); carbon-pricing indicators (section 17); welfare, externalities, subsidies and efficient prices (section 18; methodology: efficiency cost</w:t>
      </w:r>
      <w:r>
        <w:t xml:space="preserve"> </w:t>
      </w:r>
      <m:oMath>
        <m:r>
          <m:t>d</m:t>
        </m:r>
        <m:r>
          <m:t>d</m:t>
        </m:r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  <m:r>
              <m:t>c</m:t>
            </m:r>
            <m:r>
              <m:t>p</m:t>
            </m:r>
          </m:e>
        </m:d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).</w:t>
      </w:r>
    </w:p>
    <w:bookmarkEnd w:id="38"/>
    <w:bookmarkEnd w:id="39"/>
    <w:bookmarkStart w:id="40" w:name="appendix-b-distribution-adjustments"/>
    <w:p>
      <w:pPr>
        <w:pStyle w:val="Heading1"/>
      </w:pPr>
      <w:r>
        <w:t xml:space="preserve">Appendix B: distribution adjustments</w:t>
      </w:r>
    </w:p>
    <w:p>
      <w:pPr>
        <w:pStyle w:val="FirstParagraph"/>
      </w:pPr>
      <w:r>
        <w:t xml:space="preserve">To complete from</w:t>
      </w:r>
      <w:r>
        <w:t xml:space="preserve"> </w:t>
      </w:r>
      <w:r>
        <w:rPr>
          <w:rStyle w:val="VerbatimChar"/>
        </w:rPr>
        <w:t xml:space="preserve">excel_ai/mitigation/docs/methods/Distribution.md</w:t>
      </w:r>
      <w:r>
        <w:t xml:space="preserve"> </w:t>
      </w:r>
      <w:r>
        <w:t xml:space="preserve">and methodology chapter 5: scaling to national accounts (eq-5_4, eq-5_5); mitigation-adjusted incidence (eq-5_6); behavioural response (eq-5_7); targeting by infrastructure access (eq-5_13); scale-up of existing schemes (eq-5_14); PIT options (targeted exemption, personal allowance, proportional compensation); cooking-fuel exemption.</w:t>
      </w:r>
    </w:p>
    <w:bookmarkEnd w:id="40"/>
    <w:bookmarkStart w:id="41" w:name="appendix-symbols-and-codes"/>
    <w:p>
      <w:pPr>
        <w:pStyle w:val="Heading1"/>
      </w:pPr>
      <w:r>
        <w:t xml:space="preserve">Appendix: symbols and codes</w:t>
      </w:r>
    </w:p>
    <w:p>
      <w:pPr>
        <w:pStyle w:val="FirstParagraph"/>
      </w:pPr>
      <w:r>
        <w:t xml:space="preserve">Main symbols, their CPAT code, meaning and unit.</w:t>
      </w:r>
      <w:r>
        <w:t xml:space="preserve"> </w:t>
      </w:r>
      <w:r>
        <w:t xml:space="preserve">“</w:t>
      </w:r>
      <w:r>
        <w:t xml:space="preserve">Notation from</w:t>
      </w:r>
      <w:r>
        <w:t xml:space="preserve">”</w:t>
      </w:r>
      <w:r>
        <w:t xml:space="preserve"> </w:t>
      </w:r>
      <w:r>
        <w:t xml:space="preserve">says whether the symbol is the methodology’s (M) or Excel-AI’s (X). A code marked † is not yet confirmed in the codes map: to be checked and, where the codes map has no code, proposed for it (root NORMS section 3, codes protocol C11).</w:t>
      </w:r>
    </w:p>
    <w:p>
      <w:pPr>
        <w:pStyle w:val="BodyText"/>
      </w:pPr>
      <w:r>
        <w:rPr>
          <w:bCs/>
          <w:b/>
        </w:rPr>
        <w:t xml:space="preserve">Notation clashes to keep in mind.</w:t>
      </w:r>
      <w:r>
        <w:t xml:space="preserve"> </w:t>
      </w:r>
      <w:r>
        <w:t xml:space="preserve">In the methodology,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sector group in mitigation, generation in the power chapter and the consumption category in distribution;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both electricity and the energy UNFCCC sector;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generation share in power and the pass-through in distribution. This list uses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sector groups (and categories in distribution only),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required generation in M4.2 alone, and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only in distribution.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 from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use (elasticity form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e</m:t>
                  </m:r>
                </m:sup>
              </m:sSup>
            </m:oMath>
            <w:r>
              <w:t xml:space="preserve">: enel)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gdp.pos.usd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GDP (baseline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bn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After-tax (retail)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price before new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i</m:t>
              </m:r>
              <m:r>
                <m:t>x</m:t>
              </m:r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part of the supply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gp, gpi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x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txo (txf floating; etx, esub by 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Excise and other taxes, net of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c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rp.ctrl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Pass-through of international price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t>a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vat, vatr†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payment, VAT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USD/GJ,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C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cptraj, 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carbon tax per tonne (national, by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E</m:t>
              </m:r>
              <m:r>
                <m:t>T</m:t>
              </m:r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ets.p, 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ETS price per 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t</m:t>
              </m:r>
              <m:r>
                <m:t>s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ctxnew, ets, ntx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carbon tax, ETS cost, excise per unit of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t>c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x</m:t>
              </m:r>
              <m:r>
                <m:t>c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xcp, xcpd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carbon pricing; its change against the price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 emission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tCO2/GJ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N</m:t>
                  </m:r>
                  <m:r>
                    <m:t>C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of the new carbon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,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etsc, obr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ETS coverage; share allocated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shpx, shp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price per tonne; per unit of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USD/tCO2, 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eff_imp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energy efficiency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addeff†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policy-induced efficiency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shock (methodology: Covid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el_inc, el_dem, el_eff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Income, usage and efficiency elasticities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t>n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Income-elasticity adjustment for the income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demand by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c</m:t>
              </m:r>
              <m:r>
                <m:rPr>
                  <m:sty m:val="p"/>
                </m:rPr>
                <m:t>,</m:t>
              </m:r>
              <m:bar>
                <m:barPr>
                  <m:pos m:val="top"/>
                </m:barPr>
                <m:e>
                  <m:r>
                    <m:t>v</m:t>
                  </m:r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tvc, lvc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cost; levelised variable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i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sSup>
                <m:e>
                  <m:r>
                    <m:t>x</m:t>
                  </m:r>
                </m:e>
                <m:sup>
                  <m:r>
                    <m:t>f</m:t>
                  </m:r>
                  <m:r>
                    <m:t>l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tic, lfx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Levelised total investment cost; levelised fixed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a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cap, ret, 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Capacity, retirement,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n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  <m:r>
                    <m:t>v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shr, gncav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share; average generation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share, 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rp,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End-user electricity price; supply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e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x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rnew, rtx, rsub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Revenue: new policies, existing taxes, existing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co2, ghg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MtCO2(e)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m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fis.sp, fis.imp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space, impulse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ε</m:t>
                  </m:r>
                </m:e>
                <m:sup>
                  <m:r>
                    <m:t>G</m:t>
                  </m:r>
                  <m:r>
                    <m:t>D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l</m:t>
              </m:r>
              <m:r>
                <m:t>v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gdp.eff, gdp.lvl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effect; GDP level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share,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π</m:t>
                  </m:r>
                </m:e>
                <m:sup>
                  <m:r>
                    <m:t>d</m:t>
                  </m:r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share of category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decile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change of fuel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in sector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f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eint†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intensity (input-output)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d</m:t>
                  </m:r>
                </m:sub>
                <m:sup>
                  <m:r>
                    <m:t>y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trf†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per person; average by 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list: CPAT code names</dc:title>
  <dc:creator/>
  <cp:keywords/>
  <dcterms:created xsi:type="dcterms:W3CDTF">2026-10-29T09:22:59Z</dcterms:created>
  <dcterms:modified xsi:type="dcterms:W3CDTF">2026-10-29T09:22:59Z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  <property fmtid="{D5CDD505-2E9C-101B-9397-08002B2CF9AE}" pid="3" name="subtitle">
    <vt:lpwstr>Coded CPAT: the equations of the mitigation and distribution modules</vt:lpwstr>
  </property>
</Properties>
</file>