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v1.0.2</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excel_ai/Tracking_Legacy_Bugs_v1.0.2.xlsx</w:t>
      </w:r>
      <w:r>
        <w:t xml:space="preserve"> </w:t>
      </w:r>
      <w:r>
        <w:t xml:space="preserve">(tabs Bugs and Issues, every module in the same columns); the bugs are documented in</w:t>
      </w:r>
      <w:r>
        <w:t xml:space="preserve"> </w:t>
      </w:r>
      <w:r>
        <w:rPr>
          <w:rStyle w:val="VerbatimChar"/>
        </w:rPr>
        <w:t xml:space="preserve">excel_ai/Legacy_CPAT_Bugs_v1.0.2.docx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228</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14</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CBAM process emissions (U15) is an upgrade, not built; replicate if it is ever built (Replicated; link to revenue, GHG and ETS totals by decision D-R4.)</w:t>
      </w:r>
      <w:r>
        <w:t xml:space="preserve"> </w:t>
      </w:r>
      <w:r>
        <w:rPr>
          <w:iCs/>
          <w:i/>
        </w:rPr>
        <w:t xml:space="preserve">Status:</w:t>
      </w:r>
      <w:r>
        <w:t xml:space="preserve"> </w:t>
      </w:r>
      <w:r>
        <w:t xml:space="preserve">Dropped.</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R5.10).)</w:t>
      </w:r>
      <w:r>
        <w:t xml:space="preserve"> </w:t>
      </w:r>
      <w:r>
        <w:rPr>
          <w:iCs/>
          <w:i/>
        </w:rPr>
        <w:t xml:space="preserve">Status:</w:t>
      </w:r>
      <w:r>
        <w:t xml:space="preserve"> </w:t>
      </w:r>
      <w:r>
        <w:t xml:space="preserve">Dropped.</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2041 blank (Equations_addendum R5).)</w:t>
      </w:r>
      <w:r>
        <w:t xml:space="preserve"> </w:t>
      </w:r>
      <w:r>
        <w:rPr>
          <w:iCs/>
          <w:i/>
        </w:rPr>
        <w:t xml:space="preserve">Status:</w:t>
      </w:r>
      <w:r>
        <w:t xml:space="preserve"> </w:t>
      </w:r>
      <w:r>
        <w:t xml:space="preserve">Dropped.</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constants on Settings labelled legacy hard-coded.)</w:t>
      </w:r>
      <w:r>
        <w:t xml:space="preserve"> </w:t>
      </w:r>
      <w:r>
        <w:rPr>
          <w:iCs/>
          <w:i/>
        </w:rPr>
        <w:t xml:space="preserve">Status:</w:t>
      </w:r>
      <w:r>
        <w:t xml:space="preserve"> </w:t>
      </w:r>
      <w:r>
        <w:t xml:space="preserve">Dropped.</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(#N/A outside the CCDR list); IFERROR would be a departure.)</w:t>
      </w:r>
      <w:r>
        <w:t xml:space="preserve"> </w:t>
      </w:r>
      <w:r>
        <w:rPr>
          <w:iCs/>
          <w:i/>
        </w:rPr>
        <w:t xml:space="preserve">Status:</w:t>
      </w:r>
      <w:r>
        <w:t xml:space="preserve"> </w:t>
      </w:r>
      <w:r>
        <w:t xml:space="preserve">Dropped.</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R5.18).)</w:t>
      </w:r>
      <w:r>
        <w:t xml:space="preserve"> </w:t>
      </w:r>
      <w:r>
        <w:rPr>
          <w:iCs/>
          <w:i/>
        </w:rPr>
        <w:t xml:space="preserve">Status:</w:t>
      </w:r>
      <w:r>
        <w:t xml:space="preserve"> </w:t>
      </w:r>
      <w:r>
        <w:t xml:space="preserve">Dropped.</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R12.7).)</w:t>
      </w:r>
      <w:r>
        <w:t xml:space="preserve"> </w:t>
      </w:r>
      <w:r>
        <w:rPr>
          <w:iCs/>
          <w:i/>
        </w:rPr>
        <w:t xml:space="preserve">Status:</w:t>
      </w:r>
      <w:r>
        <w:t xml:space="preserve"> </w:t>
      </w:r>
      <w:r>
        <w:t xml:space="preserve">Dropped.</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 Equations_addendum R12.1).)</w:t>
      </w:r>
      <w:r>
        <w:t xml:space="preserve"> </w:t>
      </w:r>
      <w:r>
        <w:rPr>
          <w:iCs/>
          <w:i/>
        </w:rPr>
        <w:t xml:space="preserve">Status:</w:t>
      </w:r>
      <w:r>
        <w:t xml:space="preserve"> </w:t>
      </w:r>
      <w:r>
        <w:t xml:space="preserve">Dropped.</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R12.9).)</w:t>
      </w:r>
      <w:r>
        <w:t xml:space="preserve"> </w:t>
      </w:r>
      <w:r>
        <w:rPr>
          <w:iCs/>
          <w:i/>
        </w:rPr>
        <w:t xml:space="preserve">Status:</w:t>
      </w:r>
      <w:r>
        <w:t xml:space="preserve"> </w:t>
      </w:r>
      <w:r>
        <w:t xml:space="preserve">Dropped.</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w:t>
      </w:r>
      <w:r>
        <w:t xml:space="preserve"> </w:t>
      </w:r>
      <w:r>
        <w:rPr>
          <w:iCs/>
          <w:i/>
        </w:rPr>
        <w:t xml:space="preserve">Status:</w:t>
      </w:r>
      <w:r>
        <w:t xml:space="preserve"> </w:t>
      </w:r>
      <w:r>
        <w:t xml:space="preserve">Dropped.</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r>
        <w:tc>
          <w:tcPr/>
          <w:p>
            <w:pPr>
              <w:pStyle w:val="Compact"/>
              <w:jc w:val="left"/>
            </w:pPr>
            <w:r>
              <w:t xml:space="preserve">U15</w:t>
            </w:r>
          </w:p>
        </w:tc>
        <w:tc>
          <w:tcPr/>
          <w:p>
            <w:pPr>
              <w:pStyle w:val="Compact"/>
              <w:jc w:val="left"/>
            </w:pPr>
            <w:r>
              <w:t xml:space="preserve">Low</w:t>
            </w:r>
          </w:p>
        </w:tc>
        <w:tc>
          <w:tcPr/>
          <w:p>
            <w:pPr>
              <w:pStyle w:val="Compact"/>
              <w:jc w:val="left"/>
            </w:pPr>
            <w:r>
              <w:t xml:space="preserve">CBAM process emissions (legacy R4)</w:t>
            </w:r>
          </w:p>
        </w:tc>
        <w:tc>
          <w:tcPr/>
          <w:p>
            <w:pPr>
              <w:pStyle w:val="Compact"/>
              <w:jc w:val="left"/>
            </w:pPr>
            <w:r>
              <w:t xml:space="preserve">Out of scope (user 2026-10-29). Design: section 17b sub-block; switches CBAMProc</w:t>
            </w:r>
            <w:r>
              <w:t xml:space="preserve"> </w:t>
            </w:r>
            <w:r>
              <w:t xml:space="preserve">per scenario (ScenarioDefinition 117-121); production, growth and product prices typed EGY in Constants; EFs and semi-elasticities from Manual inputs H30:K37, E40:E47; fuel price per tCO2 = ctr + etr (section 1), process price = switch x fuel price; memo rows (legacy reads none). Bugs L197-L213, L216-L219 (part), issue I123.</w:t>
            </w:r>
          </w:p>
        </w:tc>
      </w:tr>
      <w:tr>
        <w:tc>
          <w:tcPr/>
          <w:p>
            <w:pPr>
              <w:pStyle w:val="Compact"/>
              <w:jc w:val="left"/>
            </w:pPr>
            <w:r>
              <w:t xml:space="preserve">U16</w:t>
            </w:r>
          </w:p>
        </w:tc>
        <w:tc>
          <w:tcPr/>
          <w:p>
            <w:pPr>
              <w:pStyle w:val="Compact"/>
              <w:jc w:val="left"/>
            </w:pPr>
            <w:r>
              <w:t xml:space="preserve">Low</w:t>
            </w:r>
          </w:p>
        </w:tc>
        <w:tc>
          <w:tcPr/>
          <w:p>
            <w:pPr>
              <w:pStyle w:val="Compact"/>
              <w:jc w:val="left"/>
            </w:pPr>
            <w:r>
              <w:t xml:space="preserve">Green public investment (legacy R5)</w:t>
            </w:r>
          </w:p>
        </w:tc>
        <w:tc>
          <w:tcPr/>
          <w:p>
            <w:pPr>
              <w:pStyle w:val="Compact"/>
              <w:jc w:val="left"/>
            </w:pPr>
            <w:r>
              <w:t xml:space="preserve">Out of scope (user 2026-10-29). Design: section 16c; constants GreenInvStart 2026, GreenShare 0.5, NetZeroStart 2026, NetZeroEnd 2060, PublicInvPart 0.5, GreenNeedYrs 35; CCDR ratio from ETS+LTS A261:A302 / H261:H302; phi = 1-(t-T0+1)/(T1-T0). Issues I124-I128.</w:t>
            </w:r>
          </w:p>
        </w:tc>
      </w:tr>
      <w:tr>
        <w:tc>
          <w:tcPr/>
          <w:p>
            <w:pPr>
              <w:pStyle w:val="Compact"/>
              <w:jc w:val="left"/>
            </w:pPr>
            <w:r>
              <w:t xml:space="preserve">U17</w:t>
            </w:r>
          </w:p>
        </w:tc>
        <w:tc>
          <w:tcPr/>
          <w:p>
            <w:pPr>
              <w:pStyle w:val="Compact"/>
              <w:jc w:val="left"/>
            </w:pPr>
            <w:r>
              <w:t xml:space="preserve">Low</w:t>
            </w:r>
          </w:p>
        </w:tc>
        <w:tc>
          <w:tcPr/>
          <w:p>
            <w:pPr>
              <w:pStyle w:val="Compact"/>
              <w:jc w:val="left"/>
            </w:pPr>
            <w:r>
              <w:t xml:space="preserve">Emissions intensity of industrial output (legacy R12)</w:t>
            </w:r>
          </w:p>
        </w:tc>
        <w:tc>
          <w:tcPr/>
          <w:p>
            <w:pPr>
              <w:pStyle w:val="Compact"/>
              <w:jc w:val="left"/>
            </w:pPr>
            <w:r>
              <w:t xml:space="preserve">Out of scope (user 2026-10-29). Design: block 13b; GVA typed EGY in Constants; manufacturing electricity = demtot x (sh_tsd + sh_eou) (legacy row 10071); variable co2.idr. Issues I131-I134.</w:t>
            </w:r>
          </w:p>
        </w:tc>
      </w:tr>
      <w:tr>
        <w:tc>
          <w:tcPr/>
          <w:p>
            <w:pPr>
              <w:pStyle w:val="Compact"/>
              <w:jc w:val="left"/>
            </w:pPr>
            <w:r>
              <w:t xml:space="preserve">U18</w:t>
            </w:r>
          </w:p>
        </w:tc>
        <w:tc>
          <w:tcPr/>
          <w:p>
            <w:pPr>
              <w:pStyle w:val="Compact"/>
              <w:jc w:val="left"/>
            </w:pPr>
            <w:r>
              <w:t xml:space="preserve">Low</w:t>
            </w:r>
          </w:p>
        </w:tc>
        <w:tc>
          <w:tcPr/>
          <w:p>
            <w:pPr>
              <w:pStyle w:val="Compact"/>
              <w:jc w:val="left"/>
            </w:pPr>
            <w:r>
              <w:t xml:space="preserve">Air pollution module (standalone)</w:t>
            </w:r>
          </w:p>
        </w:tc>
        <w:tc>
          <w:tcPr/>
          <w:p>
            <w:pPr>
              <w:pStyle w:val="Compact"/>
              <w:jc w:val="left"/>
            </w:pPr>
            <w:r>
              <w:t xml:space="preserve">Out of scope (user 2026-10-29). Mitigation keeps the legacy 465 values of tab FromAirPollution (Egypt; other countries 0, I106) for the Pigouvian air-pollution cost and the air-pollution welfare; the scaffold excel_ai/air_pollution/ stays as it is.</w:t>
            </w:r>
          </w:p>
        </w:tc>
      </w:tr>
      <w:tr>
        <w:tc>
          <w:tcPr/>
          <w:p>
            <w:pPr>
              <w:pStyle w:val="Compact"/>
              <w:jc w:val="left"/>
            </w:pPr>
            <w:r>
              <w:t xml:space="preserve">U19</w:t>
            </w:r>
          </w:p>
        </w:tc>
        <w:tc>
          <w:tcPr/>
          <w:p>
            <w:pPr>
              <w:pStyle w:val="Compact"/>
              <w:jc w:val="left"/>
            </w:pPr>
            <w:r>
              <w:t xml:space="preserve">Low</w:t>
            </w:r>
          </w:p>
        </w:tc>
        <w:tc>
          <w:tcPr/>
          <w:p>
            <w:pPr>
              <w:pStyle w:val="Compact"/>
              <w:jc w:val="left"/>
            </w:pPr>
            <w:r>
              <w:t xml:space="preserve">Transport co-benefits module (standalone)</w:t>
            </w:r>
          </w:p>
        </w:tc>
        <w:tc>
          <w:tcPr/>
          <w:p>
            <w:pPr>
              <w:pStyle w:val="Compact"/>
              <w:jc w:val="left"/>
            </w:pPr>
            <w:r>
              <w:t xml:space="preserve">Out of scope (user 2026-10-29). Mitigation keeps the legacy 465 values of tab FromTransportCB (Egypt; other countries 0, I106) for the Pigouvian road-transport cost and the road welfare; section 5b stays as the block the module would read.</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Legacy_CPAT_Bugs_v1.0.2.docx.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v1.0.2</dc:title>
  <dc:creator/>
  <cp:keywords/>
  <dcterms:created xsi:type="dcterms:W3CDTF">2026-10-29T19:50:23Z</dcterms:created>
  <dcterms:modified xsi:type="dcterms:W3CDTF">2026-10-29T19:50:23Z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