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v1.0.0</w:t>
      </w:r>
    </w:p>
    <w:p>
      <w:pPr>
        <w:pStyle w:val="Subtitle"/>
      </w:pPr>
      <w:r>
        <w:t xml:space="preserve">Documentation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household effects by decile (Distribution tab).</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Settings</w:t>
      </w:r>
      <w:r>
        <w:t xml:space="preserve"> </w:t>
      </w:r>
      <w:r>
        <w:t xml:space="preserve">(C4).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at most 100 characters and one formula serves a whole block of cells. An independent Python recomputation checks every number.</w:t>
      </w:r>
    </w:p>
    <w:bookmarkEnd w:id="20"/>
    <w:bookmarkStart w:id="21" w:name="quick-start"/>
    <w:p>
      <w:pPr>
        <w:pStyle w:val="Heading1"/>
      </w:pPr>
      <w:r>
        <w:t xml:space="preserve">2. Quick start</w:t>
      </w:r>
    </w:p>
    <w:p>
      <w:pPr>
        <w:numPr>
          <w:ilvl w:val="0"/>
          <w:numId w:val="1002"/>
        </w:numPr>
        <w:pStyle w:val="Compact"/>
      </w:pPr>
      <w:r>
        <w:rPr>
          <w:bCs/>
          <w:b/>
        </w:rPr>
        <w:t xml:space="preserve">Open</w:t>
      </w:r>
      <w:r>
        <w:t xml:space="preserve"> </w:t>
      </w:r>
      <w:r>
        <w:rPr>
          <w:rStyle w:val="VerbatimChar"/>
        </w:rPr>
        <w:t xml:space="preserve">CPAT-AI-Mitigation-Prototype_v&lt;version&gt;.xlsm</w:t>
      </w:r>
      <w:r>
        <w:t xml:space="preserve"> </w:t>
      </w:r>
      <w:r>
        <w:t xml:space="preserve">(in</w:t>
      </w:r>
      <w:r>
        <w:t xml:space="preserve"> </w:t>
      </w:r>
      <w:r>
        <w:rPr>
          <w:rStyle w:val="VerbatimChar"/>
        </w:rPr>
        <w:t xml:space="preserve">excel_ai/</w:t>
      </w:r>
      <w:r>
        <w:t xml:space="preserve">; the same file as</w:t>
      </w:r>
      <w:r>
        <w:t xml:space="preserve"> </w:t>
      </w:r>
      <w:r>
        <w:rPr>
          <w:rStyle w:val="VerbatimChar"/>
        </w:rPr>
        <w:t xml:space="preserve">excel_ai/permalink/CPAT-AI-Mitigation-Prototype_latest.xlsm</w:t>
      </w:r>
      <w:r>
        <w:t xml:space="preserve">) in Excel 365 with macros enabled. It opens on</w:t>
      </w:r>
      <w:r>
        <w:t xml:space="preserve"> </w:t>
      </w:r>
      <w:r>
        <w:rPr>
          <w:rStyle w:val="VerbatimChar"/>
        </w:rPr>
        <w:t xml:space="preserve">ScenarioCompare</w:t>
      </w:r>
      <w:r>
        <w:t xml:space="preserve">, the dashboard,</w:t>
      </w:r>
      <w:r>
        <w:t xml:space="preserve"> </w:t>
      </w:r>
      <w:r>
        <w:rPr>
          <w:bCs/>
          <w:b/>
        </w:rPr>
        <w:t xml:space="preserve">without recalculating</w:t>
      </w:r>
      <w:r>
        <w:t xml:space="preserve">: the file ships with its values, in manual calculation.</w:t>
      </w:r>
    </w:p>
    <w:p>
      <w:pPr>
        <w:numPr>
          <w:ilvl w:val="0"/>
          <w:numId w:val="1002"/>
        </w:numPr>
        <w:pStyle w:val="Compact"/>
      </w:pPr>
      <w:r>
        <w:rPr>
          <w:bCs/>
          <w:b/>
        </w:rPr>
        <w:t xml:space="preserve">After any change, click Recalculate now</w:t>
      </w:r>
      <w:r>
        <w:t xml:space="preserve"> </w:t>
      </w:r>
      <w:r>
        <w:t xml:space="preserve">(or switch automatic calculation on with Recalculation on/off).</w:t>
      </w:r>
    </w:p>
    <w:p>
      <w:pPr>
        <w:numPr>
          <w:ilvl w:val="0"/>
          <w:numId w:val="1002"/>
        </w:numPr>
        <w:pStyle w:val="Compact"/>
      </w:pPr>
      <w:r>
        <w:rPr>
          <w:bCs/>
          <w:b/>
        </w:rPr>
        <w:t xml:space="preserve">Read the results on ScenarioCompare.</w:t>
      </w:r>
      <w:r>
        <w:t xml:space="preserve"> </w:t>
      </w:r>
      <w:r>
        <w:t xml:space="preserve">Choose Live or Stored results and the year. The key table shows CO₂, GHGs, revenue, the GDP effect and welfare against the baseline; the charts show them over time.</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Column K is the live scenario: for example change</w:t>
      </w:r>
      <w:r>
        <w:t xml:space="preserve"> </w:t>
      </w:r>
      <w:r>
        <w:rPr>
          <w:rStyle w:val="VerbatimChar"/>
        </w:rPr>
        <w:t xml:space="preserve">CPLevelTarget</w:t>
      </w:r>
      <w:r>
        <w:t xml:space="preserve"> </w:t>
      </w:r>
      <w:r>
        <w:t xml:space="preserve">(carbon price in the target year), then Recalculate now.</w:t>
      </w:r>
    </w:p>
    <w:p>
      <w:pPr>
        <w:numPr>
          <w:ilvl w:val="0"/>
          <w:numId w:val="1002"/>
        </w:numPr>
        <w:pStyle w:val="Compact"/>
      </w:pPr>
      <w:r>
        <w:rPr>
          <w:bCs/>
          <w:b/>
        </w:rPr>
        <w:t xml:space="preserve">Store several scenarios:</w:t>
      </w:r>
      <w:r>
        <w:t xml:space="preserve"> </w:t>
      </w:r>
      <w:r>
        <w:t xml:space="preserve">copy a definition one column to the right, give it a short name (row 2) and Run? = Yes (row 4), then click Run stored scenarios. Results go to</w:t>
      </w:r>
      <w:r>
        <w:t xml:space="preserve"> </w:t>
      </w:r>
      <w:r>
        <w:rPr>
          <w:rStyle w:val="VerbatimChar"/>
        </w:rPr>
        <w:t xml:space="preserve">StoredOutputs</w:t>
      </w:r>
      <w:r>
        <w:t xml:space="preserve">; the dashboard compares up to 10.</w:t>
      </w:r>
    </w:p>
    <w:p>
      <w:pPr>
        <w:numPr>
          <w:ilvl w:val="0"/>
          <w:numId w:val="1002"/>
        </w:numPr>
        <w:pStyle w:val="Compact"/>
      </w:pPr>
      <w:r>
        <w:rPr>
          <w:bCs/>
          <w:b/>
        </w:rPr>
        <w:t xml:space="preserve">Update the data</w:t>
      </w:r>
      <w:r>
        <w:t xml:space="preserve"> </w:t>
      </w:r>
      <w:r>
        <w:t xml:space="preserve">from the data workbook: choose the source on</w:t>
      </w:r>
      <w:r>
        <w:t xml:space="preserve"> </w:t>
      </w:r>
      <w:r>
        <w:rPr>
          <w:rStyle w:val="VerbatimChar"/>
        </w:rPr>
        <w:t xml:space="preserve">ScenarioCompare</w:t>
      </w:r>
      <w:r>
        <w:t xml:space="preserve">, click Update data tables. The status is on</w:t>
      </w:r>
      <w:r>
        <w:t xml:space="preserve"> </w:t>
      </w:r>
      <w:r>
        <w:rPr>
          <w:rStyle w:val="VerbatimChar"/>
        </w:rPr>
        <w:t xml:space="preserve">Cover</w:t>
      </w:r>
      <w:r>
        <w:t xml:space="preserve">.</w:t>
      </w:r>
    </w:p>
    <w:p>
      <w:pPr>
        <w:numPr>
          <w:ilvl w:val="0"/>
          <w:numId w:val="1002"/>
        </w:numPr>
        <w:pStyle w:val="Compact"/>
      </w:pPr>
      <w:r>
        <w:rPr>
          <w:bCs/>
          <w:b/>
        </w:rPr>
        <w:t xml:space="preserve">First time only:</w:t>
      </w:r>
      <w:r>
        <w:t xml:space="preserve"> </w:t>
      </w:r>
      <w:r>
        <w:t xml:space="preserve">click First-run test (grey buttons). The check table must show PASS.</w:t>
      </w:r>
    </w:p>
    <w:p>
      <w:pPr>
        <w:pStyle w:val="FirstParagraph"/>
      </w:pPr>
      <w:r>
        <w:t xml:space="preserve">The tabs, left to right: the front (</w:t>
      </w:r>
      <w:r>
        <w:rPr>
          <w:rStyle w:val="VerbatimChar"/>
        </w:rPr>
        <w:t xml:space="preserve">Cover</w:t>
      </w:r>
      <w:r>
        <w:t xml:space="preserve">,</w:t>
      </w:r>
      <w:r>
        <w:t xml:space="preserve"> </w:t>
      </w:r>
      <w:r>
        <w:rPr>
          <w:rStyle w:val="VerbatimChar"/>
        </w:rPr>
        <w:t xml:space="preserve">ScenarioCompare</w:t>
      </w:r>
      <w:r>
        <w:t xml:space="preserve">,</w:t>
      </w:r>
      <w:r>
        <w:t xml:space="preserve"> </w:t>
      </w:r>
      <w:r>
        <w:rPr>
          <w:rStyle w:val="VerbatimChar"/>
        </w:rPr>
        <w:t xml:space="preserve">ScenarioDefinition</w:t>
      </w:r>
      <w:r>
        <w:t xml:space="preserve">), the model (</w:t>
      </w:r>
      <w:r>
        <w:rPr>
          <w:rStyle w:val="VerbatimChar"/>
        </w:rPr>
        <w:t xml:space="preserve">Mitigation</w:t>
      </w:r>
      <w:r>
        <w:t xml:space="preserve">,</w:t>
      </w:r>
      <w:r>
        <w:t xml:space="preserve"> </w:t>
      </w:r>
      <w:r>
        <w:rPr>
          <w:rStyle w:val="VerbatimChar"/>
        </w:rPr>
        <w:t xml:space="preserve">Distribution</w:t>
      </w:r>
      <w:r>
        <w:t xml:space="preserve">,</w:t>
      </w:r>
      <w:r>
        <w:t xml:space="preserve"> </w:t>
      </w:r>
      <w:r>
        <w:rPr>
          <w:rStyle w:val="VerbatimChar"/>
        </w:rPr>
        <w:t xml:space="preserve">LiveOutputs</w:t>
      </w:r>
      <w:r>
        <w:t xml:space="preserve">,</w:t>
      </w:r>
      <w:r>
        <w:t xml:space="preserve"> </w:t>
      </w:r>
      <w:r>
        <w:rPr>
          <w:rStyle w:val="VerbatimChar"/>
        </w:rPr>
        <w:t xml:space="preserve">StoredOutputs</w:t>
      </w:r>
      <w:r>
        <w:t xml:space="preserve">), the inputs (</w:t>
      </w:r>
      <w:r>
        <w:rPr>
          <w:rStyle w:val="VerbatimChar"/>
        </w:rPr>
        <w:t xml:space="preserve">Manual inputs</w:t>
      </w:r>
      <w:r>
        <w:t xml:space="preserve">,</w:t>
      </w:r>
      <w:r>
        <w:t xml:space="preserve"> </w:t>
      </w:r>
      <w:r>
        <w:rPr>
          <w:rStyle w:val="VerbatimChar"/>
        </w:rPr>
        <w:t xml:space="preserve">Settings</w:t>
      </w:r>
      <w:r>
        <w:t xml:space="preserve">,</w:t>
      </w:r>
      <w:r>
        <w:t xml:space="preserve"> </w:t>
      </w:r>
      <w:r>
        <w:rPr>
          <w:rStyle w:val="VerbatimChar"/>
        </w:rPr>
        <w:t xml:space="preserve">Inputs</w:t>
      </w:r>
      <w:r>
        <w:t xml:space="preserve">), the data tabs (legacy tables, unchanged), and the reference tabs (version log, differences with legacy, variable dictionary).</w:t>
      </w:r>
    </w:p>
    <w:bookmarkEnd w:id="21"/>
    <w:bookmarkStart w:id="31"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Each scenario is a group of columns: group 1 is the baseline, group 2 the live scenario.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2"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2"/>
    <w:bookmarkStart w:id="23"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3"/>
    <w:bookmarkStart w:id="24"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4"/>
    <w:bookmarkStart w:id="25"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5"/>
    <w:bookmarkStart w:id="26"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6"/>
    <w:bookmarkStart w:id="27"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7"/>
    <w:bookmarkStart w:id="28"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8"/>
    <w:bookmarkStart w:id="29"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29"/>
    <w:bookmarkStart w:id="30" w:name="distribution-tab-distribution"/>
    <w:p>
      <w:pPr>
        <w:pStyle w:val="Heading2"/>
      </w:pPr>
      <w:r>
        <w:t xml:space="preserve">3.9 Distribution (tab Distribution)</w:t>
      </w:r>
    </w:p>
    <w:p>
      <w:pPr>
        <w:pStyle w:val="FirstParagraph"/>
      </w:pPr>
      <w:r>
        <w:t xml:space="preserve">Household effects by decile in one analysis year: price changes reach households directly (energy) and indirectly (other goods, through the input-output table); revenue recycling (transfers, targeted by ASPIRE or the poverty line) offsets them.</w:t>
      </w:r>
    </w:p>
    <w:p>
      <w:pPr>
        <w:pStyle w:val="BodyText"/>
      </w:pPr>
      <w:r>
        <w:rPr>
          <w:iCs/>
          <w:i/>
        </w:rPr>
        <w:t xml:space="preserve">Details: Methods, chapter Distribution.</w:t>
      </w:r>
    </w:p>
    <w:bookmarkEnd w:id="30"/>
    <w:bookmarkEnd w:id="31"/>
    <w:bookmarkStart w:id="32" w:name="results-and-the-dashboard"/>
    <w:p>
      <w:pPr>
        <w:pStyle w:val="Heading1"/>
      </w:pPr>
      <w:r>
        <w:t xml:space="preserve">4. Results and the dashboard</w:t>
      </w:r>
    </w:p>
    <w:p>
      <w:pPr>
        <w:pStyle w:val="FirstParagraph"/>
      </w:pPr>
      <w:r>
        <w:rPr>
          <w:bCs/>
          <w:b/>
        </w:rPr>
        <w:t xml:space="preserve">ScenarioCompare</w:t>
      </w:r>
      <w:r>
        <w:t xml:space="preserve"> </w:t>
      </w:r>
      <w:r>
        <w:t xml:space="preserve">is the place to read results:</w:t>
      </w:r>
    </w:p>
    <w:p>
      <w:pPr>
        <w:numPr>
          <w:ilvl w:val="0"/>
          <w:numId w:val="1004"/>
        </w:numPr>
        <w:pStyle w:val="Compact"/>
      </w:pPr>
      <w:r>
        <w:rPr>
          <w:bCs/>
          <w:b/>
        </w:rPr>
        <w:t xml:space="preserve">Choices:</w:t>
      </w:r>
      <w:r>
        <w:t xml:space="preserve"> </w:t>
      </w:r>
      <w:r>
        <w:t xml:space="preserve">Live (the scenario groups of</w:t>
      </w:r>
      <w:r>
        <w:t xml:space="preserve"> </w:t>
      </w:r>
      <w:r>
        <w:rPr>
          <w:rStyle w:val="VerbatimChar"/>
        </w:rPr>
        <w:t xml:space="preserve">Mitigation</w:t>
      </w:r>
      <w:r>
        <w:t xml:space="preserve">) or Stored (every stored scenario), and the year.</w:t>
      </w:r>
    </w:p>
    <w:p>
      <w:pPr>
        <w:numPr>
          <w:ilvl w:val="0"/>
          <w:numId w:val="1004"/>
        </w:numPr>
        <w:pStyle w:val="Compact"/>
      </w:pPr>
      <w:r>
        <w:rPr>
          <w:bCs/>
          <w:b/>
        </w:rPr>
        <w:t xml:space="preserve">Key table:</w:t>
      </w:r>
      <w:r>
        <w:t xml:space="preserve"> </w:t>
      </w:r>
      <w:r>
        <w:t xml:space="preserve">energy CO₂, GHGs, revenue, GDP effect and welfare, as levels and differences from the baseline.</w:t>
      </w:r>
    </w:p>
    <w:p>
      <w:pPr>
        <w:numPr>
          <w:ilvl w:val="0"/>
          <w:numId w:val="1004"/>
        </w:numPr>
        <w:pStyle w:val="Compact"/>
      </w:pPr>
      <w:r>
        <w:rPr>
          <w:bCs/>
          <w:b/>
        </w:rPr>
        <w:t xml:space="preserve">Charts:</w:t>
      </w:r>
      <w:r>
        <w:t xml:space="preserve"> </w:t>
      </w:r>
      <w:r>
        <w:t xml:space="preserve">one bar chart of CO₂ and four time-series charts; the title of each is a dropdown of indicators.</w:t>
      </w:r>
    </w:p>
    <w:p>
      <w:pPr>
        <w:pStyle w:val="FirstParagraph"/>
      </w:pPr>
      <w:r>
        <w:rPr>
          <w:bCs/>
          <w:b/>
        </w:rPr>
        <w:t xml:space="preserve">LiveOutputs</w:t>
      </w:r>
      <w:r>
        <w:t xml:space="preserve"> </w:t>
      </w:r>
      <w:r>
        <w:t xml:space="preserve">lists the key indicators of each live scenario by output code;</w:t>
      </w:r>
      <w:r>
        <w:t xml:space="preserve"> </w:t>
      </w:r>
      <w:r>
        <w:rPr>
          <w:bCs/>
          <w:b/>
        </w:rPr>
        <w:t xml:space="preserve">StoredOutputs</w:t>
      </w:r>
      <w:r>
        <w:t xml:space="preserve"> </w:t>
      </w:r>
      <w:r>
        <w:t xml:space="preserve">keeps the stored scenarios as values. Every row carries a code (for example</w:t>
      </w:r>
      <w:r>
        <w:t xml:space="preserve"> </w:t>
      </w:r>
      <w:r>
        <w:rPr>
          <w:rStyle w:val="VerbatimChar"/>
        </w:rPr>
        <w:t xml:space="preserve">egy.mit.co2.tot.tot.2</w:t>
      </w:r>
      <w:r>
        <w:t xml:space="preserve">: country, module, variable, sector, fuel, scenario), the same codes as the Python model.</w:t>
      </w:r>
    </w:p>
    <w:bookmarkEnd w:id="32"/>
    <w:bookmarkStart w:id="33"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excel_ai/Legacy_CPAT_Bugs_v&lt;version&gt;.docx</w:t>
      </w:r>
      <w:r>
        <w:t xml:space="preserve">; the master list of bugs and issues is the tracker</w:t>
      </w:r>
      <w:r>
        <w:t xml:space="preserve"> </w:t>
      </w:r>
      <w:r>
        <w:rPr>
          <w:rStyle w:val="VerbatimChar"/>
        </w:rPr>
        <w:t xml:space="preserve">excel_ai/Tracking_Legacy_Bugs_v&lt;version&gt;.xlsx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3"/>
    <w:bookmarkStart w:id="34"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excel_ai/Tracking_Legacy_Bugs_v1.0.0.xlsx</w:t>
      </w:r>
      <w:r>
        <w:t xml:space="preserve"> </w:t>
      </w:r>
      <w:r>
        <w:t xml:space="preserve">(tabs Bugs and Issues, every module in the same columns); the bugs are documented in</w:t>
      </w:r>
      <w:r>
        <w:t xml:space="preserve"> </w:t>
      </w:r>
      <w:r>
        <w:rPr>
          <w:rStyle w:val="VerbatimChar"/>
        </w:rPr>
        <w:t xml:space="preserve">excel_ai/Legacy_CPAT_Bugs_v1.0.0.docx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227</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(docs/01_MainDocumentation)</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9</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4"/>
    <w:bookmarkStart w:id="35"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5"/>
    <w:bookmarkStart w:id="36"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link to revenue, GHG and ETS totals by decision D-R4.)</w:t>
      </w:r>
      <w:r>
        <w:t xml:space="preserve"> </w:t>
      </w:r>
      <w:r>
        <w:rPr>
          <w:iCs/>
          <w:i/>
        </w:rPr>
        <w:t xml:space="preserve">Status:</w:t>
      </w:r>
      <w:r>
        <w:t xml:space="preserve"> </w:t>
      </w:r>
      <w:r>
        <w:t xml:space="preserve">Open.</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R5.10).)</w:t>
      </w:r>
      <w:r>
        <w:t xml:space="preserve"> </w:t>
      </w:r>
      <w:r>
        <w:rPr>
          <w:iCs/>
          <w:i/>
        </w:rPr>
        <w:t xml:space="preserve">Status:</w:t>
      </w:r>
      <w:r>
        <w:t xml:space="preserve"> </w:t>
      </w:r>
      <w:r>
        <w:t xml:space="preserve">Open.</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2041 blank (Equations_addendum R5).)</w:t>
      </w:r>
      <w:r>
        <w:t xml:space="preserve"> </w:t>
      </w:r>
      <w:r>
        <w:rPr>
          <w:iCs/>
          <w:i/>
        </w:rPr>
        <w:t xml:space="preserve">Status:</w:t>
      </w:r>
      <w:r>
        <w:t xml:space="preserve"> </w:t>
      </w:r>
      <w:r>
        <w:t xml:space="preserve">Open.</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constants on Settings labelled legacy hard-coded.)</w:t>
      </w:r>
      <w:r>
        <w:t xml:space="preserve"> </w:t>
      </w:r>
      <w:r>
        <w:rPr>
          <w:iCs/>
          <w:i/>
        </w:rPr>
        <w:t xml:space="preserve">Status:</w:t>
      </w:r>
      <w:r>
        <w:t xml:space="preserve"> </w:t>
      </w:r>
      <w:r>
        <w:t xml:space="preserve">Open.</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(#N/A outside the CCDR list); IFERROR would be a departure.)</w:t>
      </w:r>
      <w:r>
        <w:t xml:space="preserve"> </w:t>
      </w:r>
      <w:r>
        <w:rPr>
          <w:iCs/>
          <w:i/>
        </w:rPr>
        <w:t xml:space="preserve">Status:</w:t>
      </w:r>
      <w:r>
        <w:t xml:space="preserve"> </w:t>
      </w:r>
      <w:r>
        <w:t xml:space="preserve">Open.</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R5.18).)</w:t>
      </w:r>
      <w:r>
        <w:t xml:space="preserve"> </w:t>
      </w:r>
      <w:r>
        <w:rPr>
          <w:iCs/>
          <w:i/>
        </w:rPr>
        <w:t xml:space="preserve">Status:</w:t>
      </w:r>
      <w:r>
        <w:t xml:space="preserve"> </w:t>
      </w:r>
      <w:r>
        <w:t xml:space="preserve">Open.</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R12.7).)</w:t>
      </w:r>
      <w:r>
        <w:t xml:space="preserve"> </w:t>
      </w:r>
      <w:r>
        <w:rPr>
          <w:iCs/>
          <w:i/>
        </w:rPr>
        <w:t xml:space="preserve">Status:</w:t>
      </w:r>
      <w:r>
        <w:t xml:space="preserve"> </w:t>
      </w:r>
      <w:r>
        <w:t xml:space="preserve">Open.</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 Equations_addendum R12.1).)</w:t>
      </w:r>
      <w:r>
        <w:t xml:space="preserve"> </w:t>
      </w:r>
      <w:r>
        <w:rPr>
          <w:iCs/>
          <w:i/>
        </w:rPr>
        <w:t xml:space="preserve">Status:</w:t>
      </w:r>
      <w:r>
        <w:t xml:space="preserve"> </w:t>
      </w:r>
      <w:r>
        <w:t xml:space="preserve">Open.</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(Equations_addendum R12.9).)</w:t>
      </w:r>
      <w:r>
        <w:t xml:space="preserve"> </w:t>
      </w:r>
      <w:r>
        <w:rPr>
          <w:iCs/>
          <w:i/>
        </w:rPr>
        <w:t xml:space="preserve">Status:</w:t>
      </w:r>
      <w:r>
        <w:t xml:space="preserve"> </w:t>
      </w:r>
      <w:r>
        <w:t xml:space="preserve">Open.</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Not built: deferred by the user (2026-10-29; legacy work in progress).</w:t>
      </w:r>
      <w:r>
        <w:t xml:space="preserve"> </w:t>
      </w:r>
      <w:r>
        <w:rPr>
          <w:iCs/>
          <w:i/>
        </w:rPr>
        <w:t xml:space="preserve">Next step:</w:t>
      </w:r>
      <w:r>
        <w:t xml:space="preserve"> </w:t>
      </w:r>
      <w:r>
        <w:t xml:space="preserve">Not built: R4, R5, R12 deferred by the user (2026-10-29); replicate when built (Replicated (typed GVA).)</w:t>
      </w:r>
      <w:r>
        <w:t xml:space="preserve"> </w:t>
      </w:r>
      <w:r>
        <w:rPr>
          <w:iCs/>
          <w:i/>
        </w:rPr>
        <w:t xml:space="preserve">Status:</w:t>
      </w:r>
      <w:r>
        <w:t xml:space="preserve"> </w:t>
      </w:r>
      <w:r>
        <w:t xml:space="preserve">Open.</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6"/>
    <w:bookmarkStart w:id="37"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416-477 after the template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7"/>
    <w:bookmarkStart w:id="38"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bl>
    <w:bookmarkEnd w:id="38"/>
    <w:bookmarkStart w:id="39"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39"/>
    <w:bookmarkStart w:id="48" w:name="Xa4abf58d0ae67087a7628a4041fa7691755b613"/>
    <w:p>
      <w:pPr>
        <w:pStyle w:val="Heading1"/>
      </w:pPr>
      <w:r>
        <w:t xml:space="preserve">Appendix G. The bug-fixing procedure for legacy CPAT</w:t>
      </w:r>
    </w:p>
    <w:bookmarkStart w:id="40"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0"/>
    <w:bookmarkStart w:id="41"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1"/>
    <w:bookmarkStart w:id="42"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2"/>
    <w:bookmarkStart w:id="43" w:name="g.4-applying-a-cell-level-plan"/>
    <w:p>
      <w:pPr>
        <w:pStyle w:val="Heading2"/>
      </w:pPr>
      <w:r>
        <w:t xml:space="preserve">G.4 Applying a cell-level plan</w:t>
      </w:r>
    </w:p>
    <w:p>
      <w:pPr>
        <w:pStyle w:val="FirstParagraph"/>
      </w:pPr>
      <w:r>
        <w:t xml:space="preserve">For almost every bug (the</w:t>
      </w:r>
      <w:r>
        <w:t xml:space="preserve"> </w:t>
      </w:r>
      <w:r>
        <w:t xml:space="preserve">“</w:t>
      </w:r>
      <w:r>
        <w:t xml:space="preserve">Cell plan</w:t>
      </w:r>
      <w:r>
        <w:t xml:space="preserve">”</w:t>
      </w:r>
      <w:r>
        <w:t xml:space="preserve"> </w:t>
      </w:r>
      <w:r>
        <w:t xml:space="preserve">column says which) the repository holds a cell-level plan (excel_ai/legacy/bugfixes/data,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Legacy_CPAT_Bugs_v1.0.0.docx.</w:t>
      </w:r>
    </w:p>
    <w:p>
      <w:pPr>
        <w:pStyle w:val="BodyText"/>
      </w:pPr>
      <w:r>
        <w:t xml:space="preserve">For bugs without a cell plan yet the bug entry gives the legacy rows, what legacy does and the fix it needs. Write the plan as the existing ones were made (excel_ai/legacy/bugfixes/tools: build the new formula by exact text substitution of the legacy formula, stop if the legacy text is not found, check the brackets), add it to the JSON and regenerate this document.</w:t>
      </w:r>
    </w:p>
    <w:bookmarkEnd w:id="43"/>
    <w:bookmarkStart w:id="44"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4"/>
    <w:bookmarkStart w:id="45"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5"/>
    <w:bookmarkStart w:id="46"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6"/>
    <w:bookmarkStart w:id="47"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v1.0.0</dc:title>
  <dc:creator/>
  <cp:keywords/>
  <dcterms:created xsi:type="dcterms:W3CDTF">2026-10-29T15:56:11Z</dcterms:created>
  <dcterms:modified xsi:type="dcterms:W3CDTF">2026-10-29T15:56:11Z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Documentation</vt:lpwstr>
  </property>
</Properties>
</file>