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v1.0.0</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(v0.8.2).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v0.4.10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v0.6.1, I49). The producer subsidy phase-out is not in</w:t>
      </w:r>
      <w:r>
        <w:t xml:space="preserve"> </w:t>
      </w:r>
      <w:r>
        <w:rPr>
          <w:rStyle w:val="VerbatimChar"/>
        </w:rPr>
        <w:t xml:space="preserve">sp</w:t>
      </w:r>
      <w:r>
        <w:t xml:space="preserve">: it is a separate new-policy wedge (section 6b; v0.6.2).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(v0.4.12,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v0.4.12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d28c7216f5dc55846afbca458ba4bd06d4ed781"/>
    <w:p>
      <w:pPr>
        <w:pStyle w:val="Heading3"/>
      </w:pPr>
      <w:r>
        <w:t xml:space="preserve">6b. Subsidy and price-control phase-outs, producer subsidies (v0.4.16;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(v0.6.1,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(v0.6.2,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(v0.4.15,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(v0.4.15,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Xcc6058121b23a93c239150d4da54a1e96fe02c0"/>
    <w:p>
      <w:pPr>
        <w:pStyle w:val="Heading3"/>
      </w:pPr>
      <w:r>
        <w:t xml:space="preserve">Europe gas market: shift to LNG (v0.5.6,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0.6.4.md"/>
    <w:p>
      <w:pPr>
        <w:pStyle w:val="Heading3"/>
      </w:pPr>
      <w:r>
        <w:t xml:space="preserve">3. Validation (</w:t>
      </w:r>
      <w:r>
        <w:rPr>
          <w:rStyle w:val="VerbatimChar"/>
        </w:rPr>
        <w:t xml:space="preserve">check_report_v0.6.4.md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31f18f0880618b9283d19514558cbfa06612c85"/>
    <w:p>
      <w:pPr>
        <w:pStyle w:val="Heading3"/>
      </w:pPr>
      <w:r>
        <w:t xml:space="preserve">Manual capacity and investment (v0.5.6,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0.5.6-power-plan-p5"/>
    <w:p>
      <w:pPr>
        <w:pStyle w:val="Heading3"/>
      </w:pPr>
      <w:r>
        <w:t xml:space="preserve">Coal implicit cost (v0.5.6,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v0.6.2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v0.6.2,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check_report_v0.1.05.md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aa417053ba27ac5ed42569850ecc2fdaa00f8c2"/>
    <w:p>
      <w:pPr>
        <w:pStyle w:val="Heading3"/>
      </w:pPr>
      <w:r>
        <w:t xml:space="preserve">v0.5.6: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v0.4.10: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(v0.4.12,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v0.3.4.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v0.3.4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check_report_v0.6.4.md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v0.3.4: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03623d83316ab48f0691451ed3f411738db1e6d"/>
    <w:p>
      <w:pPr>
        <w:pStyle w:val="Heading2"/>
      </w:pPr>
      <w:r>
        <w:t xml:space="preserve">Engineer road transport model: data and Python reference (v0.3.5,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(v0.5.2: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v0.3.4)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country or region, subsector, fuel and pollutant, base year and final</w:t>
            </w:r>
          </w:p>
        </w:tc>
        <w:tc>
          <w:tcPr/>
          <w:p>
            <w:pPr>
              <w:pStyle w:val="Compact"/>
              <w:jc w:val="left"/>
            </w:pPr>
            <w:r>
              <w:t xml:space="preserve">Legacy sheet EF_PM (GAINS; all countries and World Bank regions)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(v0.6.2,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v0.6.0 loop came from price-block average ranges that ran into section 11, fixed in v0.6.2.)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(v0.4.12,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The factor is looked up by legacy EF code as for the local pollutants (v0.9.0: country, else World Bank region, else world; table Inputs_nc). Legacy 465 has these lookups but leaves the CH4 factors blank, so its combustion CH4 is zero (issue I34).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v0.6.2: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v0.5.6)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(v0.2.8),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v0.4.11;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c82f351f3e462f37b8c32cb9ceca4338fcbab6d"/>
    <w:p>
      <w:pPr>
        <w:pStyle w:val="Heading3"/>
      </w:pPr>
      <w:r>
        <w:t xml:space="preserve">Fuel production for supply methane (v0.5.6,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ba57b4978117dded288e7d4ef35612adfe2ae12"/>
    <w:p>
      <w:pPr>
        <w:pStyle w:val="Heading3"/>
      </w:pPr>
      <w:r>
        <w:t xml:space="preserve">NDC comparison (v0.5.7,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v0.6.1;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v0.6.1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v0.4.11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v0.4.9),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7ddad83efe99e12d5587c7b24ed5d7469da10ac"/>
    <w:p>
      <w:pPr>
        <w:pStyle w:val="Heading3"/>
      </w:pPr>
      <w:r>
        <w:t xml:space="preserve">2. Results for Egypt (scenario 1, energy CO2, Mt; v0.4.11)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v0.4.11 (before: the last inventory year GHGYear and the switch off, user decisions v0.3.2 and v0.3.4).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country or World Bank region, GAINS subsector, fuel and pollutant, base year and final, kt per PJ</w:t>
            </w:r>
          </w:p>
        </w:tc>
        <w:tc>
          <w:tcPr/>
          <w:p>
            <w:pPr>
              <w:pStyle w:val="Compact"/>
              <w:jc w:val="left"/>
            </w:pPr>
            <w:r>
              <w:t xml:space="preserve">Legacy sheet EF_PM (GAINS, all countries and regions);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The factors are those of legacy 465 (Mitigation rows 1052-1663; v0.9.0), in a table by legacy EF code on sheet Inputs_nc (Inputs, merged view):</w:t>
      </w:r>
    </w:p>
    <w:p>
      <w:pPr>
        <w:numPr>
          <w:ilvl w:val="0"/>
          <w:numId w:val="1101"/>
        </w:numPr>
        <w:pStyle w:val="Compact"/>
      </w:pPr>
      <w:r>
        <w:t xml:space="preserve">the legacy EF subsector of each subsector: road, rail, aviation (jet fuel), residential, services, construction, other manufacturing, food &amp; forestry and other energy keep their own code; mining &amp; chemicals, iron &amp; steel, other metals, machinery, cement and fuel transformation take manufacturing (</w:t>
      </w:r>
      <w:r>
        <w:rPr>
          <w:rStyle w:val="VerbatimChar"/>
        </w:rPr>
        <w:t xml:space="preserve">mnf</w:t>
      </w:r>
      <w:r>
        <w:t xml:space="preserve">, legacy rows 6388-6395); navigation, which legacy leaves out (bug L22), takes its own GAINS code</w:t>
      </w:r>
      <w:r>
        <w:t xml:space="preserve"> </w:t>
      </w:r>
      <w:r>
        <w:rPr>
          <w:rStyle w:val="VerbatimChar"/>
        </w:rPr>
        <w:t xml:space="preserve">nav</w:t>
      </w:r>
      <w:r>
        <w:t xml:space="preserve">;</w:t>
      </w:r>
    </w:p>
    <w:p>
      <w:pPr>
        <w:numPr>
          <w:ilvl w:val="0"/>
          <w:numId w:val="1101"/>
        </w:numPr>
        <w:pStyle w:val="Compact"/>
      </w:pPr>
      <w:r>
        <w:t xml:space="preserve">the factor of the country (</w:t>
      </w:r>
      <w:r>
        <w:rPr>
          <w:rStyle w:val="VerbatimChar"/>
        </w:rPr>
        <w:t xml:space="preserve">egy.mit.ef.&lt;sub&gt;.&lt;fuel&gt;.&lt;pollutant&gt;</w:t>
      </w:r>
      <w:r>
        <w:t xml:space="preserve">), else of its World Bank region (</w:t>
      </w:r>
      <w:r>
        <w:rPr>
          <w:rStyle w:val="VerbatimChar"/>
        </w:rPr>
        <w:t xml:space="preserve">CtryReg</w:t>
      </w:r>
      <w:r>
        <w:t xml:space="preserve">, Egypt</w:t>
      </w:r>
      <w:r>
        <w:t xml:space="preserve"> </w:t>
      </w:r>
      <w:r>
        <w:rPr>
          <w:rStyle w:val="VerbatimChar"/>
        </w:rPr>
        <w:t xml:space="preserve">mea</w:t>
      </w:r>
      <w:r>
        <w:t xml:space="preserve">), else of the world (</w:t>
      </w:r>
      <w:r>
        <w:rPr>
          <w:rStyle w:val="VerbatimChar"/>
        </w:rPr>
        <w:t xml:space="preserve">wld</w:t>
      </w:r>
      <w:r>
        <w:t xml:space="preserve">, absent from the data), else 0;</w:t>
      </w:r>
    </w:p>
    <w:p>
      <w:pPr>
        <w:numPr>
          <w:ilvl w:val="0"/>
          <w:numId w:val="1101"/>
        </w:numPr>
        <w:pStyle w:val="Compact"/>
      </w:pPr>
      <w:r>
        <w:t xml:space="preserve">other energy (</w:t>
      </w:r>
      <w:r>
        <w:rPr>
          <w:rStyle w:val="VerbatimChar"/>
        </w:rPr>
        <w:t xml:space="preserve">oen</w:t>
      </w:r>
      <w:r>
        <w:t xml:space="preserve">) takes, for each fuel and pollutant, the maximum factor across the other legacy subsectors (power included), as the legacy note says (issue I147);</w:t>
      </w:r>
    </w:p>
    <w:p>
      <w:pPr>
        <w:numPr>
          <w:ilvl w:val="0"/>
          <w:numId w:val="1101"/>
        </w:numPr>
        <w:pStyle w:val="Compact"/>
      </w:pPr>
      <w:r>
        <w:t xml:space="preserve">only the fuel and subsector pairs of the legacy table have factors (power: coal, gas, oil, biomass; road: gasoline, diesel, LPG, kerosene, gas; rail: diesel; aviation: jet fuel; residential: no gasoline or diesel); a pair or pollutant with no factor in the chain gives 0, as legacy (for example power biomass, road kerosene, residential oil, construction coal, gas, oil and biomass, services and other manufacturing coal; organic carbon and SO2 of LPG). None of these pairs burns fuel in Egypt.</w:t>
      </w:r>
    </w:p>
    <w:p>
      <w:pPr>
        <w:pStyle w:val="FirstParagraph"/>
      </w:pPr>
      <w:r>
        <w:t xml:space="preserve">The country-region-world chain covers the cases that bugs L58 (subsectors without a GAINS match) and L59 (fuels without a GAINS factor) fixed in v0.2.9 and v0.4.12 (nearest GAINS match): the CPAT team fixed them in 465. Egypt 2022: food &amp; forestry diesel, residential and fuel-transformation LPG, other-manufacturing diesel and LPG take the Middle East &amp; North Africa factors, as legacy.</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(v0.3.12)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v0.9.0 (factors of legacy 465): in 2022 every module sector equals the legacy input table (rows 15844-16053, tonnes) for every pollutant except</w:t>
      </w:r>
      <w:r>
        <w:t xml:space="preserve"> </w:t>
      </w:r>
      <w:r>
        <w:t xml:space="preserve">“</w:t>
      </w:r>
      <w:r>
        <w:t xml:space="preserve">other</w:t>
      </w:r>
      <w:r>
        <w:t xml:space="preserve">”</w:t>
      </w:r>
      <w:r>
        <w:t xml:space="preserve">, which adds navigation (bug L22: NOx +14.8 kt, SO2 +13.7 kt, BC +0.6 kt, PM2.5 +1.5 kt), and CH4 (combustion CH4 and all fuel supply methane, issue I34). Gas power plants’ NOx is 96,931 t, road NOx 557,470 t, food &amp; forestry black carbon 3.8 t in both. Modelled ambient PM2.5 in 2022 is 33.06 ug/m3 against legacy 30.17; the difference is navigation’s (2.89). In 2030 the sectors differ from legacy by the fuel-use paths (gas plants 0.88, other plants 0.62, road 0.70-0.77, food &amp; forestry 0.58 of legacy), not by the factors.</w:t>
      </w:r>
    </w:p>
    <w:p>
      <w:pPr>
        <w:pStyle w:val="BodyText"/>
      </w:pPr>
      <w:r>
        <w:t xml:space="preserve">The check recomputes all rows of the block in Python for scenarios 1 and 2.</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Bugs L58 and L59 (subsectors and fuels without a GAINS factor) were fixed by the CPAT team in 465 (country, else region, else world factors); the prototype follows 465 (v0.9.0) and keeps 0 where the 465 chain has no factor, as no such pair burns fuel in Egypt.</w:t>
      </w:r>
    </w:p>
    <w:p>
      <w:pPr>
        <w:numPr>
          <w:ilvl w:val="0"/>
          <w:numId w:val="1105"/>
        </w:numPr>
        <w:pStyle w:val="Compact"/>
      </w:pPr>
      <w:r>
        <w:t xml:space="preserve">Other energy takes the maximum factor of the fuel across the other subsectors (issue I147). Legacy takes the maximum year by year; the prototype the maximum of the base and of the final factors with the line between them, the same where one subsector holds the maximum throughout (Egypt: other oil products, the only fuel of other energy).</w:t>
      </w:r>
    </w:p>
    <w:p>
      <w:pPr>
        <w:numPr>
          <w:ilvl w:val="0"/>
          <w:numId w:val="1105"/>
        </w:numPr>
        <w:pStyle w:val="Compact"/>
      </w:pPr>
      <w:r>
        <w:t xml:space="preserve">Food &amp; forestry is split into food and forestry/agriculture as legacy (v0.4.11,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(v0.4.15,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(v0.3.3;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v0.4.15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(v0.4.15, LD55): total revenue of the scenario (existing taxes net of subsidies plus new policies, power included: rnet + rnew, v0.4.16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(v0.4.15,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644b21a46e83ca31e05fafd30d2f0371421128c"/>
    <w:p>
      <w:pPr>
        <w:pStyle w:val="Heading3"/>
      </w:pPr>
      <w:r>
        <w:t xml:space="preserve">2b. Timing rule (stated v0.6.2,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(v0.4.15: total revenue; v0.4.14,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(v0.4.15): total revenue, as legacy (the v0.3.1 reading</w:t>
      </w:r>
      <w:r>
        <w:t xml:space="preserve"> </w:t>
      </w:r>
      <w:r>
        <w:t xml:space="preserve">“</w:t>
      </w:r>
      <w:r>
        <w:t xml:space="preserve">new-policy revenue only</w:t>
      </w:r>
      <w:r>
        <w:t xml:space="preserve">”</w:t>
      </w:r>
      <w:r>
        <w:t xml:space="preserve"> </w:t>
      </w:r>
      <w:r>
        <w:t xml:space="preserve">misread legacy’s code rev.new.usd, which is the total). v0.6.2: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v0.4.16: fis.rev adds its parts (rnet + rnew + rsr + rpsu); the v0.4.15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(v0.4.15):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632b5ff0cbc6af25db9d44f279251d047d74c60"/>
    <w:p>
      <w:pPr>
        <w:pStyle w:val="Heading3"/>
      </w:pPr>
      <w:r>
        <w:t xml:space="preserve">5. Memo rows (v0.5.7;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(v0.6.0: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5ca5b0e4099bf07e1f19bc818d77b721e6a3b46"/>
    <w:p>
      <w:pPr>
        <w:pStyle w:val="Heading3"/>
      </w:pPr>
      <w:r>
        <w:t xml:space="preserve">2. 12d Fiscal reports (v0.3.13;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(v0.4.15,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v0.3.10),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f40e4f038e1ead5084a4ad3294e7a08e04c9c5f"/>
    <w:p>
      <w:pPr>
        <w:pStyle w:val="Heading3"/>
      </w:pPr>
      <w:r>
        <w:t xml:space="preserve">3. 11b Energy consumption: change against scenario 1 (v0.3.14;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e3f07e9d2b85aa99e4d7170f03f36a854f66462"/>
    <w:p>
      <w:pPr>
        <w:pStyle w:val="Heading3"/>
      </w:pPr>
      <w:r>
        <w:t xml:space="preserve">4. 13b CO2 change, grid emission intensity, Kaya identity (v0.3.14;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(v0.3.18):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v0.3.14-v0.3.17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46bdcb12c5c27088788a83b43d125fa0fedd4e8"/>
    <w:p>
      <w:pPr>
        <w:pStyle w:val="Heading3"/>
      </w:pPr>
      <w:r>
        <w:t xml:space="preserve">5. 14b GHG change and energy GHGs including forcing (v0.3.14;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f2906ac67aa10bb871052c1fd456e018d2be0c3"/>
    <w:p>
      <w:pPr>
        <w:pStyle w:val="Heading3"/>
      </w:pPr>
      <w:r>
        <w:t xml:space="preserve">6. Section 17 Carbon pricing (v0.3.15;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92496a3c66d5956c9131afa989cb4f025e2d023"/>
    <w:p>
      <w:pPr>
        <w:pStyle w:val="Heading3"/>
      </w:pPr>
      <w:r>
        <w:t xml:space="preserve">7. 16b External balance (v0.3.16;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edc1fecb73f27f0967809ff7485bd27700d4a77"/>
    <w:p>
      <w:pPr>
        <w:pStyle w:val="Heading3"/>
      </w:pPr>
      <w:r>
        <w:t xml:space="preserve">8. Section 18 Welfare and externalities, climate part (v0.3.17;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(v0.5.2,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afdd63e1f4312ee4bdbedfdd6045a6a4e9af645"/>
    <w:p>
      <w:pPr>
        <w:pStyle w:val="Heading3"/>
      </w:pPr>
      <w:r>
        <w:t xml:space="preserve">2b. Main scenario choice and regulations as shadow prices (v0.4.16,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(v0.4.8; row 10 before).</w:t>
            </w:r>
          </w:p>
        </w:tc>
      </w:tr>
      <w:tr>
        <w:tc>
          <w:tcPr/>
          <w:p>
            <w:pPr>
              <w:pStyle w:val="Compact"/>
              <w:jc w:val="left"/>
            </w:pPr>
            <w:r>
              <w:t xml:space="preserve">Roll-up (v0.4.8,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v0.4.8: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v0.4.4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v0.4.4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cec9af63c94024d42e7a6290bfdc3f64531e2"/>
    <w:p>
      <w:pPr>
        <w:pStyle w:val="Heading3"/>
      </w:pPr>
      <w:r>
        <w:t xml:space="preserve">5. Options and outputs added in v0.6.0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v0.4.12,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(v0.4.10,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v0.6.2,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(v0.6.2: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v0.4.12;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v0.4.13. Residential biomass has εY = 0 unless MTInputs</w:t>
      </w:r>
      <w:r>
        <w:t xml:space="preserve"> </w:t>
      </w:r>
      <w:r>
        <w:rPr>
          <w:rStyle w:val="VerbatimChar"/>
        </w:rPr>
        <w:t xml:space="preserve">BiomassNormal</w:t>
      </w:r>
      <w:r>
        <w:t xml:space="preserve"> </w:t>
      </w:r>
      <w:r>
        <w:t xml:space="preserve">= Yes (legacy row 5567; v0.4.13).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e03a42f21f1c28b92f99ec463e33d37054a3b8d"/>
    <w:p>
      <w:pPr>
        <w:pStyle w:val="Heading3"/>
      </w:pPr>
      <w:r>
        <w:t xml:space="preserve">Initially exempt residential demand (v0.5.6,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(v0.4.12),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v0.4.7,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v0.4.12: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Inputs_nc (v0.9.0): non-CO2 combustion emission factors of local pollutants and CH4 by legacy EF code (rows</w:t>
      </w:r>
      <w:r>
        <w:t xml:space="preserve"> </w:t>
      </w:r>
      <w:r>
        <w:t xml:space="preserve">1052-1663: country, else World Bank region, else world, from the all-country EF_PM; other energy the maximum</w:t>
      </w:r>
      <w:r>
        <w:t xml:space="preserve"> </w:t>
      </w:r>
      <w:r>
        <w:t xml:space="preserve">across the other subsectors);</w:t>
      </w:r>
    </w:p>
    <w:p>
      <w:pPr>
        <w:numPr>
          <w:ilvl w:val="1"/>
          <w:numId w:val="1147"/>
        </w:numPr>
        <w:pStyle w:val="Compact"/>
      </w:pPr>
      <w:r>
        <w:t xml:space="preserve">v0.4.7,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(v0.4.7).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(v0.4.10, NORMS 0; v0.4.7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(v0.4.5).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v0.4.6: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v0.4.6 results against v0.4.5: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v0.4.7: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v0.4.7: PowerTech, PowerPaths, PowerParams (now Inputs blocks from Power, CoC, Balances, WEO, GHGs).</w:t>
      </w:r>
    </w:p>
    <w:p>
      <w:pPr>
        <w:numPr>
          <w:ilvl w:val="0"/>
          <w:numId w:val="1145"/>
        </w:numPr>
        <w:pStyle w:val="Compact"/>
      </w:pPr>
      <w:r>
        <w:t xml:space="preserve">v0.4.12: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v0.5.2 on sheet Manual inputs, shown on Settings). Inputs columns efxs:eff (v0.9.0: removed, legacy 465 factors;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v0.5.2: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v1.0.0</dc:title>
  <dc:creator/>
  <cp:keywords/>
  <dcterms:created xsi:type="dcterms:W3CDTF">2026-10-29T15:56:12Z</dcterms:created>
  <dcterms:modified xsi:type="dcterms:W3CDTF">2026-10-29T15:56:12Z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