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v1.0.0</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(v0.8.2).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v0.4.10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v0.6.1, I49). The producer subsidy phase-out is not in</w:t>
      </w:r>
      <w:r>
        <w:t xml:space="preserve"> </w:t>
      </w:r>
      <w:r>
        <w:rPr>
          <w:rStyle w:val="VerbatimChar"/>
        </w:rPr>
        <w:t xml:space="preserve">sp</w:t>
      </w:r>
      <w:r>
        <w:t xml:space="preserve">: it is a separate new-policy wedge (section 6b; v0.6.2).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(v0.4.12,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v0.4.12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d28c7216f5dc55846afbca458ba4bd06d4ed781"/>
    <w:p>
      <w:pPr>
        <w:pStyle w:val="Heading3"/>
      </w:pPr>
      <w:r>
        <w:t xml:space="preserve">6b. Subsidy and price-control phase-outs, producer subsidies (v0.4.16;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(v0.6.1,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(v0.6.2,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(v0.4.15,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(v0.4.15,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Xcc6058121b23a93c239150d4da54a1e96fe02c0"/>
    <w:p>
      <w:pPr>
        <w:pStyle w:val="Heading3"/>
      </w:pPr>
      <w:r>
        <w:t xml:space="preserve">Europe gas market: shift to LNG (v0.5.6,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0.6.4.md"/>
    <w:p>
      <w:pPr>
        <w:pStyle w:val="Heading3"/>
      </w:pPr>
      <w:r>
        <w:t xml:space="preserve">3. Validation (</w:t>
      </w:r>
      <w:r>
        <w:rPr>
          <w:rStyle w:val="VerbatimChar"/>
        </w:rPr>
        <w:t xml:space="preserve">check_report_v0.6.4.md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31f18f0880618b9283d19514558cbfa06612c85"/>
    <w:p>
      <w:pPr>
        <w:pStyle w:val="Heading3"/>
      </w:pPr>
      <w:r>
        <w:t xml:space="preserve">Manual capacity and investment (v0.5.6,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0.5.6-power-plan-p5"/>
    <w:p>
      <w:pPr>
        <w:pStyle w:val="Heading3"/>
      </w:pPr>
      <w:r>
        <w:t xml:space="preserve">Coal implicit cost (v0.5.6,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v0.6.2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v0.6.2,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check_report_v0.1.05.md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aa417053ba27ac5ed42569850ecc2fdaa00f8c2"/>
    <w:p>
      <w:pPr>
        <w:pStyle w:val="Heading3"/>
      </w:pPr>
      <w:r>
        <w:t xml:space="preserve">v0.5.6: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v0.4.10: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(v0.4.12,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v0.3.4.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v0.3.4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check_report_v0.6.4.md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v0.3.4: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03623d83316ab48f0691451ed3f411738db1e6d"/>
    <w:p>
      <w:pPr>
        <w:pStyle w:val="Heading2"/>
      </w:pPr>
      <w:r>
        <w:t xml:space="preserve">Engineer road transport model: data and Python reference (v0.3.5,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(v0.5.2: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v0.3.4)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(v0.6.2,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v0.6.0 loop came from price-block average ranges that ran into section 11, fixed in v0.6.2.)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(v0.4.12,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(v0.9.0: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v0.6.2: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v0.5.6)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(v0.2.8),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v0.4.11;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c82f351f3e462f37b8c32cb9ceca4338fcbab6d"/>
    <w:p>
      <w:pPr>
        <w:pStyle w:val="Heading3"/>
      </w:pPr>
      <w:r>
        <w:t xml:space="preserve">Fuel production for supply methane (v0.5.6,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ba57b4978117dded288e7d4ef35612adfe2ae12"/>
    <w:p>
      <w:pPr>
        <w:pStyle w:val="Heading3"/>
      </w:pPr>
      <w:r>
        <w:t xml:space="preserve">NDC comparison (v0.5.7,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v0.6.1;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v0.6.1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v0.4.11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v0.4.9),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7ddad83efe99e12d5587c7b24ed5d7469da10ac"/>
    <w:p>
      <w:pPr>
        <w:pStyle w:val="Heading3"/>
      </w:pPr>
      <w:r>
        <w:t xml:space="preserve">2. Results for Egypt (scenario 1, energy CO2, Mt; v0.4.11)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v0.4.11 (before: the last inventory year GHGYear and the switch off, user decisions v0.3.2 and v0.3.4).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v0.9.0),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v0.2.9 and v0.4.12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(v0.3.12)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v0.9.0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(v0.9.0)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(v0.4.11,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(v0.4.15,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(v0.3.3;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v0.4.15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(v0.4.15, LD55): total revenue of the scenario (existing taxes net of subsidies plus new policies, power included: rnet + rnew, v0.4.16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(v0.4.15,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644b21a46e83ca31e05fafd30d2f0371421128c"/>
    <w:p>
      <w:pPr>
        <w:pStyle w:val="Heading3"/>
      </w:pPr>
      <w:r>
        <w:t xml:space="preserve">2b. Timing rule (stated v0.6.2,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(v0.4.15: total revenue; v0.4.14,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(v0.4.15): total revenue, as legacy (the v0.3.1 reading</w:t>
      </w:r>
      <w:r>
        <w:t xml:space="preserve"> </w:t>
      </w:r>
      <w:r>
        <w:t xml:space="preserve">“</w:t>
      </w:r>
      <w:r>
        <w:t xml:space="preserve">new-policy revenue only</w:t>
      </w:r>
      <w:r>
        <w:t xml:space="preserve">”</w:t>
      </w:r>
      <w:r>
        <w:t xml:space="preserve"> </w:t>
      </w:r>
      <w:r>
        <w:t xml:space="preserve">misread legacy’s code rev.new.usd, which is the total). v0.6.2: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v0.4.16: fis.rev adds its parts (rnet + rnew + rsr + rpsu); the v0.4.15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(v0.4.15):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632b5ff0cbc6af25db9d44f279251d047d74c60"/>
    <w:p>
      <w:pPr>
        <w:pStyle w:val="Heading3"/>
      </w:pPr>
      <w:r>
        <w:t xml:space="preserve">5. Memo rows (v0.5.7;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(v0.6.0: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5ca5b0e4099bf07e1f19bc818d77b721e6a3b46"/>
    <w:p>
      <w:pPr>
        <w:pStyle w:val="Heading3"/>
      </w:pPr>
      <w:r>
        <w:t xml:space="preserve">2. 12d Fiscal reports (v0.3.13;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(v0.4.15,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v0.3.10),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f40e4f038e1ead5084a4ad3294e7a08e04c9c5f"/>
    <w:p>
      <w:pPr>
        <w:pStyle w:val="Heading3"/>
      </w:pPr>
      <w:r>
        <w:t xml:space="preserve">3. 11b Energy consumption: change against scenario 1 (v0.3.14;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e3f07e9d2b85aa99e4d7170f03f36a854f66462"/>
    <w:p>
      <w:pPr>
        <w:pStyle w:val="Heading3"/>
      </w:pPr>
      <w:r>
        <w:t xml:space="preserve">4. 13b CO2 change, grid emission intensity, Kaya identity (v0.3.14;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(v0.3.18):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v0.3.14-v0.3.17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46bdcb12c5c27088788a83b43d125fa0fedd4e8"/>
    <w:p>
      <w:pPr>
        <w:pStyle w:val="Heading3"/>
      </w:pPr>
      <w:r>
        <w:t xml:space="preserve">5. 14b GHG change and energy GHGs including forcing (v0.3.14;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f2906ac67aa10bb871052c1fd456e018d2be0c3"/>
    <w:p>
      <w:pPr>
        <w:pStyle w:val="Heading3"/>
      </w:pPr>
      <w:r>
        <w:t xml:space="preserve">6. Section 17 Carbon pricing (v0.3.15;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92496a3c66d5956c9131afa989cb4f025e2d023"/>
    <w:p>
      <w:pPr>
        <w:pStyle w:val="Heading3"/>
      </w:pPr>
      <w:r>
        <w:t xml:space="preserve">7. 16b External balance (v0.3.16;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edc1fecb73f27f0967809ff7485bd27700d4a77"/>
    <w:p>
      <w:pPr>
        <w:pStyle w:val="Heading3"/>
      </w:pPr>
      <w:r>
        <w:t xml:space="preserve">8. Section 18 Welfare and externalities, climate part (v0.3.17;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(v0.5.2,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afdd63e1f4312ee4bdbedfdd6045a6a4e9af645"/>
    <w:p>
      <w:pPr>
        <w:pStyle w:val="Heading3"/>
      </w:pPr>
      <w:r>
        <w:t xml:space="preserve">2b. Main scenario choice and regulations as shadow prices (v0.4.16,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(v0.4.8; row 10 before).</w:t>
            </w:r>
          </w:p>
        </w:tc>
      </w:tr>
      <w:tr>
        <w:tc>
          <w:tcPr/>
          <w:p>
            <w:pPr>
              <w:pStyle w:val="Compact"/>
              <w:jc w:val="left"/>
            </w:pPr>
            <w:r>
              <w:t xml:space="preserve">Roll-up (v0.4.8,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v0.4.8: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v0.4.4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v0.4.4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cec9af63c94024d42e7a6290bfdc3f64531e2"/>
    <w:p>
      <w:pPr>
        <w:pStyle w:val="Heading3"/>
      </w:pPr>
      <w:r>
        <w:t xml:space="preserve">5. Options and outputs added in v0.6.0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v0.4.12,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(v0.4.10,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v0.6.2,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(v0.6.2: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v0.4.12;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v0.4.13. Residential biomass has εY = 0 unless MTInputs</w:t>
      </w:r>
      <w:r>
        <w:t xml:space="preserve"> </w:t>
      </w:r>
      <w:r>
        <w:rPr>
          <w:rStyle w:val="VerbatimChar"/>
        </w:rPr>
        <w:t xml:space="preserve">BiomassNormal</w:t>
      </w:r>
      <w:r>
        <w:t xml:space="preserve"> </w:t>
      </w:r>
      <w:r>
        <w:t xml:space="preserve">= Yes (legacy row 5567; v0.4.13).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e03a42f21f1c28b92f99ec463e33d37054a3b8d"/>
    <w:p>
      <w:pPr>
        <w:pStyle w:val="Heading3"/>
      </w:pPr>
      <w:r>
        <w:t xml:space="preserve">Initially exempt residential demand (v0.5.6,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(v0.4.12),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v0.4.7,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v0.4.12: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(v0.9.0):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v0.4.7,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(v0.4.7).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(v0.4.10, NORMS 0; v0.4.7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(v0.4.5).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v0.4.6: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v0.4.6 results against v0.4.5: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v0.4.7: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v0.4.7: PowerTech, PowerPaths, PowerParams (now Inputs blocks from Power, CoC, Balances, WEO, GHGs).</w:t>
      </w:r>
    </w:p>
    <w:p>
      <w:pPr>
        <w:numPr>
          <w:ilvl w:val="0"/>
          <w:numId w:val="1145"/>
        </w:numPr>
        <w:pStyle w:val="Compact"/>
      </w:pPr>
      <w:r>
        <w:t xml:space="preserve">v0.4.12: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v0.5.2 on sheet Manual inputs, shown on Settings). Inputs columns efxs:eff (v0.9.0: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v0.5.2: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v1.0.0</dc:title>
  <dc:creator/>
  <cp:keywords/>
  <dcterms:created xsi:type="dcterms:W3CDTF">2026-10-29T18:39:04Z</dcterms:created>
  <dcterms:modified xsi:type="dcterms:W3CDTF">2026-10-29T18:39:04Z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