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A64D" w14:textId="5A929991" w:rsidR="00AA0682" w:rsidRDefault="00E67C44" w:rsidP="00AA0682">
      <w:pPr>
        <w:pStyle w:val="Heading2PageBreakBefore"/>
        <w:rPr>
          <w:rFonts w:asciiTheme="minorHAnsi" w:hAnsiTheme="minorHAnsi" w:cstheme="minorHAnsi"/>
          <w:iCs/>
          <w:szCs w:val="20"/>
        </w:rPr>
      </w:pPr>
      <w:r>
        <w:t xml:space="preserve">Methodology for </w:t>
      </w:r>
      <w:r w:rsidR="00AA0682" w:rsidRPr="009076D6">
        <w:t xml:space="preserve">Modelling the </w:t>
      </w:r>
      <w:r>
        <w:t>Road Transportation</w:t>
      </w:r>
      <w:r w:rsidR="00AA0682" w:rsidRPr="009076D6">
        <w:t xml:space="preserve"> Sector</w:t>
      </w:r>
    </w:p>
    <w:p w14:paraId="6FDACC7C" w14:textId="54D8BDCE" w:rsidR="00AA0682" w:rsidRPr="00E63030" w:rsidRDefault="00AA0682" w:rsidP="00AA0682">
      <w:pPr>
        <w:spacing w:before="0" w:after="240" w:line="240" w:lineRule="auto"/>
        <w:rPr>
          <w:rFonts w:asciiTheme="majorHAnsi" w:hAnsiTheme="majorHAnsi" w:cstheme="majorHAnsi"/>
        </w:rPr>
      </w:pPr>
      <w:r>
        <w:t>A “technoeconomic” model is used to forecast vehicle and driving demand, road transportation energy use, and emissions under various policies. The model performs separate projections for two-three wheelers (motorcycles), light-duty vehicles (LDVs, cars and commercial vehicles with weight below 3.5 tons), heavy-duty vehicles (HDVs, medium- and heavy-duty freight)</w:t>
      </w:r>
      <w:r w:rsidR="00E67C44">
        <w:t>, and public transportation (buses)</w:t>
      </w:r>
      <w:r>
        <w:t xml:space="preserve"> </w:t>
      </w:r>
      <w:r w:rsidRPr="00E85AAB">
        <w:t>since the vehicle types have different existing fuel pricing policies, economics, and</w:t>
      </w:r>
      <w:r>
        <w:t>/or</w:t>
      </w:r>
      <w:r w:rsidRPr="00E85AAB">
        <w:t xml:space="preserve"> abatement pathways</w:t>
      </w:r>
      <w:r>
        <w:t>—f</w:t>
      </w:r>
      <w:r w:rsidRPr="00E85AAB">
        <w:t xml:space="preserve">or example, </w:t>
      </w:r>
      <w:r>
        <w:t>HDVs</w:t>
      </w:r>
      <w:r w:rsidRPr="00E85AAB">
        <w:t xml:space="preserve"> have higher depreciation rates, </w:t>
      </w:r>
      <w:r>
        <w:t xml:space="preserve">lower fuel efficiency, </w:t>
      </w:r>
      <w:commentRangeStart w:id="0"/>
      <w:r w:rsidRPr="00E85AAB">
        <w:t>more VKT distance travelled</w:t>
      </w:r>
      <w:commentRangeEnd w:id="0"/>
      <w:r>
        <w:rPr>
          <w:rStyle w:val="CommentReference"/>
        </w:rPr>
        <w:commentReference w:id="0"/>
      </w:r>
      <w:r w:rsidRPr="00E85AAB">
        <w:t xml:space="preserve">, and are more costly to </w:t>
      </w:r>
      <w:r w:rsidRPr="00E63030">
        <w:rPr>
          <w:rFonts w:asciiTheme="majorHAnsi" w:hAnsiTheme="majorHAnsi" w:cstheme="majorHAnsi"/>
        </w:rPr>
        <w:t xml:space="preserve">electrify—as well as distinguishing between new and used vehicles for </w:t>
      </w:r>
      <w:r w:rsidR="00A33B79">
        <w:rPr>
          <w:rFonts w:asciiTheme="majorHAnsi" w:hAnsiTheme="majorHAnsi" w:cstheme="majorHAnsi"/>
        </w:rPr>
        <w:t>LDVs</w:t>
      </w:r>
      <w:r w:rsidRPr="00E63030">
        <w:rPr>
          <w:rFonts w:asciiTheme="majorHAnsi" w:hAnsiTheme="majorHAnsi" w:cstheme="majorHAnsi"/>
        </w:rPr>
        <w:t xml:space="preserve"> given differences in purchase prices and fuel economy and varying reliance on used vehicle markets</w:t>
      </w:r>
      <w:r>
        <w:rPr>
          <w:rFonts w:asciiTheme="majorHAnsi" w:hAnsiTheme="majorHAnsi" w:cstheme="majorHAnsi"/>
        </w:rPr>
        <w:t xml:space="preserve"> across countries</w:t>
      </w:r>
      <w:r w:rsidRPr="00E63030">
        <w:rPr>
          <w:rFonts w:asciiTheme="majorHAnsi" w:hAnsiTheme="majorHAnsi" w:cstheme="majorHAnsi"/>
        </w:rPr>
        <w:t>.</w:t>
      </w:r>
      <w:r w:rsidR="00322605">
        <w:rPr>
          <w:rFonts w:asciiTheme="majorHAnsi" w:hAnsiTheme="majorHAnsi" w:cstheme="majorHAnsi"/>
        </w:rPr>
        <w:t xml:space="preserve"> A simplified approach is taken for public transportation.</w:t>
      </w:r>
      <w:r w:rsidR="000E27A4">
        <w:rPr>
          <w:rFonts w:asciiTheme="majorHAnsi" w:hAnsiTheme="majorHAnsi" w:cstheme="majorHAnsi"/>
        </w:rPr>
        <w:t xml:space="preserve"> The model covers </w:t>
      </w:r>
      <w:r w:rsidR="008071A8">
        <w:rPr>
          <w:rFonts w:asciiTheme="majorHAnsi" w:hAnsiTheme="majorHAnsi" w:cstheme="majorHAnsi"/>
        </w:rPr>
        <w:t xml:space="preserve">energy use from gasoline, diesel, natural gas, LPG, biofuels, and electricity. Other energy sources (e.g., coal) are calculated using the </w:t>
      </w:r>
      <w:proofErr w:type="gramStart"/>
      <w:r w:rsidR="008071A8">
        <w:rPr>
          <w:rFonts w:asciiTheme="majorHAnsi" w:hAnsiTheme="majorHAnsi" w:cstheme="majorHAnsi"/>
        </w:rPr>
        <w:t>elasticity</w:t>
      </w:r>
      <w:proofErr w:type="gramEnd"/>
      <w:r w:rsidR="008071A8">
        <w:rPr>
          <w:rFonts w:asciiTheme="majorHAnsi" w:hAnsiTheme="majorHAnsi" w:cstheme="majorHAnsi"/>
        </w:rPr>
        <w:t xml:space="preserve"> approach.</w:t>
      </w:r>
    </w:p>
    <w:p w14:paraId="59A9FD8D" w14:textId="4CA85737" w:rsidR="00E67C44" w:rsidRDefault="00E67C44" w:rsidP="00865E1D">
      <w:pPr>
        <w:pStyle w:val="Heading4"/>
      </w:pPr>
      <w:r>
        <w:t>Data sources for historical data</w:t>
      </w:r>
    </w:p>
    <w:p w14:paraId="3B4E7D64" w14:textId="027BB7FD" w:rsidR="00E67C44" w:rsidRDefault="00AA0682" w:rsidP="00AA0682">
      <w:pPr>
        <w:spacing w:line="240" w:lineRule="auto"/>
        <w:rPr>
          <w:rFonts w:asciiTheme="majorHAnsi" w:hAnsiTheme="majorHAnsi" w:cstheme="majorHAnsi"/>
        </w:rPr>
      </w:pPr>
      <w:r w:rsidRPr="00E63030">
        <w:rPr>
          <w:rFonts w:asciiTheme="majorHAnsi" w:hAnsiTheme="majorHAnsi" w:cstheme="majorHAnsi"/>
        </w:rPr>
        <w:t>Historical data on fuel demand</w:t>
      </w:r>
      <w:r>
        <w:rPr>
          <w:rFonts w:asciiTheme="majorHAnsi" w:hAnsiTheme="majorHAnsi" w:cstheme="majorHAnsi"/>
        </w:rPr>
        <w:t xml:space="preserve">, fuel economy, </w:t>
      </w:r>
      <w:r w:rsidRPr="00E63030">
        <w:rPr>
          <w:rFonts w:asciiTheme="majorHAnsi" w:hAnsiTheme="majorHAnsi" w:cstheme="majorHAnsi"/>
        </w:rPr>
        <w:t>vehicle ownership</w:t>
      </w:r>
      <w:r>
        <w:rPr>
          <w:rFonts w:asciiTheme="majorHAnsi" w:hAnsiTheme="majorHAnsi" w:cstheme="majorHAnsi"/>
        </w:rPr>
        <w:t>, and battery electric vehicle (BEV) and plug-in EV (PHEV) shares</w:t>
      </w:r>
      <w:r w:rsidRPr="00E63030">
        <w:rPr>
          <w:rFonts w:asciiTheme="majorHAnsi" w:hAnsiTheme="majorHAnsi" w:cstheme="majorHAnsi"/>
        </w:rPr>
        <w:t xml:space="preserve"> comes from several sources.</w:t>
      </w:r>
      <w:r>
        <w:rPr>
          <w:rStyle w:val="FootnoteReference"/>
          <w:rFonts w:asciiTheme="majorHAnsi" w:hAnsiTheme="majorHAnsi" w:cstheme="majorHAnsi"/>
        </w:rPr>
        <w:footnoteReference w:id="2"/>
      </w:r>
      <w:r w:rsidRPr="00E63030">
        <w:rPr>
          <w:rFonts w:asciiTheme="majorHAnsi" w:hAnsiTheme="majorHAnsi" w:cstheme="majorHAnsi"/>
        </w:rPr>
        <w:t xml:space="preserve"> </w:t>
      </w:r>
      <w:r w:rsidR="00FE7833">
        <w:rPr>
          <w:rFonts w:asciiTheme="majorHAnsi" w:hAnsiTheme="majorHAnsi" w:cstheme="majorHAnsi"/>
        </w:rPr>
        <w:t xml:space="preserve">Where data is not available, it is estimated based on related data (e.g., vehicle ownership to estimate disaggregated fuel consumption) and regional and income </w:t>
      </w:r>
      <w:r w:rsidR="00150473">
        <w:rPr>
          <w:rFonts w:asciiTheme="majorHAnsi" w:hAnsiTheme="majorHAnsi" w:cstheme="majorHAnsi"/>
        </w:rPr>
        <w:t>averages.</w:t>
      </w:r>
      <w:r w:rsidR="00482FE5">
        <w:rPr>
          <w:rFonts w:asciiTheme="majorHAnsi" w:hAnsiTheme="majorHAnsi" w:cstheme="majorHAnsi"/>
        </w:rPr>
        <w:t xml:space="preserve"> </w:t>
      </w:r>
      <w:r w:rsidR="001732D5">
        <w:rPr>
          <w:rFonts w:asciiTheme="majorHAnsi" w:hAnsiTheme="majorHAnsi" w:cstheme="majorHAnsi"/>
        </w:rPr>
        <w:t>A significant amount of data is estimated</w:t>
      </w:r>
      <w:r w:rsidR="00665126">
        <w:rPr>
          <w:rFonts w:asciiTheme="majorHAnsi" w:hAnsiTheme="majorHAnsi" w:cstheme="majorHAnsi"/>
        </w:rPr>
        <w:t xml:space="preserve">, especially for developing countries, so it is important to request data on key variables (see </w:t>
      </w:r>
      <w:commentRangeStart w:id="1"/>
      <w:r w:rsidR="00665126">
        <w:rPr>
          <w:rFonts w:asciiTheme="majorHAnsi" w:hAnsiTheme="majorHAnsi" w:cstheme="majorHAnsi"/>
        </w:rPr>
        <w:t xml:space="preserve">here </w:t>
      </w:r>
      <w:commentRangeEnd w:id="1"/>
      <w:r w:rsidR="00624120">
        <w:rPr>
          <w:rStyle w:val="CommentReference"/>
        </w:rPr>
        <w:commentReference w:id="1"/>
      </w:r>
      <w:r w:rsidR="00665126">
        <w:rPr>
          <w:rFonts w:asciiTheme="majorHAnsi" w:hAnsiTheme="majorHAnsi" w:cstheme="majorHAnsi"/>
        </w:rPr>
        <w:t>for the data request form)</w:t>
      </w:r>
      <w:r w:rsidR="005F0D3F">
        <w:rPr>
          <w:rFonts w:asciiTheme="majorHAnsi" w:hAnsiTheme="majorHAnsi" w:cstheme="majorHAnsi"/>
        </w:rPr>
        <w:t>.</w:t>
      </w:r>
      <w:r w:rsidR="005F0D3F">
        <w:rPr>
          <w:rStyle w:val="FootnoteReference"/>
          <w:rFonts w:asciiTheme="majorHAnsi" w:hAnsiTheme="majorHAnsi" w:cstheme="majorHAnsi"/>
        </w:rPr>
        <w:footnoteReference w:id="3"/>
      </w:r>
      <w:r w:rsidR="005F0D3F">
        <w:rPr>
          <w:rFonts w:asciiTheme="majorHAnsi" w:hAnsiTheme="majorHAnsi" w:cstheme="majorHAnsi"/>
        </w:rPr>
        <w:t xml:space="preserve"> </w:t>
      </w:r>
      <w:r w:rsidR="007F7806">
        <w:rPr>
          <w:rFonts w:asciiTheme="majorHAnsi" w:hAnsiTheme="majorHAnsi" w:cstheme="majorHAnsi"/>
        </w:rPr>
        <w:t xml:space="preserve">In any case, </w:t>
      </w:r>
      <w:r w:rsidR="005F0D3F">
        <w:rPr>
          <w:rFonts w:asciiTheme="majorHAnsi" w:hAnsiTheme="majorHAnsi" w:cstheme="majorHAnsi"/>
        </w:rPr>
        <w:t>all results are benchmarked to the most recent energy balances</w:t>
      </w:r>
      <w:r w:rsidR="007F7806">
        <w:rPr>
          <w:rFonts w:asciiTheme="majorHAnsi" w:hAnsiTheme="majorHAnsi" w:cstheme="majorHAnsi"/>
        </w:rPr>
        <w:t xml:space="preserve"> which limits the size of errors.</w:t>
      </w:r>
      <w:r w:rsidR="00AB57C3">
        <w:rPr>
          <w:rFonts w:asciiTheme="majorHAnsi" w:hAnsiTheme="majorHAnsi" w:cstheme="majorHAnsi"/>
        </w:rPr>
        <w:t xml:space="preserve"> Th</w:t>
      </w:r>
      <w:r w:rsidR="005B5379">
        <w:rPr>
          <w:rFonts w:asciiTheme="majorHAnsi" w:hAnsiTheme="majorHAnsi" w:cstheme="majorHAnsi"/>
        </w:rPr>
        <w:t>is is the best global data source (</w:t>
      </w:r>
      <w:hyperlink r:id="rId14" w:history="1">
        <w:r w:rsidR="005B5379" w:rsidRPr="005B5379">
          <w:rPr>
            <w:rStyle w:val="Hyperlink"/>
            <w:rFonts w:asciiTheme="majorHAnsi" w:hAnsiTheme="majorHAnsi" w:cstheme="majorHAnsi"/>
          </w:rPr>
          <w:t>Global EV Data Explorer – Data Tools - IEA</w:t>
        </w:r>
      </w:hyperlink>
      <w:r w:rsidR="005B5379">
        <w:rPr>
          <w:rFonts w:asciiTheme="majorHAnsi" w:hAnsiTheme="majorHAnsi" w:cstheme="majorHAnsi"/>
        </w:rPr>
        <w:t>).</w:t>
      </w:r>
      <w:r w:rsidR="00AB57C3">
        <w:rPr>
          <w:rFonts w:asciiTheme="majorHAnsi" w:hAnsiTheme="majorHAnsi" w:cstheme="majorHAnsi"/>
        </w:rPr>
        <w:t xml:space="preserve"> </w:t>
      </w:r>
    </w:p>
    <w:p w14:paraId="47708AFD" w14:textId="4E3ECD2B" w:rsidR="003B44FE" w:rsidRDefault="00E67C44" w:rsidP="00E67C44">
      <w:pPr>
        <w:pStyle w:val="ListParagraph"/>
        <w:numPr>
          <w:ilvl w:val="0"/>
          <w:numId w:val="21"/>
        </w:numPr>
        <w:spacing w:line="240" w:lineRule="auto"/>
        <w:rPr>
          <w:rFonts w:asciiTheme="majorHAnsi" w:hAnsiTheme="majorHAnsi" w:cstheme="majorHAnsi"/>
        </w:rPr>
      </w:pPr>
      <w:r w:rsidRPr="00763759">
        <w:rPr>
          <w:rFonts w:asciiTheme="majorHAnsi" w:hAnsiTheme="majorHAnsi" w:cstheme="majorHAnsi"/>
          <w:i/>
          <w:iCs/>
        </w:rPr>
        <w:t>Fuel use by vehicle type:</w:t>
      </w:r>
      <w:r>
        <w:rPr>
          <w:rFonts w:asciiTheme="majorHAnsi" w:hAnsiTheme="majorHAnsi" w:cstheme="majorHAnsi"/>
        </w:rPr>
        <w:t xml:space="preserve"> t</w:t>
      </w:r>
      <w:r w:rsidR="00AA0682" w:rsidRPr="00E67C44">
        <w:rPr>
          <w:rFonts w:asciiTheme="majorHAnsi" w:hAnsiTheme="majorHAnsi" w:cstheme="majorHAnsi"/>
        </w:rPr>
        <w:t>he IEA</w:t>
      </w:r>
      <w:r w:rsidR="0013582C" w:rsidRPr="00E67C44">
        <w:rPr>
          <w:rFonts w:asciiTheme="majorHAnsi" w:hAnsiTheme="majorHAnsi" w:cstheme="majorHAnsi"/>
        </w:rPr>
        <w:t>, Enerdata, UN, and US EIA</w:t>
      </w:r>
      <w:r w:rsidR="00AA0682" w:rsidRPr="00E67C44">
        <w:rPr>
          <w:rFonts w:asciiTheme="majorHAnsi" w:hAnsiTheme="majorHAnsi" w:cstheme="majorHAnsi"/>
        </w:rPr>
        <w:t xml:space="preserve"> provides </w:t>
      </w:r>
      <w:r w:rsidR="0013582C" w:rsidRPr="00E67C44">
        <w:rPr>
          <w:rFonts w:asciiTheme="majorHAnsi" w:hAnsiTheme="majorHAnsi" w:cstheme="majorHAnsi"/>
        </w:rPr>
        <w:t xml:space="preserve">on </w:t>
      </w:r>
      <w:r w:rsidR="00AA0682" w:rsidRPr="00E67C44">
        <w:rPr>
          <w:rFonts w:asciiTheme="majorHAnsi" w:hAnsiTheme="majorHAnsi" w:cstheme="majorHAnsi"/>
        </w:rPr>
        <w:t>fuel use</w:t>
      </w:r>
      <w:r w:rsidR="00510478" w:rsidRPr="00E67C44">
        <w:rPr>
          <w:rFonts w:asciiTheme="majorHAnsi" w:hAnsiTheme="majorHAnsi" w:cstheme="majorHAnsi"/>
        </w:rPr>
        <w:t xml:space="preserve"> for road transportation as a whol</w:t>
      </w:r>
      <w:r w:rsidR="00213AC1" w:rsidRPr="00E67C44">
        <w:rPr>
          <w:rFonts w:asciiTheme="majorHAnsi" w:hAnsiTheme="majorHAnsi" w:cstheme="majorHAnsi"/>
        </w:rPr>
        <w:t>e</w:t>
      </w:r>
      <w:r>
        <w:rPr>
          <w:rFonts w:asciiTheme="majorHAnsi" w:hAnsiTheme="majorHAnsi" w:cstheme="majorHAnsi"/>
        </w:rPr>
        <w:t xml:space="preserve"> (i.e., energy balances)</w:t>
      </w:r>
      <w:r w:rsidR="00213AC1" w:rsidRPr="00E67C44">
        <w:rPr>
          <w:rFonts w:asciiTheme="majorHAnsi" w:hAnsiTheme="majorHAnsi" w:cstheme="majorHAnsi"/>
        </w:rPr>
        <w:t>—</w:t>
      </w:r>
      <w:r w:rsidR="00510478" w:rsidRPr="00E67C44">
        <w:rPr>
          <w:rFonts w:asciiTheme="majorHAnsi" w:hAnsiTheme="majorHAnsi" w:cstheme="majorHAnsi"/>
        </w:rPr>
        <w:t xml:space="preserve">this is then disaggregated </w:t>
      </w:r>
      <w:r w:rsidR="00791B58" w:rsidRPr="00E67C44">
        <w:rPr>
          <w:rFonts w:asciiTheme="majorHAnsi" w:hAnsiTheme="majorHAnsi" w:cstheme="majorHAnsi"/>
        </w:rPr>
        <w:t xml:space="preserve">to vehicle type </w:t>
      </w:r>
      <w:r>
        <w:rPr>
          <w:rFonts w:asciiTheme="majorHAnsi" w:hAnsiTheme="majorHAnsi" w:cstheme="majorHAnsi"/>
        </w:rPr>
        <w:t>(e.g., how much diesel is consumed by LDVs vs HDVs vs buses)</w:t>
      </w:r>
      <w:r w:rsidR="007A2DC8" w:rsidRPr="00E63030">
        <w:rPr>
          <w:rStyle w:val="FootnoteReference"/>
          <w:rFonts w:asciiTheme="majorHAnsi" w:hAnsiTheme="majorHAnsi" w:cstheme="majorHAnsi"/>
        </w:rPr>
        <w:footnoteReference w:id="4"/>
      </w:r>
      <w:r>
        <w:rPr>
          <w:rFonts w:asciiTheme="majorHAnsi" w:hAnsiTheme="majorHAnsi" w:cstheme="majorHAnsi"/>
        </w:rPr>
        <w:t xml:space="preserve"> </w:t>
      </w:r>
      <w:r w:rsidR="00791B58" w:rsidRPr="00E67C44">
        <w:rPr>
          <w:rFonts w:asciiTheme="majorHAnsi" w:hAnsiTheme="majorHAnsi" w:cstheme="majorHAnsi"/>
        </w:rPr>
        <w:t xml:space="preserve">based on </w:t>
      </w:r>
      <w:r w:rsidR="000C32EC" w:rsidRPr="00E67C44">
        <w:rPr>
          <w:rFonts w:asciiTheme="majorHAnsi" w:hAnsiTheme="majorHAnsi" w:cstheme="majorHAnsi"/>
        </w:rPr>
        <w:t>observed data from the IEA for about 40 countries and vehicle ownership</w:t>
      </w:r>
      <w:r w:rsidR="00213AC1" w:rsidRPr="00E67C44">
        <w:rPr>
          <w:rFonts w:asciiTheme="majorHAnsi" w:hAnsiTheme="majorHAnsi" w:cstheme="majorHAnsi"/>
        </w:rPr>
        <w:t xml:space="preserve"> </w:t>
      </w:r>
      <w:r w:rsidR="004A4286">
        <w:rPr>
          <w:rFonts w:asciiTheme="majorHAnsi" w:hAnsiTheme="majorHAnsi" w:cstheme="majorHAnsi"/>
        </w:rPr>
        <w:t xml:space="preserve">and fuel economy </w:t>
      </w:r>
      <w:r w:rsidR="00213AC1" w:rsidRPr="00E67C44">
        <w:rPr>
          <w:rFonts w:asciiTheme="majorHAnsi" w:hAnsiTheme="majorHAnsi" w:cstheme="majorHAnsi"/>
        </w:rPr>
        <w:t>for others</w:t>
      </w:r>
      <w:r w:rsidR="0013582C" w:rsidRPr="00E67C44">
        <w:rPr>
          <w:rFonts w:asciiTheme="majorHAnsi" w:hAnsiTheme="majorHAnsi" w:cstheme="majorHAnsi"/>
        </w:rPr>
        <w:t xml:space="preserve">. </w:t>
      </w:r>
    </w:p>
    <w:p w14:paraId="7B1155A8" w14:textId="003545B6" w:rsidR="003B44FE" w:rsidRPr="000422A3" w:rsidRDefault="003B44FE" w:rsidP="00E67C44">
      <w:pPr>
        <w:pStyle w:val="ListParagraph"/>
        <w:numPr>
          <w:ilvl w:val="0"/>
          <w:numId w:val="21"/>
        </w:numPr>
        <w:spacing w:line="240" w:lineRule="auto"/>
        <w:rPr>
          <w:rFonts w:asciiTheme="majorHAnsi" w:hAnsiTheme="majorHAnsi" w:cstheme="majorHAnsi"/>
          <w:i/>
          <w:iCs/>
        </w:rPr>
      </w:pPr>
      <w:r w:rsidRPr="004A4286">
        <w:rPr>
          <w:rFonts w:asciiTheme="majorHAnsi" w:hAnsiTheme="majorHAnsi" w:cstheme="majorHAnsi"/>
          <w:i/>
          <w:iCs/>
        </w:rPr>
        <w:t>Vehicle ownership by vehicle type:</w:t>
      </w:r>
      <w:r w:rsidR="0086550A">
        <w:rPr>
          <w:rFonts w:asciiTheme="majorHAnsi" w:hAnsiTheme="majorHAnsi" w:cstheme="majorHAnsi"/>
        </w:rPr>
        <w:t xml:space="preserve"> </w:t>
      </w:r>
      <w:r w:rsidR="007A2DC8">
        <w:rPr>
          <w:rFonts w:asciiTheme="majorHAnsi" w:hAnsiTheme="majorHAnsi" w:cstheme="majorHAnsi"/>
        </w:rPr>
        <w:t>the IEA and IRF provides this for around 100 countries (it is supplemented with additional data sources like CEIC).</w:t>
      </w:r>
      <w:r w:rsidR="00D418BE" w:rsidRPr="00D418BE">
        <w:rPr>
          <w:rFonts w:asciiTheme="majorHAnsi" w:hAnsiTheme="majorHAnsi" w:cstheme="majorHAnsi"/>
        </w:rPr>
        <w:t xml:space="preserve"> </w:t>
      </w:r>
      <w:r w:rsidR="00D418BE">
        <w:rPr>
          <w:rFonts w:asciiTheme="majorHAnsi" w:hAnsiTheme="majorHAnsi" w:cstheme="majorHAnsi"/>
        </w:rPr>
        <w:t xml:space="preserve">In other cases, </w:t>
      </w:r>
      <w:r w:rsidR="00D418BE" w:rsidRPr="00E67C44">
        <w:rPr>
          <w:rFonts w:asciiTheme="majorHAnsi" w:hAnsiTheme="majorHAnsi" w:cstheme="majorHAnsi"/>
        </w:rPr>
        <w:t>ownership data either comes from OICA and manual online data collection or is estimated using the Gompertz function (see below).</w:t>
      </w:r>
    </w:p>
    <w:p w14:paraId="539E4671" w14:textId="3FEB9AC0" w:rsidR="000422A3" w:rsidRDefault="000422A3" w:rsidP="00E67C44">
      <w:pPr>
        <w:pStyle w:val="ListParagraph"/>
        <w:numPr>
          <w:ilvl w:val="0"/>
          <w:numId w:val="21"/>
        </w:numPr>
        <w:spacing w:line="240" w:lineRule="auto"/>
        <w:rPr>
          <w:rFonts w:asciiTheme="majorHAnsi" w:hAnsiTheme="majorHAnsi" w:cstheme="majorHAnsi"/>
          <w:i/>
          <w:iCs/>
        </w:rPr>
      </w:pPr>
      <w:r>
        <w:rPr>
          <w:rFonts w:asciiTheme="majorHAnsi" w:hAnsiTheme="majorHAnsi" w:cstheme="majorHAnsi"/>
          <w:i/>
          <w:iCs/>
        </w:rPr>
        <w:t>Fuel economy by vehicle type:</w:t>
      </w:r>
      <w:r w:rsidR="002B6A46">
        <w:rPr>
          <w:rFonts w:asciiTheme="majorHAnsi" w:hAnsiTheme="majorHAnsi" w:cstheme="majorHAnsi"/>
          <w:i/>
          <w:iCs/>
        </w:rPr>
        <w:t xml:space="preserve"> </w:t>
      </w:r>
      <w:r w:rsidR="007A2DC8">
        <w:rPr>
          <w:rFonts w:asciiTheme="majorHAnsi" w:hAnsiTheme="majorHAnsi" w:cstheme="majorHAnsi"/>
        </w:rPr>
        <w:t xml:space="preserve">the </w:t>
      </w:r>
      <w:r w:rsidR="002B6A46">
        <w:rPr>
          <w:rFonts w:asciiTheme="majorHAnsi" w:hAnsiTheme="majorHAnsi" w:cstheme="majorHAnsi"/>
        </w:rPr>
        <w:t>IEA</w:t>
      </w:r>
      <w:r w:rsidR="007A2DC8">
        <w:rPr>
          <w:rFonts w:asciiTheme="majorHAnsi" w:hAnsiTheme="majorHAnsi" w:cstheme="majorHAnsi"/>
        </w:rPr>
        <w:t xml:space="preserve"> provides this for around 40 countries</w:t>
      </w:r>
      <w:r w:rsidR="00A25480">
        <w:rPr>
          <w:rFonts w:asciiTheme="majorHAnsi" w:hAnsiTheme="majorHAnsi" w:cstheme="majorHAnsi"/>
        </w:rPr>
        <w:t xml:space="preserve"> and has a couple </w:t>
      </w:r>
      <w:proofErr w:type="gramStart"/>
      <w:r w:rsidR="00A25480">
        <w:rPr>
          <w:rFonts w:asciiTheme="majorHAnsi" w:hAnsiTheme="majorHAnsi" w:cstheme="majorHAnsi"/>
        </w:rPr>
        <w:t>one off</w:t>
      </w:r>
      <w:proofErr w:type="gramEnd"/>
      <w:r w:rsidR="00A25480">
        <w:rPr>
          <w:rFonts w:asciiTheme="majorHAnsi" w:hAnsiTheme="majorHAnsi" w:cstheme="majorHAnsi"/>
        </w:rPr>
        <w:t xml:space="preserve"> studies</w:t>
      </w:r>
      <w:r w:rsidR="00D418BE">
        <w:rPr>
          <w:rFonts w:asciiTheme="majorHAnsi" w:hAnsiTheme="majorHAnsi" w:cstheme="majorHAnsi"/>
        </w:rPr>
        <w:t>.</w:t>
      </w:r>
      <w:r w:rsidR="00A25480" w:rsidRPr="00E63030">
        <w:rPr>
          <w:rStyle w:val="FootnoteReference"/>
          <w:rFonts w:asciiTheme="majorHAnsi" w:hAnsiTheme="majorHAnsi" w:cstheme="majorHAnsi"/>
        </w:rPr>
        <w:footnoteReference w:id="5"/>
      </w:r>
      <w:r w:rsidR="00D418BE">
        <w:rPr>
          <w:rFonts w:asciiTheme="majorHAnsi" w:hAnsiTheme="majorHAnsi" w:cstheme="majorHAnsi"/>
        </w:rPr>
        <w:t xml:space="preserve"> More has been completed manually and through ICCT total cost of ownership studies (good to do a quick search online to see if one of these is available before going on mission).</w:t>
      </w:r>
    </w:p>
    <w:p w14:paraId="1E257DF2" w14:textId="486C8EB4" w:rsidR="002B6A46" w:rsidRDefault="002B6A46" w:rsidP="00E67C44">
      <w:pPr>
        <w:pStyle w:val="ListParagraph"/>
        <w:numPr>
          <w:ilvl w:val="0"/>
          <w:numId w:val="21"/>
        </w:numPr>
        <w:spacing w:line="240" w:lineRule="auto"/>
        <w:rPr>
          <w:rFonts w:asciiTheme="majorHAnsi" w:hAnsiTheme="majorHAnsi" w:cstheme="majorHAnsi"/>
          <w:i/>
          <w:iCs/>
        </w:rPr>
      </w:pPr>
      <w:r>
        <w:rPr>
          <w:rFonts w:asciiTheme="majorHAnsi" w:hAnsiTheme="majorHAnsi" w:cstheme="majorHAnsi"/>
          <w:i/>
          <w:iCs/>
        </w:rPr>
        <w:t xml:space="preserve">Distance driven by vehicle type: </w:t>
      </w:r>
      <w:r w:rsidR="003D051B" w:rsidRPr="00E67C44">
        <w:rPr>
          <w:rFonts w:asciiTheme="majorHAnsi" w:hAnsiTheme="majorHAnsi" w:cstheme="majorHAnsi"/>
        </w:rPr>
        <w:t>VKT per vehicle is estimated so that the product of fuel economy, vehicle ownership, and VKT per vehicle matches the observed fuel consumption from road transport (sourced from the IEA or Enerdata)—if the resulting VKT per vehicle is well above what is expected for a given income level, vehicle ownership is adjusted upward to achieve the observed fuel consumption with a lower VKT and vice versa.</w:t>
      </w:r>
    </w:p>
    <w:p w14:paraId="4A235361" w14:textId="3795F252" w:rsidR="00AB57C3" w:rsidRPr="004A4286" w:rsidRDefault="00AB57C3" w:rsidP="00E67C44">
      <w:pPr>
        <w:pStyle w:val="ListParagraph"/>
        <w:numPr>
          <w:ilvl w:val="0"/>
          <w:numId w:val="21"/>
        </w:numPr>
        <w:spacing w:line="240" w:lineRule="auto"/>
        <w:rPr>
          <w:rFonts w:asciiTheme="majorHAnsi" w:hAnsiTheme="majorHAnsi" w:cstheme="majorHAnsi"/>
          <w:i/>
          <w:iCs/>
        </w:rPr>
      </w:pPr>
      <w:r>
        <w:rPr>
          <w:rFonts w:asciiTheme="majorHAnsi" w:hAnsiTheme="majorHAnsi" w:cstheme="majorHAnsi"/>
          <w:i/>
          <w:iCs/>
        </w:rPr>
        <w:t xml:space="preserve">Share of EV stock and sales: </w:t>
      </w:r>
      <w:r w:rsidRPr="00E67C44">
        <w:rPr>
          <w:rFonts w:asciiTheme="majorHAnsi" w:hAnsiTheme="majorHAnsi" w:cstheme="majorHAnsi"/>
        </w:rPr>
        <w:t>The IEA, Statista, and the EEA provide BEV and PHEV purchases for around 100 countries, which is supplemented with manual collection from online sources for another 10-20 countries.</w:t>
      </w:r>
    </w:p>
    <w:p w14:paraId="26DB1686" w14:textId="77777777" w:rsidR="00C03302" w:rsidRDefault="003B44FE" w:rsidP="00E67C44">
      <w:pPr>
        <w:pStyle w:val="ListParagraph"/>
        <w:numPr>
          <w:ilvl w:val="0"/>
          <w:numId w:val="21"/>
        </w:numPr>
        <w:spacing w:line="240" w:lineRule="auto"/>
        <w:rPr>
          <w:rFonts w:asciiTheme="majorHAnsi" w:hAnsiTheme="majorHAnsi" w:cstheme="majorHAnsi"/>
        </w:rPr>
      </w:pPr>
      <w:r w:rsidRPr="00322605">
        <w:rPr>
          <w:rFonts w:asciiTheme="majorHAnsi" w:hAnsiTheme="majorHAnsi" w:cstheme="majorHAnsi"/>
          <w:i/>
          <w:iCs/>
          <w:color w:val="auto"/>
        </w:rPr>
        <w:lastRenderedPageBreak/>
        <w:t xml:space="preserve">Share of vehicles that are new vs </w:t>
      </w:r>
      <w:proofErr w:type="gramStart"/>
      <w:r w:rsidRPr="00322605">
        <w:rPr>
          <w:rFonts w:asciiTheme="majorHAnsi" w:hAnsiTheme="majorHAnsi" w:cstheme="majorHAnsi"/>
          <w:i/>
          <w:iCs/>
          <w:color w:val="auto"/>
        </w:rPr>
        <w:t>used:</w:t>
      </w:r>
      <w:r w:rsidR="00AA0682" w:rsidRPr="00322605">
        <w:rPr>
          <w:rFonts w:asciiTheme="majorHAnsi" w:hAnsiTheme="majorHAnsi" w:cstheme="majorHAnsi"/>
          <w:color w:val="auto"/>
          <w:vertAlign w:val="superscript"/>
        </w:rPr>
        <w:t>,</w:t>
      </w:r>
      <w:proofErr w:type="gramEnd"/>
      <w:r w:rsidR="00AA0682" w:rsidRPr="00322605">
        <w:rPr>
          <w:rFonts w:asciiTheme="majorHAnsi" w:hAnsiTheme="majorHAnsi" w:cstheme="majorHAnsi"/>
          <w:color w:val="auto"/>
        </w:rPr>
        <w:t xml:space="preserve"> </w:t>
      </w:r>
      <w:r w:rsidR="003D051B">
        <w:rPr>
          <w:rFonts w:asciiTheme="majorHAnsi" w:hAnsiTheme="majorHAnsi" w:cstheme="majorHAnsi"/>
        </w:rPr>
        <w:t>t</w:t>
      </w:r>
      <w:r w:rsidR="00AA0682" w:rsidRPr="00E67C44">
        <w:rPr>
          <w:rFonts w:asciiTheme="majorHAnsi" w:hAnsiTheme="majorHAnsi" w:cstheme="majorHAnsi"/>
        </w:rPr>
        <w:t>he share of vehicles sales that are used vs. new vehicles are calculated using shares of new and used vehicle imports from the IRF and country-specific sources.</w:t>
      </w:r>
    </w:p>
    <w:p w14:paraId="37E39C32" w14:textId="2F4ABDB1" w:rsidR="00AA0682" w:rsidRPr="00E67C44" w:rsidRDefault="00C03302" w:rsidP="00E67C44">
      <w:pPr>
        <w:pStyle w:val="ListParagraph"/>
        <w:numPr>
          <w:ilvl w:val="0"/>
          <w:numId w:val="21"/>
        </w:numPr>
        <w:spacing w:line="240" w:lineRule="auto"/>
        <w:rPr>
          <w:rFonts w:asciiTheme="majorHAnsi" w:hAnsiTheme="majorHAnsi" w:cstheme="majorHAnsi"/>
        </w:rPr>
      </w:pPr>
      <w:r w:rsidRPr="00322605">
        <w:rPr>
          <w:rFonts w:asciiTheme="majorHAnsi" w:hAnsiTheme="majorHAnsi" w:cstheme="majorHAnsi"/>
          <w:i/>
          <w:iCs/>
          <w:color w:val="auto"/>
        </w:rPr>
        <w:t xml:space="preserve">Purchase price of </w:t>
      </w:r>
      <w:r w:rsidR="00A15950" w:rsidRPr="00322605">
        <w:rPr>
          <w:rFonts w:asciiTheme="majorHAnsi" w:hAnsiTheme="majorHAnsi" w:cstheme="majorHAnsi"/>
          <w:i/>
          <w:iCs/>
          <w:color w:val="auto"/>
        </w:rPr>
        <w:t>EVs and ICEVs:</w:t>
      </w:r>
      <w:r w:rsidR="00AA0682" w:rsidRPr="00322605">
        <w:rPr>
          <w:rFonts w:asciiTheme="majorHAnsi" w:hAnsiTheme="majorHAnsi" w:cstheme="majorHAnsi"/>
          <w:color w:val="auto"/>
        </w:rPr>
        <w:t xml:space="preserve"> </w:t>
      </w:r>
      <w:r w:rsidR="00C67014">
        <w:rPr>
          <w:rFonts w:asciiTheme="majorHAnsi" w:hAnsiTheme="majorHAnsi" w:cstheme="majorHAnsi"/>
          <w:color w:val="auto"/>
        </w:rPr>
        <w:t xml:space="preserve">various country specific studies (e.g., ICCT studies on </w:t>
      </w:r>
      <w:hyperlink r:id="rId15" w:history="1">
        <w:r w:rsidR="00C67014" w:rsidRPr="00C67014">
          <w:rPr>
            <w:rStyle w:val="Hyperlink"/>
            <w:rFonts w:asciiTheme="majorHAnsi" w:hAnsiTheme="majorHAnsi" w:cstheme="majorHAnsi"/>
            <w:szCs w:val="20"/>
          </w:rPr>
          <w:t>China</w:t>
        </w:r>
      </w:hyperlink>
      <w:r w:rsidR="00C67014" w:rsidRPr="00C67014">
        <w:rPr>
          <w:rFonts w:asciiTheme="majorHAnsi" w:hAnsiTheme="majorHAnsi" w:cstheme="majorHAnsi"/>
          <w:szCs w:val="20"/>
        </w:rPr>
        <w:t xml:space="preserve">, </w:t>
      </w:r>
      <w:hyperlink r:id="rId16" w:history="1">
        <w:r w:rsidR="00C67014" w:rsidRPr="00C67014">
          <w:rPr>
            <w:rStyle w:val="Hyperlink"/>
            <w:rFonts w:asciiTheme="majorHAnsi" w:hAnsiTheme="majorHAnsi" w:cstheme="majorHAnsi"/>
            <w:szCs w:val="20"/>
          </w:rPr>
          <w:t>Europe</w:t>
        </w:r>
      </w:hyperlink>
      <w:r w:rsidR="00C67014" w:rsidRPr="00C67014">
        <w:rPr>
          <w:rFonts w:asciiTheme="majorHAnsi" w:hAnsiTheme="majorHAnsi" w:cstheme="majorHAnsi"/>
          <w:szCs w:val="20"/>
        </w:rPr>
        <w:t xml:space="preserve">, </w:t>
      </w:r>
      <w:hyperlink r:id="rId17" w:history="1">
        <w:r w:rsidR="00C67014" w:rsidRPr="00C67014">
          <w:rPr>
            <w:rStyle w:val="Hyperlink"/>
            <w:rFonts w:asciiTheme="majorHAnsi" w:hAnsiTheme="majorHAnsi" w:cstheme="majorHAnsi"/>
            <w:szCs w:val="20"/>
          </w:rPr>
          <w:t>United States</w:t>
        </w:r>
      </w:hyperlink>
      <w:r w:rsidR="00C67014" w:rsidRPr="00C67014">
        <w:rPr>
          <w:rFonts w:eastAsiaTheme="minorHAnsi"/>
          <w:szCs w:val="20"/>
        </w:rPr>
        <w:t>,</w:t>
      </w:r>
      <w:r w:rsidR="00C67014" w:rsidRPr="00C67014">
        <w:rPr>
          <w:rFonts w:asciiTheme="majorHAnsi" w:hAnsiTheme="majorHAnsi" w:cstheme="majorHAnsi"/>
          <w:szCs w:val="20"/>
        </w:rPr>
        <w:t xml:space="preserve"> its </w:t>
      </w:r>
      <w:hyperlink r:id="rId18" w:history="1">
        <w:r w:rsidR="00C67014" w:rsidRPr="00C67014">
          <w:rPr>
            <w:rStyle w:val="Hyperlink"/>
            <w:rFonts w:asciiTheme="majorHAnsi" w:hAnsiTheme="majorHAnsi" w:cstheme="majorHAnsi"/>
            <w:szCs w:val="20"/>
          </w:rPr>
          <w:t>meta-analysis</w:t>
        </w:r>
      </w:hyperlink>
      <w:r w:rsidR="00C67014" w:rsidRPr="00C67014">
        <w:rPr>
          <w:szCs w:val="20"/>
        </w:rPr>
        <w:t xml:space="preserve">) </w:t>
      </w:r>
      <w:r w:rsidR="00C67014" w:rsidRPr="00C67014">
        <w:rPr>
          <w:rFonts w:asciiTheme="majorHAnsi" w:hAnsiTheme="majorHAnsi" w:cstheme="majorHAnsi"/>
          <w:color w:val="auto"/>
          <w:szCs w:val="20"/>
        </w:rPr>
        <w:t>and then extrapolating to other countries based on i</w:t>
      </w:r>
      <w:r w:rsidR="00C67014">
        <w:rPr>
          <w:rFonts w:asciiTheme="majorHAnsi" w:hAnsiTheme="majorHAnsi" w:cstheme="majorHAnsi"/>
          <w:color w:val="auto"/>
        </w:rPr>
        <w:t xml:space="preserve">ncome levels. </w:t>
      </w:r>
    </w:p>
    <w:p w14:paraId="280C5801" w14:textId="586E0CFA" w:rsidR="00FB12A6" w:rsidRDefault="00FB12A6" w:rsidP="00FB12A6">
      <w:pPr>
        <w:pStyle w:val="Heading4"/>
      </w:pPr>
      <w:r>
        <w:t>Projections</w:t>
      </w:r>
    </w:p>
    <w:p w14:paraId="31EBFA6A" w14:textId="0CA61915" w:rsidR="00AA0682" w:rsidRDefault="00AA0682" w:rsidP="00AA0682">
      <w:pPr>
        <w:spacing w:line="240" w:lineRule="auto"/>
        <w:rPr>
          <w:rFonts w:asciiTheme="majorHAnsi" w:hAnsiTheme="majorHAnsi" w:cstheme="majorHAnsi"/>
        </w:rPr>
      </w:pPr>
      <w:r>
        <w:rPr>
          <w:rFonts w:asciiTheme="majorHAnsi" w:hAnsiTheme="majorHAnsi" w:cstheme="majorHAnsi"/>
        </w:rPr>
        <w:t xml:space="preserve">Once historical data for up to 2024 is defined based on the above methodology, projections of vehicle demand, emissions, and externalities use the following steps. Road transportation demand, split between the size and stock of the vehicle fleet and distance per vehicle, adjusts to changing income, population, and fuel costs and depreciation of existing vehicles. New vehicles are split between BEVs and ICEVs according to their relative costs. The fuel economy for new ICEVs responds to changing policies, such as fuel taxes and fuel economy standards. Externality calculations follow Black and </w:t>
      </w:r>
      <w:proofErr w:type="gramStart"/>
      <w:r>
        <w:rPr>
          <w:rFonts w:asciiTheme="majorHAnsi" w:hAnsiTheme="majorHAnsi" w:cstheme="majorHAnsi"/>
        </w:rPr>
        <w:t>others</w:t>
      </w:r>
      <w:proofErr w:type="gramEnd"/>
      <w:r>
        <w:rPr>
          <w:rFonts w:asciiTheme="majorHAnsi" w:hAnsiTheme="majorHAnsi" w:cstheme="majorHAnsi"/>
        </w:rPr>
        <w:t xml:space="preserve"> 202</w:t>
      </w:r>
      <w:r w:rsidR="00A15950">
        <w:rPr>
          <w:rFonts w:asciiTheme="majorHAnsi" w:hAnsiTheme="majorHAnsi" w:cstheme="majorHAnsi"/>
        </w:rPr>
        <w:t>5</w:t>
      </w:r>
      <w:r>
        <w:rPr>
          <w:rFonts w:asciiTheme="majorHAnsi" w:hAnsiTheme="majorHAnsi" w:cstheme="majorHAnsi"/>
        </w:rPr>
        <w:t xml:space="preserve">. The combination of aggregate and the composition of vehicle and driving demand, and various policies </w:t>
      </w:r>
      <w:proofErr w:type="gramStart"/>
      <w:r>
        <w:rPr>
          <w:rFonts w:asciiTheme="majorHAnsi" w:hAnsiTheme="majorHAnsi" w:cstheme="majorHAnsi"/>
        </w:rPr>
        <w:t>allows</w:t>
      </w:r>
      <w:proofErr w:type="gramEnd"/>
      <w:r>
        <w:rPr>
          <w:rFonts w:asciiTheme="majorHAnsi" w:hAnsiTheme="majorHAnsi" w:cstheme="majorHAnsi"/>
        </w:rPr>
        <w:t xml:space="preserve"> for estimation of emissions, fiscal impacts, and externalities. Each step in the calculation is detailed below.</w:t>
      </w:r>
    </w:p>
    <w:p w14:paraId="154267B6" w14:textId="7642C71E" w:rsidR="00310891" w:rsidRDefault="00310891" w:rsidP="00310891">
      <w:pPr>
        <w:pStyle w:val="Heading4"/>
      </w:pPr>
      <w:r>
        <w:t>Vehicle demand</w:t>
      </w:r>
    </w:p>
    <w:p w14:paraId="44F27C97" w14:textId="05EA0917" w:rsidR="00AA0682" w:rsidRDefault="00AA0682" w:rsidP="00AA0682">
      <w:pPr>
        <w:pStyle w:val="ListBullet"/>
        <w:numPr>
          <w:ilvl w:val="0"/>
          <w:numId w:val="0"/>
        </w:numPr>
        <w:spacing w:line="240" w:lineRule="auto"/>
      </w:pPr>
      <w:r>
        <w:t xml:space="preserve">Total </w:t>
      </w:r>
      <w:r w:rsidR="00310891">
        <w:t xml:space="preserve">passenger </w:t>
      </w:r>
      <w:r>
        <w:t xml:space="preserve">vehicle demand is estimated </w:t>
      </w:r>
      <w:proofErr w:type="gramStart"/>
      <w:r>
        <w:t>using</w:t>
      </w:r>
      <w:proofErr w:type="gramEnd"/>
      <w:r>
        <w:t xml:space="preserve"> the Gompertz function (e.g., see Dargay and others 2006). The Gompertz function estimates (i) the saturation point of vehicle ownership (i.e., vehicle ownership if the country was as wealthy as the United States) based on urbanization and population density rates and (ii) the income elasticity of vehicle ownership, with the main feature being a large increase in ownership as country’s transition from lower middle to upper middle income. In any year, vehicle purchases are equal to the difference between current vehicle ownership after depreciation and desired vehicle ownership estimated using the Gompertz function and applying short and long-run elasticities.</w:t>
      </w:r>
      <w:r>
        <w:rPr>
          <w:rStyle w:val="FootnoteReference"/>
        </w:rPr>
        <w:footnoteReference w:id="6"/>
      </w:r>
      <w:r w:rsidR="00EB2E14">
        <w:t xml:space="preserve"> Changes in demand for heavy goods and 2-3 wheelers are calculated as</w:t>
      </w:r>
      <w:r w:rsidR="00B32C5B">
        <w:t xml:space="preserve"> a percentage of passenger vehicles using a simple regression for heavy goods and a study for 2-3 wheelers</w:t>
      </w:r>
      <w:r w:rsidR="00BF07CB">
        <w:t xml:space="preserve"> (</w:t>
      </w:r>
      <w:hyperlink r:id="rId19" w:history="1">
        <w:r w:rsidR="005F724E" w:rsidRPr="005F724E">
          <w:rPr>
            <w:rStyle w:val="Hyperlink"/>
          </w:rPr>
          <w:t>Lee 2015</w:t>
        </w:r>
      </w:hyperlink>
      <w:r w:rsidR="00BF07CB">
        <w:t>)</w:t>
      </w:r>
      <w:r w:rsidR="00B32C5B">
        <w:t xml:space="preserve"> (the share of both goods vehicles relative to passenger vehicles declines as income grows</w:t>
      </w:r>
      <w:r w:rsidR="0003076A">
        <w:t xml:space="preserve"> and 2-3 wheelers show an upside down U-shape</w:t>
      </w:r>
      <w:r w:rsidR="00B32C5B">
        <w:t>).</w:t>
      </w:r>
    </w:p>
    <w:p w14:paraId="25A27CA8" w14:textId="77777777" w:rsidR="00AA0682" w:rsidRPr="0011631A" w:rsidRDefault="00AA0682" w:rsidP="00865E1D">
      <w:pPr>
        <w:pStyle w:val="Heading4"/>
      </w:pPr>
      <w:r w:rsidRPr="0011631A">
        <w:t xml:space="preserve">Total cost </w:t>
      </w:r>
      <w:commentRangeStart w:id="2"/>
      <w:r w:rsidRPr="0011631A">
        <w:t xml:space="preserve">of </w:t>
      </w:r>
      <w:commentRangeEnd w:id="2"/>
      <w:r w:rsidR="004B4593">
        <w:rPr>
          <w:rStyle w:val="CommentReference"/>
          <w:b w:val="0"/>
          <w:bCs w:val="0"/>
          <w:i w:val="0"/>
        </w:rPr>
        <w:commentReference w:id="2"/>
      </w:r>
      <w:r w:rsidRPr="00D17E9B">
        <w:t>ownership</w:t>
      </w:r>
    </w:p>
    <w:p w14:paraId="6594FDAA" w14:textId="77777777" w:rsidR="00AA0682" w:rsidRPr="00E63030" w:rsidRDefault="00AA0682" w:rsidP="00AA0682">
      <w:pPr>
        <w:pStyle w:val="ListBullet"/>
        <w:numPr>
          <w:ilvl w:val="0"/>
          <w:numId w:val="0"/>
        </w:numPr>
        <w:spacing w:line="240" w:lineRule="auto"/>
        <w:rPr>
          <w:rFonts w:asciiTheme="majorHAnsi" w:hAnsiTheme="majorHAnsi" w:cstheme="majorHAnsi"/>
        </w:rPr>
      </w:pPr>
      <w:r>
        <w:rPr>
          <w:rFonts w:asciiTheme="majorHAnsi" w:hAnsiTheme="majorHAnsi" w:cstheme="majorHAnsi"/>
        </w:rPr>
        <w:t xml:space="preserve">The share of BEV in </w:t>
      </w:r>
      <w:r>
        <w:t xml:space="preserve">vehicle purchases </w:t>
      </w:r>
      <w:r>
        <w:rPr>
          <w:rFonts w:asciiTheme="majorHAnsi" w:hAnsiTheme="majorHAnsi" w:cstheme="majorHAnsi"/>
        </w:rPr>
        <w:t>is estimated using a total</w:t>
      </w:r>
      <w:r w:rsidRPr="00E63030">
        <w:rPr>
          <w:rFonts w:asciiTheme="majorHAnsi" w:hAnsiTheme="majorHAnsi" w:cstheme="majorHAnsi"/>
        </w:rPr>
        <w:t xml:space="preserve"> cost of ownership (TCO) </w:t>
      </w:r>
      <w:r>
        <w:rPr>
          <w:rFonts w:asciiTheme="majorHAnsi" w:hAnsiTheme="majorHAnsi" w:cstheme="majorHAnsi"/>
        </w:rPr>
        <w:t>calculation for each vehicle type</w:t>
      </w:r>
      <w:r w:rsidRPr="00E63030">
        <w:rPr>
          <w:rFonts w:asciiTheme="majorHAnsi" w:hAnsiTheme="majorHAnsi" w:cstheme="majorHAnsi"/>
        </w:rPr>
        <w:t xml:space="preserve"> (see </w:t>
      </w:r>
      <w:r w:rsidRPr="00E63030">
        <w:rPr>
          <w:rFonts w:asciiTheme="majorHAnsi" w:hAnsiTheme="majorHAnsi" w:cstheme="majorHAnsi"/>
        </w:rPr>
        <w:fldChar w:fldCharType="begin"/>
      </w:r>
      <w:r w:rsidRPr="00E63030">
        <w:rPr>
          <w:rFonts w:asciiTheme="majorHAnsi" w:hAnsiTheme="majorHAnsi" w:cstheme="majorHAnsi"/>
        </w:rPr>
        <w:instrText xml:space="preserve"> REF _Ref151123749 \h </w:instrText>
      </w:r>
      <w:r>
        <w:rPr>
          <w:rFonts w:asciiTheme="majorHAnsi" w:hAnsiTheme="majorHAnsi" w:cstheme="majorHAnsi"/>
        </w:rPr>
        <w:instrText xml:space="preserve"> \* MERGEFORMAT </w:instrText>
      </w:r>
      <w:r w:rsidRPr="00E63030">
        <w:rPr>
          <w:rFonts w:asciiTheme="majorHAnsi" w:hAnsiTheme="majorHAnsi" w:cstheme="majorHAnsi"/>
        </w:rPr>
      </w:r>
      <w:r w:rsidRPr="00E63030">
        <w:rPr>
          <w:rFonts w:asciiTheme="majorHAnsi" w:hAnsiTheme="majorHAnsi" w:cstheme="majorHAnsi"/>
        </w:rPr>
        <w:fldChar w:fldCharType="separate"/>
      </w:r>
      <w:r w:rsidRPr="00E63030">
        <w:rPr>
          <w:rFonts w:asciiTheme="majorHAnsi" w:hAnsiTheme="majorHAnsi" w:cstheme="majorHAnsi"/>
        </w:rPr>
        <w:t xml:space="preserve">Table </w:t>
      </w:r>
      <w:r w:rsidRPr="00E63030">
        <w:rPr>
          <w:rFonts w:asciiTheme="majorHAnsi" w:hAnsiTheme="majorHAnsi" w:cstheme="majorHAnsi"/>
          <w:noProof/>
        </w:rPr>
        <w:t>1</w:t>
      </w:r>
      <w:r w:rsidRPr="00E63030">
        <w:rPr>
          <w:rFonts w:asciiTheme="majorHAnsi" w:hAnsiTheme="majorHAnsi" w:cstheme="majorHAnsi"/>
        </w:rPr>
        <w:fldChar w:fldCharType="end"/>
      </w:r>
      <w:r w:rsidRPr="00E63030">
        <w:rPr>
          <w:rFonts w:asciiTheme="majorHAnsi" w:hAnsiTheme="majorHAnsi" w:cstheme="majorHAnsi"/>
        </w:rPr>
        <w:t xml:space="preserve"> for detailed assumptions). TCO is calculated as a net present value (NPV) cost of using a vehicle over its lifetime and expressed as a cost per kilometer driven. The TCO is separated into the purchase price (adjusted for depreciation), insurance, maintenance, fuel costs, and taxes on driving. </w:t>
      </w:r>
    </w:p>
    <w:p w14:paraId="1FD44B49"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The purchase price of a new vehicle is a function of the following:</w:t>
      </w:r>
    </w:p>
    <w:p w14:paraId="2E58F1E8" w14:textId="09C5C3A8"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Retail prices</w:t>
      </w:r>
      <w:r w:rsidRPr="00E63030">
        <w:rPr>
          <w:rFonts w:asciiTheme="majorHAnsi" w:hAnsiTheme="majorHAnsi" w:cstheme="majorHAnsi"/>
        </w:rPr>
        <w:t xml:space="preserve">—for </w:t>
      </w:r>
      <w:proofErr w:type="gramStart"/>
      <w:r w:rsidRPr="00E63030">
        <w:rPr>
          <w:rFonts w:asciiTheme="majorHAnsi" w:hAnsiTheme="majorHAnsi" w:cstheme="majorHAnsi"/>
        </w:rPr>
        <w:t>ICE</w:t>
      </w:r>
      <w:r>
        <w:rPr>
          <w:rFonts w:asciiTheme="majorHAnsi" w:hAnsiTheme="majorHAnsi" w:cstheme="majorHAnsi"/>
        </w:rPr>
        <w:t>V</w:t>
      </w:r>
      <w:r w:rsidRPr="00E63030">
        <w:rPr>
          <w:rFonts w:asciiTheme="majorHAnsi" w:hAnsiTheme="majorHAnsi" w:cstheme="majorHAnsi"/>
        </w:rPr>
        <w:t>s these</w:t>
      </w:r>
      <w:proofErr w:type="gramEnd"/>
      <w:r w:rsidRPr="00E63030">
        <w:rPr>
          <w:rFonts w:asciiTheme="majorHAnsi" w:hAnsiTheme="majorHAnsi" w:cstheme="majorHAnsi"/>
        </w:rPr>
        <w:t xml:space="preserve"> are projected to remain constant in the baseline for a given income level but increase as income rises</w:t>
      </w:r>
      <w:r w:rsidR="00AD116A">
        <w:rPr>
          <w:rFonts w:asciiTheme="majorHAnsi" w:hAnsiTheme="majorHAnsi" w:cstheme="majorHAnsi"/>
        </w:rPr>
        <w:t xml:space="preserve"> (elasticity of income to prices based on a survey of countries)</w:t>
      </w:r>
      <w:r w:rsidRPr="00E63030">
        <w:rPr>
          <w:rFonts w:asciiTheme="majorHAnsi" w:hAnsiTheme="majorHAnsi" w:cstheme="majorHAnsi"/>
        </w:rPr>
        <w:t xml:space="preserve">. Retail prices for </w:t>
      </w:r>
      <w:r>
        <w:rPr>
          <w:rFonts w:asciiTheme="majorHAnsi" w:hAnsiTheme="majorHAnsi" w:cstheme="majorHAnsi"/>
        </w:rPr>
        <w:t>B</w:t>
      </w:r>
      <w:r w:rsidRPr="00E63030">
        <w:rPr>
          <w:rFonts w:asciiTheme="majorHAnsi" w:hAnsiTheme="majorHAnsi" w:cstheme="majorHAnsi"/>
        </w:rPr>
        <w:t>EVs fall steeply with declining battery costs for both light- and heavy-duty EVs but increase as income rises</w:t>
      </w:r>
      <w:r w:rsidR="00AD116A">
        <w:rPr>
          <w:rFonts w:asciiTheme="majorHAnsi" w:hAnsiTheme="majorHAnsi" w:cstheme="majorHAnsi"/>
        </w:rPr>
        <w:t xml:space="preserve"> (same income elasticity as ICEVs)</w:t>
      </w:r>
      <w:r w:rsidRPr="00E63030">
        <w:rPr>
          <w:rFonts w:asciiTheme="majorHAnsi" w:hAnsiTheme="majorHAnsi" w:cstheme="majorHAnsi"/>
        </w:rPr>
        <w:t>.</w:t>
      </w:r>
    </w:p>
    <w:p w14:paraId="25452893" w14:textId="77777777"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Depreciation</w:t>
      </w:r>
      <w:r w:rsidRPr="00E63030">
        <w:rPr>
          <w:rFonts w:asciiTheme="majorHAnsi" w:hAnsiTheme="majorHAnsi" w:cstheme="majorHAnsi"/>
        </w:rPr>
        <w:t xml:space="preserve">—faster for freight vehicles due to their much higher annual mileage and faster in the first year of vehicle ownership, reflecting the sharp decline in resale value after vehicle purchase (Argonne 2021). Depreciation rates are assumed to be the same for </w:t>
      </w:r>
      <w:r>
        <w:rPr>
          <w:rFonts w:asciiTheme="majorHAnsi" w:hAnsiTheme="majorHAnsi" w:cstheme="majorHAnsi"/>
        </w:rPr>
        <w:t>B</w:t>
      </w:r>
      <w:r w:rsidRPr="00E63030">
        <w:rPr>
          <w:rFonts w:asciiTheme="majorHAnsi" w:hAnsiTheme="majorHAnsi" w:cstheme="majorHAnsi"/>
        </w:rPr>
        <w:t>EVs and ICEVs.</w:t>
      </w:r>
    </w:p>
    <w:p w14:paraId="69325A54" w14:textId="2C7EA3CE"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lastRenderedPageBreak/>
        <w:t>Salvage or resale value</w:t>
      </w:r>
      <w:r w:rsidRPr="00E63030">
        <w:rPr>
          <w:rFonts w:asciiTheme="majorHAnsi" w:hAnsiTheme="majorHAnsi" w:cstheme="majorHAnsi"/>
        </w:rPr>
        <w:t>—</w:t>
      </w:r>
      <w:r w:rsidR="00E75924">
        <w:rPr>
          <w:rFonts w:asciiTheme="majorHAnsi" w:hAnsiTheme="majorHAnsi" w:cstheme="majorHAnsi"/>
        </w:rPr>
        <w:t xml:space="preserve">this </w:t>
      </w:r>
      <w:r w:rsidRPr="00E63030">
        <w:rPr>
          <w:rFonts w:asciiTheme="majorHAnsi" w:hAnsiTheme="majorHAnsi" w:cstheme="majorHAnsi"/>
        </w:rPr>
        <w:t xml:space="preserve">reduces the </w:t>
      </w:r>
      <w:r>
        <w:rPr>
          <w:rFonts w:asciiTheme="majorHAnsi" w:hAnsiTheme="majorHAnsi" w:cstheme="majorHAnsi"/>
        </w:rPr>
        <w:t>TCO</w:t>
      </w:r>
      <w:r w:rsidRPr="00E63030">
        <w:rPr>
          <w:rFonts w:asciiTheme="majorHAnsi" w:hAnsiTheme="majorHAnsi" w:cstheme="majorHAnsi"/>
        </w:rPr>
        <w:t xml:space="preserve"> and is the vehicle’s estimated market value at the end of the ownership period. This is equal to the depreciated value of the vehicle.</w:t>
      </w:r>
    </w:p>
    <w:p w14:paraId="4BC03AEE" w14:textId="38DFC9E6" w:rsidR="00AA0682" w:rsidRPr="00E63030" w:rsidRDefault="00AA0682" w:rsidP="00AA0682">
      <w:pPr>
        <w:pStyle w:val="ListBullet"/>
        <w:numPr>
          <w:ilvl w:val="1"/>
          <w:numId w:val="18"/>
        </w:numPr>
        <w:spacing w:line="240" w:lineRule="auto"/>
        <w:rPr>
          <w:rFonts w:asciiTheme="majorHAnsi" w:hAnsiTheme="majorHAnsi" w:cstheme="majorHAnsi"/>
        </w:rPr>
      </w:pPr>
      <w:proofErr w:type="gramStart"/>
      <w:r w:rsidRPr="00E63030">
        <w:rPr>
          <w:rFonts w:asciiTheme="majorHAnsi" w:hAnsiTheme="majorHAnsi" w:cstheme="majorHAnsi"/>
          <w:i/>
        </w:rPr>
        <w:t>Discount rates</w:t>
      </w:r>
      <w:r w:rsidRPr="00E63030">
        <w:rPr>
          <w:rFonts w:asciiTheme="majorHAnsi" w:hAnsiTheme="majorHAnsi" w:cstheme="majorHAnsi"/>
        </w:rPr>
        <w:t>—discount</w:t>
      </w:r>
      <w:proofErr w:type="gramEnd"/>
      <w:r w:rsidRPr="00E63030">
        <w:rPr>
          <w:rFonts w:asciiTheme="majorHAnsi" w:hAnsiTheme="majorHAnsi" w:cstheme="majorHAnsi"/>
        </w:rPr>
        <w:t xml:space="preserve"> rates are needed to value costs across the vehicle’s lifecycle. Generally, </w:t>
      </w:r>
      <w:r>
        <w:rPr>
          <w:rFonts w:asciiTheme="majorHAnsi" w:hAnsiTheme="majorHAnsi" w:cstheme="majorHAnsi"/>
        </w:rPr>
        <w:t>B</w:t>
      </w:r>
      <w:r w:rsidRPr="00E63030">
        <w:rPr>
          <w:rFonts w:asciiTheme="majorHAnsi" w:hAnsiTheme="majorHAnsi" w:cstheme="majorHAnsi"/>
        </w:rPr>
        <w:t>EVs have higher upfront costs (e.g., retail prices) but lower future costs (e.g., fuel and maintenance) than do ICE</w:t>
      </w:r>
      <w:r w:rsidR="000976CE">
        <w:rPr>
          <w:rFonts w:asciiTheme="majorHAnsi" w:hAnsiTheme="majorHAnsi" w:cstheme="majorHAnsi"/>
        </w:rPr>
        <w:t>V</w:t>
      </w:r>
      <w:r w:rsidRPr="00E63030">
        <w:rPr>
          <w:rFonts w:asciiTheme="majorHAnsi" w:hAnsiTheme="majorHAnsi" w:cstheme="majorHAnsi"/>
        </w:rPr>
        <w:t xml:space="preserve">s so a higher discount rate, which reduces the value of future cost savings, increases the relative costs for </w:t>
      </w:r>
      <w:r>
        <w:rPr>
          <w:rFonts w:asciiTheme="majorHAnsi" w:hAnsiTheme="majorHAnsi" w:cstheme="majorHAnsi"/>
        </w:rPr>
        <w:t>B</w:t>
      </w:r>
      <w:r w:rsidRPr="00E63030">
        <w:rPr>
          <w:rFonts w:asciiTheme="majorHAnsi" w:hAnsiTheme="majorHAnsi" w:cstheme="majorHAnsi"/>
        </w:rPr>
        <w:t>EVs. The discount rate for LDVs</w:t>
      </w:r>
      <w:r>
        <w:rPr>
          <w:rFonts w:asciiTheme="majorHAnsi" w:hAnsiTheme="majorHAnsi" w:cstheme="majorHAnsi"/>
        </w:rPr>
        <w:t>/motorcycles</w:t>
      </w:r>
      <w:r w:rsidRPr="00E63030">
        <w:rPr>
          <w:rFonts w:asciiTheme="majorHAnsi" w:hAnsiTheme="majorHAnsi" w:cstheme="majorHAnsi"/>
        </w:rPr>
        <w:t xml:space="preserve"> and HDVs reflect </w:t>
      </w:r>
      <w:r w:rsidR="000976CE">
        <w:rPr>
          <w:rFonts w:asciiTheme="majorHAnsi" w:hAnsiTheme="majorHAnsi" w:cstheme="majorHAnsi"/>
        </w:rPr>
        <w:t>financing costs</w:t>
      </w:r>
      <w:r w:rsidRPr="00E63030">
        <w:rPr>
          <w:rFonts w:asciiTheme="majorHAnsi" w:hAnsiTheme="majorHAnsi" w:cstheme="majorHAnsi"/>
        </w:rPr>
        <w:t xml:space="preserve">, rather than </w:t>
      </w:r>
      <w:r w:rsidR="000976CE">
        <w:rPr>
          <w:rFonts w:asciiTheme="majorHAnsi" w:hAnsiTheme="majorHAnsi" w:cstheme="majorHAnsi"/>
        </w:rPr>
        <w:t xml:space="preserve">a social </w:t>
      </w:r>
      <w:proofErr w:type="gramStart"/>
      <w:r w:rsidR="000976CE">
        <w:rPr>
          <w:rFonts w:asciiTheme="majorHAnsi" w:hAnsiTheme="majorHAnsi" w:cstheme="majorHAnsi"/>
        </w:rPr>
        <w:t>discounting</w:t>
      </w:r>
      <w:proofErr w:type="gramEnd"/>
      <w:r w:rsidR="000976CE">
        <w:rPr>
          <w:rFonts w:asciiTheme="majorHAnsi" w:hAnsiTheme="majorHAnsi" w:cstheme="majorHAnsi"/>
        </w:rPr>
        <w:t xml:space="preserve"> rate</w:t>
      </w:r>
      <w:r w:rsidRPr="00E63030">
        <w:rPr>
          <w:rFonts w:asciiTheme="majorHAnsi" w:hAnsiTheme="majorHAnsi" w:cstheme="majorHAnsi"/>
        </w:rPr>
        <w:t xml:space="preserve">, </w:t>
      </w:r>
      <w:r w:rsidR="000976CE">
        <w:rPr>
          <w:rFonts w:asciiTheme="majorHAnsi" w:hAnsiTheme="majorHAnsi" w:cstheme="majorHAnsi"/>
        </w:rPr>
        <w:t>to better reflect consumer purchasing decisions</w:t>
      </w:r>
      <w:r w:rsidRPr="00E63030">
        <w:rPr>
          <w:rFonts w:asciiTheme="majorHAnsi" w:hAnsiTheme="majorHAnsi" w:cstheme="majorHAnsi"/>
        </w:rPr>
        <w:t>. Discount rates vary by a country’s income level, with higher rates for lower income countries</w:t>
      </w:r>
      <w:r w:rsidR="009D79DF">
        <w:rPr>
          <w:rFonts w:asciiTheme="majorHAnsi" w:hAnsiTheme="majorHAnsi" w:cstheme="majorHAnsi"/>
        </w:rPr>
        <w:t xml:space="preserve">: they are assumed to be 10% in high income countries, increasing to 30% in </w:t>
      </w:r>
      <w:proofErr w:type="gramStart"/>
      <w:r w:rsidR="009D79DF">
        <w:rPr>
          <w:rFonts w:asciiTheme="majorHAnsi" w:hAnsiTheme="majorHAnsi" w:cstheme="majorHAnsi"/>
        </w:rPr>
        <w:t>low income</w:t>
      </w:r>
      <w:proofErr w:type="gramEnd"/>
      <w:r w:rsidR="009D79DF">
        <w:rPr>
          <w:rFonts w:asciiTheme="majorHAnsi" w:hAnsiTheme="majorHAnsi" w:cstheme="majorHAnsi"/>
        </w:rPr>
        <w:t xml:space="preserve"> countries based off a </w:t>
      </w:r>
      <w:r w:rsidR="00413775">
        <w:rPr>
          <w:rFonts w:asciiTheme="majorHAnsi" w:hAnsiTheme="majorHAnsi" w:cstheme="majorHAnsi"/>
        </w:rPr>
        <w:t>quick AI search (needs to be reviewed).</w:t>
      </w:r>
    </w:p>
    <w:p w14:paraId="28A1A450" w14:textId="77777777" w:rsidR="00AA0682" w:rsidRPr="00E63030" w:rsidRDefault="00AA0682" w:rsidP="00AA0682">
      <w:pPr>
        <w:pStyle w:val="ListBullet"/>
        <w:numPr>
          <w:ilvl w:val="1"/>
          <w:numId w:val="18"/>
        </w:numPr>
        <w:spacing w:line="240" w:lineRule="auto"/>
        <w:rPr>
          <w:rFonts w:asciiTheme="majorHAnsi" w:hAnsiTheme="majorHAnsi" w:cstheme="majorHAnsi"/>
        </w:rPr>
      </w:pPr>
      <w:r>
        <w:rPr>
          <w:rFonts w:asciiTheme="majorHAnsi" w:hAnsiTheme="majorHAnsi" w:cstheme="majorHAnsi"/>
          <w:i/>
        </w:rPr>
        <w:t xml:space="preserve">Policies impacting </w:t>
      </w:r>
      <w:r w:rsidRPr="00E63030">
        <w:rPr>
          <w:rFonts w:asciiTheme="majorHAnsi" w:hAnsiTheme="majorHAnsi" w:cstheme="majorHAnsi"/>
          <w:i/>
        </w:rPr>
        <w:t>vehicle purchase</w:t>
      </w:r>
      <w:r>
        <w:rPr>
          <w:rFonts w:asciiTheme="majorHAnsi" w:hAnsiTheme="majorHAnsi" w:cstheme="majorHAnsi"/>
          <w:i/>
        </w:rPr>
        <w:t xml:space="preserve"> prices</w:t>
      </w:r>
      <w:r w:rsidRPr="00E63030">
        <w:rPr>
          <w:rFonts w:asciiTheme="majorHAnsi" w:hAnsiTheme="majorHAnsi" w:cstheme="majorHAnsi"/>
        </w:rPr>
        <w:t>—these include any modelled subsidies, feebates and existing country-specific VAT and customs for passenger vehicles.</w:t>
      </w:r>
      <w:r w:rsidRPr="00E63030">
        <w:rPr>
          <w:rStyle w:val="FootnoteReference"/>
          <w:rFonts w:asciiTheme="majorHAnsi" w:hAnsiTheme="majorHAnsi" w:cstheme="majorHAnsi"/>
        </w:rPr>
        <w:footnoteReference w:id="7"/>
      </w:r>
      <w:r w:rsidRPr="00E63030">
        <w:rPr>
          <w:rFonts w:asciiTheme="majorHAnsi" w:hAnsiTheme="majorHAnsi" w:cstheme="majorHAnsi"/>
        </w:rPr>
        <w:t xml:space="preserve"> Fuel efficiency standards are modelled as a shadow carbon price.</w:t>
      </w:r>
    </w:p>
    <w:p w14:paraId="5C296176" w14:textId="5534D56E"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iCs/>
        </w:rPr>
        <w:t>Range anxiety</w:t>
      </w:r>
      <w:r w:rsidRPr="00E63030">
        <w:rPr>
          <w:rFonts w:asciiTheme="majorHAnsi" w:hAnsiTheme="majorHAnsi" w:cstheme="majorHAnsi"/>
        </w:rPr>
        <w:t xml:space="preserve">—an additional cost for </w:t>
      </w:r>
      <w:r>
        <w:rPr>
          <w:rFonts w:asciiTheme="majorHAnsi" w:hAnsiTheme="majorHAnsi" w:cstheme="majorHAnsi"/>
        </w:rPr>
        <w:t>B</w:t>
      </w:r>
      <w:r w:rsidRPr="00E63030">
        <w:rPr>
          <w:rFonts w:asciiTheme="majorHAnsi" w:hAnsiTheme="majorHAnsi" w:cstheme="majorHAnsi"/>
        </w:rPr>
        <w:t xml:space="preserve">EVs that declines over time reflecting anxiety over charging availability and range limitations. Range anxiety is calibrated so that new sales in </w:t>
      </w:r>
      <w:r w:rsidR="00413775">
        <w:rPr>
          <w:rFonts w:asciiTheme="majorHAnsi" w:hAnsiTheme="majorHAnsi" w:cstheme="majorHAnsi"/>
        </w:rPr>
        <w:t>the latest available year</w:t>
      </w:r>
      <w:r w:rsidR="00B0580B">
        <w:rPr>
          <w:rFonts w:asciiTheme="majorHAnsi" w:hAnsiTheme="majorHAnsi" w:cstheme="majorHAnsi"/>
        </w:rPr>
        <w:t xml:space="preserve"> calculated </w:t>
      </w:r>
      <w:r>
        <w:rPr>
          <w:rFonts w:asciiTheme="majorHAnsi" w:hAnsiTheme="majorHAnsi" w:cstheme="majorHAnsi"/>
        </w:rPr>
        <w:t xml:space="preserve">in the model </w:t>
      </w:r>
      <w:r w:rsidRPr="00E63030">
        <w:rPr>
          <w:rFonts w:asciiTheme="majorHAnsi" w:hAnsiTheme="majorHAnsi" w:cstheme="majorHAnsi"/>
        </w:rPr>
        <w:t>match actual values.</w:t>
      </w:r>
      <w:r w:rsidRPr="00E63030">
        <w:rPr>
          <w:rStyle w:val="FootnoteReference"/>
          <w:rFonts w:asciiTheme="majorHAnsi" w:hAnsiTheme="majorHAnsi" w:cstheme="majorHAnsi"/>
        </w:rPr>
        <w:footnoteReference w:id="8"/>
      </w:r>
      <w:r w:rsidRPr="00E63030">
        <w:rPr>
          <w:rFonts w:asciiTheme="majorHAnsi" w:hAnsiTheme="majorHAnsi" w:cstheme="majorHAnsi"/>
        </w:rPr>
        <w:t xml:space="preserve"> For this, sales are new vehicles on the road (i.e., new vehicles and imported, used vehicles but not including second-hand vehicle sales that were already owned domestically).</w:t>
      </w:r>
    </w:p>
    <w:p w14:paraId="3A8CC1E3"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 xml:space="preserve">Maintenance costs vary with labor costs (measured by wage rates) and are lower for </w:t>
      </w:r>
      <w:r>
        <w:rPr>
          <w:rFonts w:asciiTheme="majorHAnsi" w:hAnsiTheme="majorHAnsi" w:cstheme="majorHAnsi"/>
        </w:rPr>
        <w:t>B</w:t>
      </w:r>
      <w:r w:rsidRPr="00E63030">
        <w:rPr>
          <w:rFonts w:asciiTheme="majorHAnsi" w:hAnsiTheme="majorHAnsi" w:cstheme="majorHAnsi"/>
        </w:rPr>
        <w:t>EVs than ICEVs due to fewer moving parts for the former.</w:t>
      </w:r>
    </w:p>
    <w:p w14:paraId="44F6E905"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 xml:space="preserve">Insurance is assumed to be the same for </w:t>
      </w:r>
      <w:r>
        <w:rPr>
          <w:rFonts w:asciiTheme="majorHAnsi" w:hAnsiTheme="majorHAnsi" w:cstheme="majorHAnsi"/>
        </w:rPr>
        <w:t>B</w:t>
      </w:r>
      <w:r w:rsidRPr="00E63030">
        <w:rPr>
          <w:rFonts w:asciiTheme="majorHAnsi" w:hAnsiTheme="majorHAnsi" w:cstheme="majorHAnsi"/>
        </w:rPr>
        <w:t>EVs and ICE.</w:t>
      </w:r>
    </w:p>
    <w:p w14:paraId="4F565090"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Fuel costs (from gasoline, diesel, or electricity) are a function of VKT, fuel economy, and fuel prices. Each calculation is performed separately for gasoline and diesel LDVs and then a weighted average is taken, based on ownership shares.</w:t>
      </w:r>
    </w:p>
    <w:p w14:paraId="3D5D85CB" w14:textId="2383B8C2"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Fuel prices</w:t>
      </w:r>
      <w:r w:rsidRPr="00E63030">
        <w:rPr>
          <w:rFonts w:asciiTheme="majorHAnsi" w:hAnsiTheme="majorHAnsi" w:cstheme="majorHAnsi"/>
        </w:rPr>
        <w:t xml:space="preserve">—these are </w:t>
      </w:r>
      <w:r>
        <w:rPr>
          <w:rFonts w:asciiTheme="majorHAnsi" w:hAnsiTheme="majorHAnsi" w:cstheme="majorHAnsi"/>
        </w:rPr>
        <w:t>updating following B</w:t>
      </w:r>
      <w:r w:rsidRPr="00E63030">
        <w:rPr>
          <w:rFonts w:asciiTheme="majorHAnsi" w:hAnsiTheme="majorHAnsi" w:cstheme="majorHAnsi"/>
        </w:rPr>
        <w:t>lack and others (202</w:t>
      </w:r>
      <w:r w:rsidR="00B0580B">
        <w:rPr>
          <w:rFonts w:asciiTheme="majorHAnsi" w:hAnsiTheme="majorHAnsi" w:cstheme="majorHAnsi"/>
        </w:rPr>
        <w:t>5</w:t>
      </w:r>
      <w:r w:rsidRPr="00E63030">
        <w:rPr>
          <w:rFonts w:asciiTheme="majorHAnsi" w:hAnsiTheme="majorHAnsi" w:cstheme="majorHAnsi"/>
        </w:rPr>
        <w:t>). Electricity prices include mark-ups to cover charging infrastructure costs, which decline with technological improvements and EV deployment expansion (the latter increasing charging station utilization and, thus, reducing the fixed cost of charging infrastructure).</w:t>
      </w:r>
      <w:r w:rsidRPr="00E63030">
        <w:rPr>
          <w:rStyle w:val="FootnoteReference"/>
          <w:rFonts w:asciiTheme="majorHAnsi" w:hAnsiTheme="majorHAnsi" w:cstheme="majorHAnsi"/>
        </w:rPr>
        <w:footnoteReference w:id="9"/>
      </w:r>
    </w:p>
    <w:p w14:paraId="47E2A2A6" w14:textId="77777777"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iCs/>
        </w:rPr>
        <w:t>F</w:t>
      </w:r>
      <w:r w:rsidRPr="00E63030">
        <w:rPr>
          <w:rFonts w:asciiTheme="majorHAnsi" w:hAnsiTheme="majorHAnsi" w:cstheme="majorHAnsi"/>
          <w:i/>
        </w:rPr>
        <w:t>uel economy</w:t>
      </w:r>
      <w:r w:rsidRPr="00E63030">
        <w:rPr>
          <w:rFonts w:asciiTheme="majorHAnsi" w:hAnsiTheme="majorHAnsi" w:cstheme="majorHAnsi"/>
        </w:rPr>
        <w:t xml:space="preserve">—this increases exogenously with technological improvement in the baseline for all vehicles and, additionally, with learning-by-doing and economies of scale for </w:t>
      </w:r>
      <w:r>
        <w:rPr>
          <w:rFonts w:asciiTheme="majorHAnsi" w:hAnsiTheme="majorHAnsi" w:cstheme="majorHAnsi"/>
        </w:rPr>
        <w:t>B</w:t>
      </w:r>
      <w:r w:rsidRPr="00E63030">
        <w:rPr>
          <w:rFonts w:asciiTheme="majorHAnsi" w:hAnsiTheme="majorHAnsi" w:cstheme="majorHAnsi"/>
        </w:rPr>
        <w:t xml:space="preserve">EVs. For light- and heavy-duty ICEVs and light </w:t>
      </w:r>
      <w:r>
        <w:rPr>
          <w:rFonts w:asciiTheme="majorHAnsi" w:hAnsiTheme="majorHAnsi" w:cstheme="majorHAnsi"/>
        </w:rPr>
        <w:t>B</w:t>
      </w:r>
      <w:r w:rsidRPr="00E63030">
        <w:rPr>
          <w:rFonts w:asciiTheme="majorHAnsi" w:hAnsiTheme="majorHAnsi" w:cstheme="majorHAnsi"/>
        </w:rPr>
        <w:t>EVs, the fuel economy improves one percent a year from gradual autonomous improvement, while heavy-duty EVs improve from 0.7 km per kWh in 2020 to 1.5 km per kWh in 2050 (</w:t>
      </w:r>
      <w:hyperlink r:id="rId20" w:history="1">
        <w:r w:rsidRPr="00E63030">
          <w:rPr>
            <w:rStyle w:val="Hyperlink"/>
            <w:rFonts w:asciiTheme="majorHAnsi" w:hAnsiTheme="majorHAnsi" w:cstheme="majorHAnsi"/>
          </w:rPr>
          <w:t>ICCT 2021</w:t>
        </w:r>
      </w:hyperlink>
      <w:r w:rsidRPr="00E63030">
        <w:rPr>
          <w:rFonts w:asciiTheme="majorHAnsi" w:hAnsiTheme="majorHAnsi" w:cstheme="majorHAnsi"/>
        </w:rPr>
        <w:t xml:space="preserve">). In addition, fuel economy of new </w:t>
      </w:r>
      <w:r>
        <w:rPr>
          <w:rFonts w:asciiTheme="majorHAnsi" w:hAnsiTheme="majorHAnsi" w:cstheme="majorHAnsi"/>
        </w:rPr>
        <w:t>B</w:t>
      </w:r>
      <w:r w:rsidRPr="00E63030">
        <w:rPr>
          <w:rFonts w:asciiTheme="majorHAnsi" w:hAnsiTheme="majorHAnsi" w:cstheme="majorHAnsi"/>
        </w:rPr>
        <w:t xml:space="preserve">EVs and ICEVs increases with higher fuel prices as manufactures make technological modifications and vehicle buyers shift to more fuel efficient models—elasticities of around -0.4 and -0.3 are assumed for light- and heavy-duty ICEVs but with some country variation (see </w:t>
      </w:r>
      <w:hyperlink r:id="rId21" w:history="1">
        <w:r w:rsidRPr="00E63030">
          <w:rPr>
            <w:rStyle w:val="Hyperlink"/>
            <w:rFonts w:asciiTheme="majorHAnsi" w:hAnsiTheme="majorHAnsi" w:cstheme="majorHAnsi"/>
          </w:rPr>
          <w:t>Black and others 2023</w:t>
        </w:r>
      </w:hyperlink>
      <w:r w:rsidRPr="00E63030">
        <w:rPr>
          <w:rFonts w:asciiTheme="majorHAnsi" w:hAnsiTheme="majorHAnsi" w:cstheme="majorHAnsi"/>
        </w:rPr>
        <w:t>).</w:t>
      </w:r>
      <w:r w:rsidRPr="0094046A">
        <w:rPr>
          <w:rFonts w:asciiTheme="majorHAnsi" w:hAnsiTheme="majorHAnsi" w:cstheme="majorHAnsi"/>
        </w:rPr>
        <w:t xml:space="preserve"> The fuel economy of </w:t>
      </w:r>
      <w:r>
        <w:rPr>
          <w:rFonts w:asciiTheme="majorHAnsi" w:hAnsiTheme="majorHAnsi" w:cstheme="majorHAnsi"/>
        </w:rPr>
        <w:t>B</w:t>
      </w:r>
      <w:r w:rsidRPr="0094046A">
        <w:rPr>
          <w:rFonts w:asciiTheme="majorHAnsi" w:hAnsiTheme="majorHAnsi" w:cstheme="majorHAnsi"/>
        </w:rPr>
        <w:t xml:space="preserve">EVs is assumed to be unresponsive to changes in electricity prices given the high energy efficiency of </w:t>
      </w:r>
      <w:r>
        <w:rPr>
          <w:rFonts w:asciiTheme="majorHAnsi" w:hAnsiTheme="majorHAnsi" w:cstheme="majorHAnsi"/>
        </w:rPr>
        <w:t>B</w:t>
      </w:r>
      <w:r w:rsidRPr="0094046A">
        <w:rPr>
          <w:rFonts w:asciiTheme="majorHAnsi" w:hAnsiTheme="majorHAnsi" w:cstheme="majorHAnsi"/>
        </w:rPr>
        <w:t>EVs and relatively low share of costs related to fuel.</w:t>
      </w:r>
    </w:p>
    <w:p w14:paraId="5C869557" w14:textId="77777777" w:rsidR="00AA0682" w:rsidRPr="00E63030" w:rsidRDefault="00AA0682" w:rsidP="00AA0682">
      <w:pPr>
        <w:pStyle w:val="ListBullet"/>
        <w:numPr>
          <w:ilvl w:val="1"/>
          <w:numId w:val="18"/>
        </w:numPr>
        <w:spacing w:line="240" w:lineRule="auto"/>
        <w:rPr>
          <w:rFonts w:asciiTheme="majorHAnsi" w:hAnsiTheme="majorHAnsi" w:cstheme="majorHAnsi"/>
        </w:rPr>
      </w:pPr>
      <w:r w:rsidRPr="00E63030">
        <w:rPr>
          <w:rFonts w:asciiTheme="majorHAnsi" w:hAnsiTheme="majorHAnsi" w:cstheme="majorHAnsi"/>
          <w:i/>
        </w:rPr>
        <w:t>VKT</w:t>
      </w:r>
      <w:r w:rsidRPr="00E63030">
        <w:rPr>
          <w:rFonts w:asciiTheme="majorHAnsi" w:hAnsiTheme="majorHAnsi" w:cstheme="majorHAnsi"/>
        </w:rPr>
        <w:t xml:space="preserve">—the VKT per new vehicle adjusts to fuel prices according to driving elasticities (-0.3 and -0.2 for </w:t>
      </w:r>
      <w:r>
        <w:rPr>
          <w:rFonts w:asciiTheme="majorHAnsi" w:hAnsiTheme="majorHAnsi" w:cstheme="majorHAnsi"/>
        </w:rPr>
        <w:t>LDVs/2-3 wheelers</w:t>
      </w:r>
      <w:r w:rsidRPr="00E63030">
        <w:rPr>
          <w:rFonts w:asciiTheme="majorHAnsi" w:hAnsiTheme="majorHAnsi" w:cstheme="majorHAnsi"/>
        </w:rPr>
        <w:t xml:space="preserve"> and </w:t>
      </w:r>
      <w:r>
        <w:rPr>
          <w:rFonts w:asciiTheme="majorHAnsi" w:hAnsiTheme="majorHAnsi" w:cstheme="majorHAnsi"/>
        </w:rPr>
        <w:t>HDVs</w:t>
      </w:r>
      <w:r w:rsidRPr="00E63030">
        <w:rPr>
          <w:rFonts w:asciiTheme="majorHAnsi" w:hAnsiTheme="majorHAnsi" w:cstheme="majorHAnsi"/>
        </w:rPr>
        <w:t xml:space="preserve"> respectively) and to income levels (elasticity of 0.05). It is assumed </w:t>
      </w:r>
      <w:r w:rsidRPr="00E63030">
        <w:rPr>
          <w:rFonts w:asciiTheme="majorHAnsi" w:hAnsiTheme="majorHAnsi" w:cstheme="majorHAnsi"/>
        </w:rPr>
        <w:lastRenderedPageBreak/>
        <w:t xml:space="preserve">that VKT per vehicle is identical between </w:t>
      </w:r>
      <w:r>
        <w:rPr>
          <w:rFonts w:asciiTheme="majorHAnsi" w:hAnsiTheme="majorHAnsi" w:cstheme="majorHAnsi"/>
        </w:rPr>
        <w:t>B</w:t>
      </w:r>
      <w:r w:rsidRPr="00E63030">
        <w:rPr>
          <w:rFonts w:asciiTheme="majorHAnsi" w:hAnsiTheme="majorHAnsi" w:cstheme="majorHAnsi"/>
        </w:rPr>
        <w:t>EVs and ICEVs for TCO estimates given that evidence on driving differences are mixed.</w:t>
      </w:r>
      <w:r w:rsidRPr="00E63030">
        <w:rPr>
          <w:rStyle w:val="FootnoteReference"/>
          <w:rFonts w:asciiTheme="majorHAnsi" w:hAnsiTheme="majorHAnsi" w:cstheme="majorHAnsi"/>
        </w:rPr>
        <w:footnoteReference w:id="10"/>
      </w:r>
    </w:p>
    <w:p w14:paraId="321C1F0C" w14:textId="77777777" w:rsidR="00AA0682" w:rsidRPr="00E63030" w:rsidRDefault="00AA0682" w:rsidP="00AA0682">
      <w:pPr>
        <w:pStyle w:val="ListBullet"/>
        <w:spacing w:line="240" w:lineRule="auto"/>
        <w:rPr>
          <w:rFonts w:asciiTheme="majorHAnsi" w:hAnsiTheme="majorHAnsi" w:cstheme="majorHAnsi"/>
        </w:rPr>
      </w:pPr>
      <w:r w:rsidRPr="00E63030">
        <w:rPr>
          <w:rFonts w:asciiTheme="majorHAnsi" w:hAnsiTheme="majorHAnsi" w:cstheme="majorHAnsi"/>
        </w:rPr>
        <w:t>For used vehicles, the same calculation is performed but with the purchase price equal to the salvage value of a new vehicle and fuel economy from the year in which the vehicle was produced/sold for the first time.</w:t>
      </w:r>
    </w:p>
    <w:p w14:paraId="7BDFCD2C" w14:textId="77777777" w:rsidR="00AA0682" w:rsidRPr="00E63030" w:rsidRDefault="00AA0682" w:rsidP="00AA0682">
      <w:pPr>
        <w:pStyle w:val="FigureTitle"/>
        <w:widowControl w:val="0"/>
        <w:spacing w:line="240" w:lineRule="auto"/>
        <w:jc w:val="center"/>
        <w:rPr>
          <w:rFonts w:asciiTheme="majorHAnsi" w:hAnsiTheme="majorHAnsi" w:cstheme="majorHAnsi"/>
        </w:rPr>
      </w:pPr>
      <w:r w:rsidRPr="00E63030">
        <w:rPr>
          <w:rFonts w:asciiTheme="majorHAnsi" w:hAnsiTheme="majorHAnsi" w:cstheme="majorHAnsi"/>
        </w:rPr>
        <w:t xml:space="preserve">Table </w:t>
      </w:r>
      <w:r w:rsidRPr="00E63030">
        <w:rPr>
          <w:rFonts w:asciiTheme="majorHAnsi" w:hAnsiTheme="majorHAnsi" w:cstheme="majorHAnsi"/>
        </w:rPr>
        <w:fldChar w:fldCharType="begin"/>
      </w:r>
      <w:r w:rsidRPr="00E63030">
        <w:rPr>
          <w:rFonts w:asciiTheme="majorHAnsi" w:hAnsiTheme="majorHAnsi" w:cstheme="majorHAnsi"/>
        </w:rPr>
        <w:instrText xml:space="preserve"> SEQ Table \* ARABIC </w:instrText>
      </w:r>
      <w:r w:rsidRPr="00E63030">
        <w:rPr>
          <w:rFonts w:asciiTheme="majorHAnsi" w:hAnsiTheme="majorHAnsi" w:cstheme="majorHAnsi"/>
        </w:rPr>
        <w:fldChar w:fldCharType="separate"/>
      </w:r>
      <w:r w:rsidRPr="00E63030">
        <w:rPr>
          <w:rFonts w:asciiTheme="majorHAnsi" w:hAnsiTheme="majorHAnsi" w:cstheme="majorHAnsi"/>
          <w:noProof/>
        </w:rPr>
        <w:t>1</w:t>
      </w:r>
      <w:r w:rsidRPr="00E63030">
        <w:rPr>
          <w:rFonts w:asciiTheme="majorHAnsi" w:hAnsiTheme="majorHAnsi" w:cstheme="majorHAnsi"/>
          <w:noProof/>
        </w:rPr>
        <w:fldChar w:fldCharType="end"/>
      </w:r>
      <w:r w:rsidRPr="00E63030">
        <w:rPr>
          <w:rFonts w:asciiTheme="majorHAnsi" w:hAnsiTheme="majorHAnsi" w:cstheme="majorHAnsi"/>
        </w:rPr>
        <w:t>: Total Cost of Ownership Parameters</w:t>
      </w:r>
    </w:p>
    <w:tbl>
      <w:tblPr>
        <w:tblStyle w:val="TableGrid"/>
        <w:tblW w:w="11170" w:type="dxa"/>
        <w:jc w:val="center"/>
        <w:tblLayout w:type="fixed"/>
        <w:tblLook w:val="04A0" w:firstRow="1" w:lastRow="0" w:firstColumn="1" w:lastColumn="0" w:noHBand="0" w:noVBand="1"/>
      </w:tblPr>
      <w:tblGrid>
        <w:gridCol w:w="1435"/>
        <w:gridCol w:w="1530"/>
        <w:gridCol w:w="1530"/>
        <w:gridCol w:w="1710"/>
        <w:gridCol w:w="1800"/>
        <w:gridCol w:w="1582"/>
        <w:gridCol w:w="38"/>
        <w:gridCol w:w="1545"/>
      </w:tblGrid>
      <w:tr w:rsidR="00AA0682" w:rsidRPr="00B22244" w14:paraId="6DEF0D50" w14:textId="77777777" w:rsidTr="0011631A">
        <w:trPr>
          <w:trHeight w:val="176"/>
          <w:jc w:val="center"/>
        </w:trPr>
        <w:tc>
          <w:tcPr>
            <w:tcW w:w="1435" w:type="dxa"/>
          </w:tcPr>
          <w:p w14:paraId="53CF0B91" w14:textId="77777777" w:rsidR="00AA0682" w:rsidRPr="00B22244" w:rsidRDefault="00AA0682" w:rsidP="0011631A">
            <w:pPr>
              <w:keepNext/>
              <w:keepLines/>
              <w:widowControl w:val="0"/>
              <w:spacing w:before="0" w:line="240" w:lineRule="auto"/>
              <w:rPr>
                <w:rFonts w:asciiTheme="majorHAnsi" w:hAnsiTheme="majorHAnsi" w:cstheme="majorHAnsi"/>
                <w:b/>
                <w:bCs/>
                <w:sz w:val="18"/>
                <w:szCs w:val="18"/>
              </w:rPr>
            </w:pPr>
          </w:p>
        </w:tc>
        <w:tc>
          <w:tcPr>
            <w:tcW w:w="1530" w:type="dxa"/>
          </w:tcPr>
          <w:p w14:paraId="48FB99CF" w14:textId="1A549590"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sidRPr="00B22244">
              <w:rPr>
                <w:rFonts w:asciiTheme="majorHAnsi" w:hAnsiTheme="majorHAnsi" w:cstheme="majorHAnsi"/>
                <w:b/>
                <w:bCs/>
                <w:sz w:val="18"/>
                <w:szCs w:val="18"/>
              </w:rPr>
              <w:t xml:space="preserve">ICEV </w:t>
            </w:r>
            <w:r w:rsidR="000976CE">
              <w:rPr>
                <w:rFonts w:asciiTheme="majorHAnsi" w:hAnsiTheme="majorHAnsi" w:cstheme="majorHAnsi"/>
                <w:b/>
                <w:bCs/>
                <w:sz w:val="18"/>
                <w:szCs w:val="18"/>
              </w:rPr>
              <w:t>LDV</w:t>
            </w:r>
          </w:p>
        </w:tc>
        <w:tc>
          <w:tcPr>
            <w:tcW w:w="1530" w:type="dxa"/>
          </w:tcPr>
          <w:p w14:paraId="774875C2" w14:textId="2787C1C3"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Pr>
                <w:rFonts w:asciiTheme="majorHAnsi" w:hAnsiTheme="majorHAnsi" w:cstheme="majorHAnsi"/>
                <w:b/>
                <w:bCs/>
                <w:sz w:val="18"/>
                <w:szCs w:val="18"/>
              </w:rPr>
              <w:t>B</w:t>
            </w:r>
            <w:r w:rsidRPr="00B22244">
              <w:rPr>
                <w:rFonts w:asciiTheme="majorHAnsi" w:hAnsiTheme="majorHAnsi" w:cstheme="majorHAnsi"/>
                <w:b/>
                <w:bCs/>
                <w:sz w:val="18"/>
                <w:szCs w:val="18"/>
              </w:rPr>
              <w:t xml:space="preserve">EV </w:t>
            </w:r>
            <w:r w:rsidR="000976CE">
              <w:rPr>
                <w:rFonts w:asciiTheme="majorHAnsi" w:hAnsiTheme="majorHAnsi" w:cstheme="majorHAnsi"/>
                <w:b/>
                <w:bCs/>
                <w:sz w:val="18"/>
                <w:szCs w:val="18"/>
              </w:rPr>
              <w:t>LDV</w:t>
            </w:r>
          </w:p>
        </w:tc>
        <w:tc>
          <w:tcPr>
            <w:tcW w:w="1710" w:type="dxa"/>
          </w:tcPr>
          <w:p w14:paraId="31DA9255" w14:textId="2AA38D9C"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sidRPr="00B22244">
              <w:rPr>
                <w:rFonts w:asciiTheme="majorHAnsi" w:hAnsiTheme="majorHAnsi" w:cstheme="majorHAnsi"/>
                <w:b/>
                <w:bCs/>
                <w:sz w:val="18"/>
                <w:szCs w:val="18"/>
              </w:rPr>
              <w:t xml:space="preserve">ICEV </w:t>
            </w:r>
            <w:r w:rsidR="000976CE">
              <w:rPr>
                <w:rFonts w:asciiTheme="majorHAnsi" w:hAnsiTheme="majorHAnsi" w:cstheme="majorHAnsi"/>
                <w:b/>
                <w:bCs/>
                <w:sz w:val="18"/>
                <w:szCs w:val="18"/>
              </w:rPr>
              <w:t>heavy duty</w:t>
            </w:r>
          </w:p>
        </w:tc>
        <w:tc>
          <w:tcPr>
            <w:tcW w:w="1800" w:type="dxa"/>
          </w:tcPr>
          <w:p w14:paraId="292C8E4A" w14:textId="63B51C76"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Pr>
                <w:rFonts w:asciiTheme="majorHAnsi" w:hAnsiTheme="majorHAnsi" w:cstheme="majorHAnsi"/>
                <w:b/>
                <w:bCs/>
                <w:sz w:val="18"/>
                <w:szCs w:val="18"/>
              </w:rPr>
              <w:t>B</w:t>
            </w:r>
            <w:r w:rsidRPr="00B22244">
              <w:rPr>
                <w:rFonts w:asciiTheme="majorHAnsi" w:hAnsiTheme="majorHAnsi" w:cstheme="majorHAnsi"/>
                <w:b/>
                <w:bCs/>
                <w:sz w:val="18"/>
                <w:szCs w:val="18"/>
              </w:rPr>
              <w:t xml:space="preserve">EV </w:t>
            </w:r>
            <w:r w:rsidR="000976CE">
              <w:rPr>
                <w:rFonts w:asciiTheme="majorHAnsi" w:hAnsiTheme="majorHAnsi" w:cstheme="majorHAnsi"/>
                <w:b/>
                <w:bCs/>
                <w:sz w:val="18"/>
                <w:szCs w:val="18"/>
              </w:rPr>
              <w:t>heavy duty</w:t>
            </w:r>
          </w:p>
        </w:tc>
        <w:tc>
          <w:tcPr>
            <w:tcW w:w="1620" w:type="dxa"/>
            <w:gridSpan w:val="2"/>
          </w:tcPr>
          <w:p w14:paraId="2D5B6455" w14:textId="77777777"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sidRPr="00B22244">
              <w:rPr>
                <w:rFonts w:asciiTheme="majorHAnsi" w:hAnsiTheme="majorHAnsi" w:cstheme="majorHAnsi"/>
                <w:b/>
                <w:bCs/>
                <w:sz w:val="18"/>
                <w:szCs w:val="18"/>
              </w:rPr>
              <w:t>ICEV motorcycle</w:t>
            </w:r>
          </w:p>
        </w:tc>
        <w:tc>
          <w:tcPr>
            <w:tcW w:w="1545" w:type="dxa"/>
          </w:tcPr>
          <w:p w14:paraId="2624D43E" w14:textId="77777777" w:rsidR="00AA0682" w:rsidRPr="00B22244" w:rsidRDefault="00AA0682" w:rsidP="0011631A">
            <w:pPr>
              <w:keepNext/>
              <w:keepLines/>
              <w:widowControl w:val="0"/>
              <w:spacing w:before="0" w:line="240" w:lineRule="auto"/>
              <w:jc w:val="center"/>
              <w:rPr>
                <w:rFonts w:asciiTheme="majorHAnsi" w:hAnsiTheme="majorHAnsi" w:cstheme="majorHAnsi"/>
                <w:b/>
                <w:bCs/>
                <w:sz w:val="18"/>
                <w:szCs w:val="18"/>
              </w:rPr>
            </w:pPr>
            <w:r>
              <w:rPr>
                <w:rFonts w:asciiTheme="majorHAnsi" w:hAnsiTheme="majorHAnsi" w:cstheme="majorHAnsi"/>
                <w:b/>
                <w:bCs/>
                <w:sz w:val="18"/>
                <w:szCs w:val="18"/>
              </w:rPr>
              <w:t>B</w:t>
            </w:r>
            <w:r w:rsidRPr="00B22244">
              <w:rPr>
                <w:rFonts w:asciiTheme="majorHAnsi" w:hAnsiTheme="majorHAnsi" w:cstheme="majorHAnsi"/>
                <w:b/>
                <w:bCs/>
                <w:sz w:val="18"/>
                <w:szCs w:val="18"/>
              </w:rPr>
              <w:t>EV motorcycle</w:t>
            </w:r>
          </w:p>
        </w:tc>
      </w:tr>
      <w:tr w:rsidR="00AA0682" w:rsidRPr="00B22244" w14:paraId="3CB69615" w14:textId="77777777" w:rsidTr="0011631A">
        <w:trPr>
          <w:trHeight w:val="144"/>
          <w:jc w:val="center"/>
        </w:trPr>
        <w:tc>
          <w:tcPr>
            <w:tcW w:w="1435" w:type="dxa"/>
          </w:tcPr>
          <w:p w14:paraId="06DE9826"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New vehicle purchase price</w:t>
            </w:r>
          </w:p>
        </w:tc>
        <w:tc>
          <w:tcPr>
            <w:tcW w:w="3060" w:type="dxa"/>
            <w:gridSpan w:val="2"/>
          </w:tcPr>
          <w:p w14:paraId="247F9471"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hyperlink r:id="rId22" w:history="1">
              <w:r w:rsidRPr="00B22244">
                <w:rPr>
                  <w:rStyle w:val="Hyperlink"/>
                  <w:rFonts w:asciiTheme="majorHAnsi" w:hAnsiTheme="majorHAnsi" w:cstheme="majorHAnsi"/>
                  <w:sz w:val="18"/>
                  <w:szCs w:val="18"/>
                </w:rPr>
                <w:t>IEA</w:t>
              </w:r>
            </w:hyperlink>
            <w:r w:rsidRPr="00B22244">
              <w:rPr>
                <w:sz w:val="18"/>
                <w:szCs w:val="18"/>
              </w:rPr>
              <w:t xml:space="preserve"> and A</w:t>
            </w:r>
            <w:r w:rsidRPr="00B22244">
              <w:rPr>
                <w:rFonts w:asciiTheme="majorHAnsi" w:hAnsiTheme="majorHAnsi" w:cstheme="majorHAnsi"/>
                <w:sz w:val="18"/>
                <w:szCs w:val="18"/>
              </w:rPr>
              <w:t>rgonne, see chart below</w:t>
            </w:r>
          </w:p>
        </w:tc>
        <w:tc>
          <w:tcPr>
            <w:tcW w:w="3510" w:type="dxa"/>
            <w:gridSpan w:val="2"/>
          </w:tcPr>
          <w:p w14:paraId="4D6E7417"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ICCT, see chart below</w:t>
            </w:r>
          </w:p>
        </w:tc>
        <w:tc>
          <w:tcPr>
            <w:tcW w:w="3165" w:type="dxa"/>
            <w:gridSpan w:val="3"/>
          </w:tcPr>
          <w:p w14:paraId="2168634F"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IEA, see chart below</w:t>
            </w:r>
          </w:p>
        </w:tc>
      </w:tr>
      <w:tr w:rsidR="00AA0682" w:rsidRPr="00B22244" w14:paraId="3A378290" w14:textId="77777777" w:rsidTr="0011631A">
        <w:trPr>
          <w:trHeight w:val="554"/>
          <w:jc w:val="center"/>
        </w:trPr>
        <w:tc>
          <w:tcPr>
            <w:tcW w:w="1435" w:type="dxa"/>
          </w:tcPr>
          <w:p w14:paraId="43A868F0"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Depreciation</w:t>
            </w:r>
          </w:p>
        </w:tc>
        <w:tc>
          <w:tcPr>
            <w:tcW w:w="3060" w:type="dxa"/>
            <w:gridSpan w:val="2"/>
          </w:tcPr>
          <w:p w14:paraId="2ECE99B4"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30% in first year and then linearly depreciated over 19 years, new cars sold at 10 years</w:t>
            </w:r>
          </w:p>
        </w:tc>
        <w:tc>
          <w:tcPr>
            <w:tcW w:w="3510" w:type="dxa"/>
            <w:gridSpan w:val="2"/>
          </w:tcPr>
          <w:p w14:paraId="46EB520D"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 xml:space="preserve">30% in first year and then linearly depreciated over 7 years, sold </w:t>
            </w:r>
            <w:proofErr w:type="gramStart"/>
            <w:r w:rsidRPr="00B22244">
              <w:rPr>
                <w:rFonts w:asciiTheme="majorHAnsi" w:hAnsiTheme="majorHAnsi" w:cstheme="majorHAnsi"/>
                <w:sz w:val="18"/>
                <w:szCs w:val="18"/>
              </w:rPr>
              <w:t>at</w:t>
            </w:r>
            <w:proofErr w:type="gramEnd"/>
            <w:r w:rsidRPr="00B22244">
              <w:rPr>
                <w:rFonts w:asciiTheme="majorHAnsi" w:hAnsiTheme="majorHAnsi" w:cstheme="majorHAnsi"/>
                <w:sz w:val="18"/>
                <w:szCs w:val="18"/>
              </w:rPr>
              <w:t xml:space="preserve"> year 5</w:t>
            </w:r>
          </w:p>
        </w:tc>
        <w:tc>
          <w:tcPr>
            <w:tcW w:w="3165" w:type="dxa"/>
            <w:gridSpan w:val="3"/>
          </w:tcPr>
          <w:p w14:paraId="4CB7976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Linearly over 5 years (ICCT)</w:t>
            </w:r>
          </w:p>
        </w:tc>
      </w:tr>
      <w:tr w:rsidR="00AA0682" w:rsidRPr="00B22244" w14:paraId="02B36B66" w14:textId="77777777" w:rsidTr="0011631A">
        <w:trPr>
          <w:trHeight w:val="365"/>
          <w:jc w:val="center"/>
        </w:trPr>
        <w:tc>
          <w:tcPr>
            <w:tcW w:w="1435" w:type="dxa"/>
          </w:tcPr>
          <w:p w14:paraId="7E98A0BB"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Energy cost</w:t>
            </w:r>
          </w:p>
        </w:tc>
        <w:tc>
          <w:tcPr>
            <w:tcW w:w="9735" w:type="dxa"/>
            <w:gridSpan w:val="7"/>
          </w:tcPr>
          <w:p w14:paraId="405B1EA5"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 xml:space="preserve">Country-specific (see </w:t>
            </w:r>
            <w:hyperlink r:id="rId23" w:history="1">
              <w:r w:rsidRPr="00B22244">
                <w:rPr>
                  <w:rStyle w:val="Hyperlink"/>
                  <w:rFonts w:asciiTheme="majorHAnsi" w:hAnsiTheme="majorHAnsi" w:cstheme="majorHAnsi"/>
                  <w:sz w:val="18"/>
                  <w:szCs w:val="18"/>
                </w:rPr>
                <w:t>Black et al 2023 for sources</w:t>
              </w:r>
            </w:hyperlink>
            <w:r w:rsidRPr="00B22244">
              <w:rPr>
                <w:rFonts w:asciiTheme="majorHAnsi" w:hAnsiTheme="majorHAnsi" w:cstheme="majorHAnsi"/>
                <w:sz w:val="18"/>
                <w:szCs w:val="18"/>
              </w:rPr>
              <w:t xml:space="preserve">), with </w:t>
            </w:r>
            <w:r>
              <w:rPr>
                <w:rFonts w:asciiTheme="majorHAnsi" w:hAnsiTheme="majorHAnsi" w:cstheme="majorHAnsi"/>
                <w:sz w:val="18"/>
                <w:szCs w:val="18"/>
              </w:rPr>
              <w:t xml:space="preserve">additional charge that declines with EV penetration to </w:t>
            </w:r>
            <w:r w:rsidRPr="00B22244">
              <w:rPr>
                <w:rFonts w:asciiTheme="majorHAnsi" w:hAnsiTheme="majorHAnsi" w:cstheme="majorHAnsi"/>
                <w:sz w:val="18"/>
                <w:szCs w:val="18"/>
              </w:rPr>
              <w:t>recover EV charging infrastructure costs (ICCT)</w:t>
            </w:r>
          </w:p>
        </w:tc>
      </w:tr>
      <w:tr w:rsidR="00AA0682" w:rsidRPr="00B22244" w14:paraId="086157BB" w14:textId="77777777" w:rsidTr="0011631A">
        <w:trPr>
          <w:trHeight w:val="576"/>
          <w:jc w:val="center"/>
        </w:trPr>
        <w:tc>
          <w:tcPr>
            <w:tcW w:w="1435" w:type="dxa"/>
          </w:tcPr>
          <w:p w14:paraId="382BD829"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Fuel/energy efficiency</w:t>
            </w:r>
          </w:p>
        </w:tc>
        <w:tc>
          <w:tcPr>
            <w:tcW w:w="3060" w:type="dxa"/>
            <w:gridSpan w:val="2"/>
          </w:tcPr>
          <w:p w14:paraId="051067E7"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 xml:space="preserve">Country-specific </w:t>
            </w:r>
            <w:r>
              <w:rPr>
                <w:rFonts w:asciiTheme="majorHAnsi" w:hAnsiTheme="majorHAnsi" w:cstheme="majorHAnsi"/>
                <w:sz w:val="18"/>
                <w:szCs w:val="18"/>
              </w:rPr>
              <w:t xml:space="preserve">for around 30 countries </w:t>
            </w:r>
            <w:r w:rsidRPr="00B22244">
              <w:rPr>
                <w:rFonts w:asciiTheme="majorHAnsi" w:hAnsiTheme="majorHAnsi" w:cstheme="majorHAnsi"/>
                <w:sz w:val="18"/>
                <w:szCs w:val="18"/>
              </w:rPr>
              <w:t>(IEA)</w:t>
            </w:r>
            <w:r>
              <w:rPr>
                <w:rFonts w:asciiTheme="majorHAnsi" w:hAnsiTheme="majorHAnsi" w:cstheme="majorHAnsi"/>
                <w:sz w:val="18"/>
                <w:szCs w:val="18"/>
              </w:rPr>
              <w:t>, extrapolation for others</w:t>
            </w:r>
            <w:r w:rsidRPr="00B22244">
              <w:rPr>
                <w:rFonts w:asciiTheme="majorHAnsi" w:hAnsiTheme="majorHAnsi" w:cstheme="majorHAnsi"/>
                <w:sz w:val="18"/>
                <w:szCs w:val="18"/>
              </w:rPr>
              <w:t>, 1% annual improvement</w:t>
            </w:r>
          </w:p>
        </w:tc>
        <w:tc>
          <w:tcPr>
            <w:tcW w:w="1710" w:type="dxa"/>
          </w:tcPr>
          <w:p w14:paraId="616ECC94"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32</w:t>
            </w:r>
            <w:r>
              <w:rPr>
                <w:rFonts w:asciiTheme="majorHAnsi" w:hAnsiTheme="majorHAnsi" w:cstheme="majorHAnsi"/>
                <w:sz w:val="18"/>
                <w:szCs w:val="18"/>
              </w:rPr>
              <w:t>-</w:t>
            </w:r>
            <w:r w:rsidRPr="00B22244">
              <w:rPr>
                <w:rFonts w:asciiTheme="majorHAnsi" w:hAnsiTheme="majorHAnsi" w:cstheme="majorHAnsi"/>
                <w:sz w:val="18"/>
                <w:szCs w:val="18"/>
              </w:rPr>
              <w:t xml:space="preserve">63 liters per 100 km </w:t>
            </w:r>
            <w:r>
              <w:rPr>
                <w:rFonts w:asciiTheme="majorHAnsi" w:hAnsiTheme="majorHAnsi" w:cstheme="majorHAnsi"/>
                <w:sz w:val="18"/>
                <w:szCs w:val="18"/>
              </w:rPr>
              <w:t>(various</w:t>
            </w:r>
            <w:r w:rsidRPr="00B22244">
              <w:rPr>
                <w:rFonts w:asciiTheme="majorHAnsi" w:hAnsiTheme="majorHAnsi" w:cstheme="majorHAnsi"/>
                <w:sz w:val="18"/>
                <w:szCs w:val="18"/>
              </w:rPr>
              <w:t xml:space="preserve">); 2.5% </w:t>
            </w:r>
            <w:r>
              <w:rPr>
                <w:rFonts w:asciiTheme="majorHAnsi" w:hAnsiTheme="majorHAnsi" w:cstheme="majorHAnsi"/>
                <w:sz w:val="18"/>
                <w:szCs w:val="18"/>
              </w:rPr>
              <w:t>annual decline</w:t>
            </w:r>
            <w:r w:rsidRPr="00B22244">
              <w:rPr>
                <w:rFonts w:asciiTheme="majorHAnsi" w:hAnsiTheme="majorHAnsi" w:cstheme="majorHAnsi"/>
                <w:sz w:val="18"/>
                <w:szCs w:val="18"/>
              </w:rPr>
              <w:t xml:space="preserve"> (ICCT)</w:t>
            </w:r>
          </w:p>
        </w:tc>
        <w:tc>
          <w:tcPr>
            <w:tcW w:w="1800" w:type="dxa"/>
          </w:tcPr>
          <w:p w14:paraId="72AB246D"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150</w:t>
            </w:r>
            <w:r>
              <w:rPr>
                <w:rFonts w:asciiTheme="majorHAnsi" w:hAnsiTheme="majorHAnsi" w:cstheme="majorHAnsi"/>
                <w:sz w:val="18"/>
                <w:szCs w:val="18"/>
              </w:rPr>
              <w:t>-</w:t>
            </w:r>
            <w:r w:rsidRPr="00B22244">
              <w:rPr>
                <w:rFonts w:asciiTheme="majorHAnsi" w:hAnsiTheme="majorHAnsi" w:cstheme="majorHAnsi"/>
                <w:sz w:val="18"/>
                <w:szCs w:val="18"/>
              </w:rPr>
              <w:t>100 kWh per 100 km from 2020</w:t>
            </w:r>
            <w:r>
              <w:rPr>
                <w:rFonts w:asciiTheme="majorHAnsi" w:hAnsiTheme="majorHAnsi" w:cstheme="majorHAnsi"/>
                <w:sz w:val="18"/>
                <w:szCs w:val="18"/>
              </w:rPr>
              <w:t>-</w:t>
            </w:r>
            <w:r w:rsidRPr="00B22244">
              <w:rPr>
                <w:rFonts w:asciiTheme="majorHAnsi" w:hAnsiTheme="majorHAnsi" w:cstheme="majorHAnsi"/>
                <w:sz w:val="18"/>
                <w:szCs w:val="18"/>
              </w:rPr>
              <w:t>2030 (ICCT)</w:t>
            </w:r>
            <w:r>
              <w:rPr>
                <w:rFonts w:asciiTheme="majorHAnsi" w:hAnsiTheme="majorHAnsi" w:cstheme="majorHAnsi"/>
                <w:sz w:val="18"/>
                <w:szCs w:val="18"/>
              </w:rPr>
              <w:t>; continued decline</w:t>
            </w:r>
          </w:p>
        </w:tc>
        <w:tc>
          <w:tcPr>
            <w:tcW w:w="1582" w:type="dxa"/>
          </w:tcPr>
          <w:p w14:paraId="2AA1618F"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1-3 liters per 100 km</w:t>
            </w:r>
          </w:p>
        </w:tc>
        <w:tc>
          <w:tcPr>
            <w:tcW w:w="1583" w:type="dxa"/>
            <w:gridSpan w:val="2"/>
          </w:tcPr>
          <w:p w14:paraId="0C287D7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4 kWh per 100 km</w:t>
            </w:r>
          </w:p>
        </w:tc>
      </w:tr>
      <w:tr w:rsidR="00AA0682" w:rsidRPr="00B22244" w14:paraId="38C8D4B8" w14:textId="77777777" w:rsidTr="0011631A">
        <w:trPr>
          <w:trHeight w:val="288"/>
          <w:jc w:val="center"/>
        </w:trPr>
        <w:tc>
          <w:tcPr>
            <w:tcW w:w="1435" w:type="dxa"/>
          </w:tcPr>
          <w:p w14:paraId="196F6831"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Maintenance</w:t>
            </w:r>
          </w:p>
        </w:tc>
        <w:tc>
          <w:tcPr>
            <w:tcW w:w="1530" w:type="dxa"/>
          </w:tcPr>
          <w:p w14:paraId="61FCEFAC"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$0.03-</w:t>
            </w:r>
            <w:r w:rsidRPr="00B22244">
              <w:rPr>
                <w:rFonts w:asciiTheme="majorHAnsi" w:hAnsiTheme="majorHAnsi" w:cstheme="majorHAnsi"/>
                <w:sz w:val="18"/>
                <w:szCs w:val="18"/>
              </w:rPr>
              <w:t>$0.0</w:t>
            </w:r>
            <w:r>
              <w:rPr>
                <w:rFonts w:asciiTheme="majorHAnsi" w:hAnsiTheme="majorHAnsi" w:cstheme="majorHAnsi"/>
                <w:sz w:val="18"/>
                <w:szCs w:val="18"/>
              </w:rPr>
              <w:t>12</w:t>
            </w:r>
            <w:r w:rsidRPr="00B22244">
              <w:rPr>
                <w:rFonts w:asciiTheme="majorHAnsi" w:hAnsiTheme="majorHAnsi" w:cstheme="majorHAnsi"/>
                <w:sz w:val="18"/>
                <w:szCs w:val="18"/>
              </w:rPr>
              <w:t xml:space="preserve"> per km (Argonne</w:t>
            </w:r>
            <w:r>
              <w:rPr>
                <w:rFonts w:asciiTheme="majorHAnsi" w:hAnsiTheme="majorHAnsi" w:cstheme="majorHAnsi"/>
                <w:sz w:val="18"/>
                <w:szCs w:val="18"/>
              </w:rPr>
              <w:t>, ICCT</w:t>
            </w:r>
            <w:r w:rsidRPr="00B22244">
              <w:rPr>
                <w:rFonts w:asciiTheme="majorHAnsi" w:hAnsiTheme="majorHAnsi" w:cstheme="majorHAnsi"/>
                <w:sz w:val="18"/>
                <w:szCs w:val="18"/>
              </w:rPr>
              <w:t>)</w:t>
            </w:r>
          </w:p>
        </w:tc>
        <w:tc>
          <w:tcPr>
            <w:tcW w:w="1530" w:type="dxa"/>
          </w:tcPr>
          <w:p w14:paraId="3F838B7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1/3 of ICE (Argonne)</w:t>
            </w:r>
          </w:p>
        </w:tc>
        <w:tc>
          <w:tcPr>
            <w:tcW w:w="1710" w:type="dxa"/>
          </w:tcPr>
          <w:p w14:paraId="34899F2F"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$0.045</w:t>
            </w:r>
            <w:r>
              <w:rPr>
                <w:rFonts w:asciiTheme="majorHAnsi" w:hAnsiTheme="majorHAnsi" w:cstheme="majorHAnsi"/>
                <w:sz w:val="18"/>
                <w:szCs w:val="18"/>
              </w:rPr>
              <w:t>-$</w:t>
            </w:r>
            <w:r w:rsidRPr="00B22244">
              <w:rPr>
                <w:rFonts w:asciiTheme="majorHAnsi" w:hAnsiTheme="majorHAnsi" w:cstheme="majorHAnsi"/>
                <w:sz w:val="18"/>
                <w:szCs w:val="18"/>
              </w:rPr>
              <w:t>0.1</w:t>
            </w:r>
            <w:r>
              <w:rPr>
                <w:rFonts w:asciiTheme="majorHAnsi" w:hAnsiTheme="majorHAnsi" w:cstheme="majorHAnsi"/>
                <w:sz w:val="18"/>
                <w:szCs w:val="18"/>
              </w:rPr>
              <w:t>3</w:t>
            </w:r>
            <w:r w:rsidRPr="00B22244">
              <w:rPr>
                <w:rFonts w:asciiTheme="majorHAnsi" w:hAnsiTheme="majorHAnsi" w:cstheme="majorHAnsi"/>
                <w:sz w:val="18"/>
                <w:szCs w:val="18"/>
              </w:rPr>
              <w:t>5 per km (Argonne</w:t>
            </w:r>
            <w:r>
              <w:rPr>
                <w:rFonts w:asciiTheme="majorHAnsi" w:hAnsiTheme="majorHAnsi" w:cstheme="majorHAnsi"/>
                <w:sz w:val="18"/>
                <w:szCs w:val="18"/>
              </w:rPr>
              <w:t>, ICCT</w:t>
            </w:r>
            <w:r w:rsidRPr="00B22244">
              <w:rPr>
                <w:rFonts w:asciiTheme="majorHAnsi" w:hAnsiTheme="majorHAnsi" w:cstheme="majorHAnsi"/>
                <w:sz w:val="18"/>
                <w:szCs w:val="18"/>
              </w:rPr>
              <w:t>)</w:t>
            </w:r>
          </w:p>
        </w:tc>
        <w:tc>
          <w:tcPr>
            <w:tcW w:w="1800" w:type="dxa"/>
          </w:tcPr>
          <w:p w14:paraId="1EAC90D6"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w:t>
            </w:r>
            <w:r>
              <w:rPr>
                <w:rFonts w:asciiTheme="majorHAnsi" w:hAnsiTheme="majorHAnsi" w:cstheme="majorHAnsi"/>
                <w:sz w:val="18"/>
                <w:szCs w:val="18"/>
              </w:rPr>
              <w:t>3</w:t>
            </w:r>
            <w:r w:rsidRPr="00B22244">
              <w:rPr>
                <w:rFonts w:asciiTheme="majorHAnsi" w:hAnsiTheme="majorHAnsi" w:cstheme="majorHAnsi"/>
                <w:sz w:val="18"/>
                <w:szCs w:val="18"/>
              </w:rPr>
              <w:t xml:space="preserve"> of ICE (</w:t>
            </w:r>
            <w:r>
              <w:rPr>
                <w:rFonts w:asciiTheme="majorHAnsi" w:hAnsiTheme="majorHAnsi" w:cstheme="majorHAnsi"/>
                <w:sz w:val="18"/>
                <w:szCs w:val="18"/>
              </w:rPr>
              <w:t>Argonne</w:t>
            </w:r>
            <w:r w:rsidRPr="00B22244">
              <w:rPr>
                <w:rFonts w:asciiTheme="majorHAnsi" w:hAnsiTheme="majorHAnsi" w:cstheme="majorHAnsi"/>
                <w:sz w:val="18"/>
                <w:szCs w:val="18"/>
              </w:rPr>
              <w:t>)</w:t>
            </w:r>
          </w:p>
        </w:tc>
        <w:tc>
          <w:tcPr>
            <w:tcW w:w="1620" w:type="dxa"/>
            <w:gridSpan w:val="2"/>
          </w:tcPr>
          <w:p w14:paraId="5D3D358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$0.01-0.04 per km (ICCT)</w:t>
            </w:r>
          </w:p>
        </w:tc>
        <w:tc>
          <w:tcPr>
            <w:tcW w:w="1545" w:type="dxa"/>
          </w:tcPr>
          <w:p w14:paraId="103ABF48"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1/3 of ICE (</w:t>
            </w:r>
            <w:r>
              <w:rPr>
                <w:rFonts w:asciiTheme="majorHAnsi" w:hAnsiTheme="majorHAnsi" w:cstheme="majorHAnsi"/>
                <w:sz w:val="18"/>
                <w:szCs w:val="18"/>
              </w:rPr>
              <w:t>ICCT</w:t>
            </w:r>
            <w:r w:rsidRPr="00B22244">
              <w:rPr>
                <w:rFonts w:asciiTheme="majorHAnsi" w:hAnsiTheme="majorHAnsi" w:cstheme="majorHAnsi"/>
                <w:sz w:val="18"/>
                <w:szCs w:val="18"/>
              </w:rPr>
              <w:t>)</w:t>
            </w:r>
          </w:p>
        </w:tc>
      </w:tr>
      <w:tr w:rsidR="00AA0682" w:rsidRPr="00B22244" w14:paraId="12B85E87" w14:textId="77777777" w:rsidTr="0011631A">
        <w:trPr>
          <w:trHeight w:val="176"/>
          <w:jc w:val="center"/>
        </w:trPr>
        <w:tc>
          <w:tcPr>
            <w:tcW w:w="1435" w:type="dxa"/>
          </w:tcPr>
          <w:p w14:paraId="0B956D17"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 xml:space="preserve">Insurance </w:t>
            </w:r>
          </w:p>
        </w:tc>
        <w:tc>
          <w:tcPr>
            <w:tcW w:w="9735" w:type="dxa"/>
            <w:gridSpan w:val="7"/>
          </w:tcPr>
          <w:p w14:paraId="7E86C173"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1.5% of vehicle value (~Argonne)</w:t>
            </w:r>
          </w:p>
        </w:tc>
      </w:tr>
      <w:tr w:rsidR="00AA0682" w:rsidRPr="00B22244" w14:paraId="3D28D7D2" w14:textId="77777777" w:rsidTr="0011631A">
        <w:trPr>
          <w:trHeight w:val="189"/>
          <w:jc w:val="center"/>
        </w:trPr>
        <w:tc>
          <w:tcPr>
            <w:tcW w:w="1435" w:type="dxa"/>
          </w:tcPr>
          <w:p w14:paraId="460F1D5C"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VKT per year</w:t>
            </w:r>
          </w:p>
        </w:tc>
        <w:tc>
          <w:tcPr>
            <w:tcW w:w="3060" w:type="dxa"/>
            <w:gridSpan w:val="2"/>
          </w:tcPr>
          <w:p w14:paraId="4CE634BA"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Country-specific, around 10,000 km</w:t>
            </w:r>
          </w:p>
        </w:tc>
        <w:tc>
          <w:tcPr>
            <w:tcW w:w="3510" w:type="dxa"/>
            <w:gridSpan w:val="2"/>
          </w:tcPr>
          <w:p w14:paraId="3681A966"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sidRPr="00B22244">
              <w:rPr>
                <w:rFonts w:asciiTheme="majorHAnsi" w:hAnsiTheme="majorHAnsi" w:cstheme="majorHAnsi"/>
                <w:sz w:val="18"/>
                <w:szCs w:val="18"/>
              </w:rPr>
              <w:t>Country-specific, around 80,000 km</w:t>
            </w:r>
          </w:p>
        </w:tc>
        <w:tc>
          <w:tcPr>
            <w:tcW w:w="3165" w:type="dxa"/>
            <w:gridSpan w:val="3"/>
          </w:tcPr>
          <w:p w14:paraId="274C8220" w14:textId="77777777" w:rsidR="00AA0682" w:rsidRPr="00B22244" w:rsidRDefault="00AA0682" w:rsidP="0011631A">
            <w:pPr>
              <w:keepNext/>
              <w:keepLines/>
              <w:widowControl w:val="0"/>
              <w:spacing w:before="0" w:line="240" w:lineRule="auto"/>
              <w:jc w:val="center"/>
              <w:rPr>
                <w:rFonts w:asciiTheme="majorHAnsi" w:hAnsiTheme="majorHAnsi" w:cstheme="majorHAnsi"/>
                <w:sz w:val="18"/>
                <w:szCs w:val="18"/>
              </w:rPr>
            </w:pPr>
            <w:r>
              <w:rPr>
                <w:rFonts w:asciiTheme="majorHAnsi" w:hAnsiTheme="majorHAnsi" w:cstheme="majorHAnsi"/>
                <w:sz w:val="18"/>
                <w:szCs w:val="18"/>
              </w:rPr>
              <w:t>Country-specific, around X</w:t>
            </w:r>
          </w:p>
        </w:tc>
      </w:tr>
      <w:tr w:rsidR="00AA0682" w:rsidRPr="00B22244" w14:paraId="417191B7" w14:textId="77777777" w:rsidTr="0011631A">
        <w:trPr>
          <w:trHeight w:val="920"/>
          <w:jc w:val="center"/>
        </w:trPr>
        <w:tc>
          <w:tcPr>
            <w:tcW w:w="11170" w:type="dxa"/>
            <w:gridSpan w:val="8"/>
          </w:tcPr>
          <w:p w14:paraId="2EE5D037" w14:textId="77777777" w:rsidR="00AA0682" w:rsidRPr="00B22244" w:rsidRDefault="00AA0682" w:rsidP="0011631A">
            <w:pPr>
              <w:keepNext/>
              <w:keepLines/>
              <w:widowControl w:val="0"/>
              <w:spacing w:before="0" w:line="240" w:lineRule="auto"/>
              <w:rPr>
                <w:rFonts w:asciiTheme="majorHAnsi" w:hAnsiTheme="majorHAnsi" w:cstheme="majorHAnsi"/>
                <w:sz w:val="18"/>
                <w:szCs w:val="18"/>
              </w:rPr>
            </w:pPr>
            <w:r w:rsidRPr="00B22244">
              <w:rPr>
                <w:rFonts w:asciiTheme="majorHAnsi" w:hAnsiTheme="majorHAnsi" w:cstheme="majorHAnsi"/>
                <w:sz w:val="18"/>
                <w:szCs w:val="18"/>
              </w:rPr>
              <w:t xml:space="preserve">Sources: ICCT refers to the average </w:t>
            </w:r>
            <w:r w:rsidRPr="006C3C4E">
              <w:rPr>
                <w:rFonts w:asciiTheme="majorHAnsi" w:hAnsiTheme="majorHAnsi" w:cstheme="majorHAnsi"/>
                <w:sz w:val="18"/>
                <w:szCs w:val="18"/>
              </w:rPr>
              <w:t xml:space="preserve">of ICCT studies for </w:t>
            </w:r>
            <w:hyperlink r:id="rId24" w:history="1">
              <w:r w:rsidRPr="006C3C4E">
                <w:rPr>
                  <w:rStyle w:val="Hyperlink"/>
                  <w:rFonts w:asciiTheme="majorHAnsi" w:hAnsiTheme="majorHAnsi" w:cstheme="majorHAnsi"/>
                  <w:sz w:val="18"/>
                  <w:szCs w:val="18"/>
                </w:rPr>
                <w:t>China</w:t>
              </w:r>
            </w:hyperlink>
            <w:r w:rsidRPr="006C3C4E">
              <w:rPr>
                <w:rFonts w:asciiTheme="majorHAnsi" w:hAnsiTheme="majorHAnsi" w:cstheme="majorHAnsi"/>
                <w:sz w:val="18"/>
                <w:szCs w:val="18"/>
              </w:rPr>
              <w:t xml:space="preserve">, </w:t>
            </w:r>
            <w:hyperlink r:id="rId25" w:history="1">
              <w:r w:rsidRPr="006C3C4E">
                <w:rPr>
                  <w:rStyle w:val="Hyperlink"/>
                  <w:rFonts w:asciiTheme="majorHAnsi" w:hAnsiTheme="majorHAnsi" w:cstheme="majorHAnsi"/>
                  <w:sz w:val="18"/>
                  <w:szCs w:val="18"/>
                </w:rPr>
                <w:t>Europe</w:t>
              </w:r>
            </w:hyperlink>
            <w:r w:rsidRPr="006C3C4E">
              <w:rPr>
                <w:rFonts w:asciiTheme="majorHAnsi" w:hAnsiTheme="majorHAnsi" w:cstheme="majorHAnsi"/>
                <w:sz w:val="18"/>
                <w:szCs w:val="18"/>
              </w:rPr>
              <w:t xml:space="preserve">, </w:t>
            </w:r>
            <w:hyperlink r:id="rId26" w:history="1">
              <w:r w:rsidRPr="006C3C4E">
                <w:rPr>
                  <w:rStyle w:val="Hyperlink"/>
                  <w:rFonts w:asciiTheme="majorHAnsi" w:hAnsiTheme="majorHAnsi" w:cstheme="majorHAnsi"/>
                  <w:sz w:val="18"/>
                  <w:szCs w:val="18"/>
                </w:rPr>
                <w:t>United States</w:t>
              </w:r>
            </w:hyperlink>
            <w:r>
              <w:rPr>
                <w:rFonts w:eastAsiaTheme="minorHAnsi"/>
                <w:sz w:val="18"/>
                <w:szCs w:val="18"/>
              </w:rPr>
              <w:t>,</w:t>
            </w:r>
            <w:r w:rsidRPr="006C3C4E">
              <w:rPr>
                <w:rFonts w:asciiTheme="majorHAnsi" w:hAnsiTheme="majorHAnsi" w:cstheme="majorHAnsi"/>
                <w:sz w:val="18"/>
                <w:szCs w:val="18"/>
              </w:rPr>
              <w:t xml:space="preserve"> its </w:t>
            </w:r>
            <w:hyperlink r:id="rId27" w:history="1">
              <w:r w:rsidRPr="006C3C4E">
                <w:rPr>
                  <w:rStyle w:val="Hyperlink"/>
                  <w:rFonts w:asciiTheme="majorHAnsi" w:hAnsiTheme="majorHAnsi" w:cstheme="majorHAnsi"/>
                  <w:sz w:val="18"/>
                  <w:szCs w:val="18"/>
                </w:rPr>
                <w:t>meta-analysis</w:t>
              </w:r>
            </w:hyperlink>
            <w:r w:rsidRPr="006C3C4E">
              <w:rPr>
                <w:rFonts w:asciiTheme="majorHAnsi" w:hAnsiTheme="majorHAnsi" w:cstheme="majorHAnsi"/>
                <w:sz w:val="18"/>
                <w:szCs w:val="18"/>
              </w:rPr>
              <w:t xml:space="preserve"> on ZEV purchase costs,</w:t>
            </w:r>
            <w:r>
              <w:rPr>
                <w:rFonts w:asciiTheme="majorHAnsi" w:hAnsiTheme="majorHAnsi" w:cstheme="majorHAnsi"/>
                <w:sz w:val="18"/>
                <w:szCs w:val="18"/>
              </w:rPr>
              <w:t xml:space="preserve"> or a study on </w:t>
            </w:r>
            <w:hyperlink r:id="rId28" w:history="1">
              <w:r w:rsidRPr="00D17A0C">
                <w:rPr>
                  <w:rStyle w:val="Hyperlink"/>
                  <w:rFonts w:asciiTheme="majorHAnsi" w:eastAsiaTheme="minorHAnsi" w:hAnsiTheme="majorHAnsi" w:cstheme="majorHAnsi"/>
                  <w:sz w:val="18"/>
                  <w:szCs w:val="18"/>
                </w:rPr>
                <w:t>Vietnam</w:t>
              </w:r>
            </w:hyperlink>
            <w:r>
              <w:rPr>
                <w:rFonts w:asciiTheme="majorHAnsi" w:hAnsiTheme="majorHAnsi" w:cstheme="majorHAnsi"/>
                <w:sz w:val="18"/>
                <w:szCs w:val="18"/>
              </w:rPr>
              <w:t xml:space="preserve"> for 2-3 wheelers.</w:t>
            </w:r>
            <w:r w:rsidRPr="006C3C4E">
              <w:rPr>
                <w:rFonts w:asciiTheme="majorHAnsi" w:hAnsiTheme="majorHAnsi" w:cstheme="majorHAnsi"/>
                <w:sz w:val="18"/>
                <w:szCs w:val="18"/>
              </w:rPr>
              <w:t xml:space="preserve"> Argonne refers to its </w:t>
            </w:r>
            <w:hyperlink r:id="rId29" w:history="1">
              <w:r w:rsidRPr="006C3C4E">
                <w:rPr>
                  <w:rStyle w:val="Hyperlink"/>
                  <w:rFonts w:asciiTheme="majorHAnsi" w:hAnsiTheme="majorHAnsi" w:cstheme="majorHAnsi"/>
                  <w:sz w:val="18"/>
                  <w:szCs w:val="18"/>
                </w:rPr>
                <w:t>2021 TCO review</w:t>
              </w:r>
            </w:hyperlink>
            <w:r w:rsidRPr="0011631A">
              <w:rPr>
                <w:sz w:val="18"/>
                <w:szCs w:val="18"/>
              </w:rPr>
              <w:t xml:space="preserve"> and </w:t>
            </w:r>
            <w:hyperlink r:id="rId30" w:history="1">
              <w:r w:rsidRPr="0011631A">
                <w:rPr>
                  <w:rStyle w:val="Hyperlink"/>
                  <w:sz w:val="18"/>
                  <w:szCs w:val="18"/>
                </w:rPr>
                <w:t>AFLEET 2024</w:t>
              </w:r>
            </w:hyperlink>
            <w:r w:rsidRPr="006C3C4E">
              <w:rPr>
                <w:rFonts w:asciiTheme="majorHAnsi" w:hAnsiTheme="majorHAnsi" w:cstheme="majorHAnsi"/>
                <w:sz w:val="18"/>
                <w:szCs w:val="18"/>
              </w:rPr>
              <w:t xml:space="preserve">. Notes: all prices are presented in 2023 real </w:t>
            </w:r>
            <w:proofErr w:type="gramStart"/>
            <w:r w:rsidRPr="006C3C4E">
              <w:rPr>
                <w:rFonts w:asciiTheme="majorHAnsi" w:hAnsiTheme="majorHAnsi" w:cstheme="majorHAnsi"/>
                <w:sz w:val="18"/>
                <w:szCs w:val="18"/>
              </w:rPr>
              <w:t>terms</w:t>
            </w:r>
            <w:proofErr w:type="gramEnd"/>
            <w:r w:rsidRPr="006C3C4E">
              <w:rPr>
                <w:rFonts w:asciiTheme="majorHAnsi" w:hAnsiTheme="majorHAnsi" w:cstheme="majorHAnsi"/>
                <w:sz w:val="18"/>
                <w:szCs w:val="18"/>
              </w:rPr>
              <w:t>. VKT is calculated using vehicl</w:t>
            </w:r>
            <w:r w:rsidRPr="00B22244">
              <w:rPr>
                <w:rFonts w:asciiTheme="majorHAnsi" w:hAnsiTheme="majorHAnsi" w:cstheme="majorHAnsi"/>
                <w:sz w:val="18"/>
                <w:szCs w:val="18"/>
              </w:rPr>
              <w:t>e ownership, fuel consumption, and fuel economy for ICE vehicles and is scaled based on differences in cost per km for ICE and EVs and an assumed driving elasticity for EVs. The charging cost could be a function of EV ownership. For freight vehicles purchase costs, the average of straight trucks and tractor trailers is used.</w:t>
            </w:r>
          </w:p>
        </w:tc>
      </w:tr>
    </w:tbl>
    <w:p w14:paraId="3CEFFB1D" w14:textId="77777777" w:rsidR="00AA0682" w:rsidRDefault="00AA0682" w:rsidP="00AA0682">
      <w:pPr>
        <w:pStyle w:val="ListBullet"/>
        <w:numPr>
          <w:ilvl w:val="0"/>
          <w:numId w:val="0"/>
        </w:numPr>
        <w:spacing w:line="240" w:lineRule="auto"/>
        <w:rPr>
          <w:rFonts w:asciiTheme="majorHAnsi" w:hAnsiTheme="majorHAnsi" w:cstheme="majorHAnsi"/>
        </w:rPr>
      </w:pPr>
    </w:p>
    <w:tbl>
      <w:tblPr>
        <w:tblStyle w:val="TableGrid"/>
        <w:tblW w:w="10201" w:type="dxa"/>
        <w:jc w:val="center"/>
        <w:tblLook w:val="04A0" w:firstRow="1" w:lastRow="0" w:firstColumn="1" w:lastColumn="0" w:noHBand="0" w:noVBand="1"/>
      </w:tblPr>
      <w:tblGrid>
        <w:gridCol w:w="3386"/>
        <w:gridCol w:w="3407"/>
        <w:gridCol w:w="3408"/>
      </w:tblGrid>
      <w:tr w:rsidR="00AA0682" w14:paraId="45A726E3" w14:textId="77777777" w:rsidTr="00C67014">
        <w:trPr>
          <w:trHeight w:val="144"/>
          <w:jc w:val="center"/>
        </w:trPr>
        <w:tc>
          <w:tcPr>
            <w:tcW w:w="10201" w:type="dxa"/>
            <w:gridSpan w:val="3"/>
          </w:tcPr>
          <w:p w14:paraId="5D815502" w14:textId="77777777" w:rsidR="00AA0682" w:rsidRDefault="00AA0682" w:rsidP="0011631A">
            <w:pPr>
              <w:pStyle w:val="ListBullet"/>
              <w:numPr>
                <w:ilvl w:val="0"/>
                <w:numId w:val="0"/>
              </w:numPr>
              <w:spacing w:before="0" w:line="240" w:lineRule="auto"/>
              <w:rPr>
                <w:rFonts w:asciiTheme="majorHAnsi" w:hAnsiTheme="majorHAnsi" w:cstheme="majorHAnsi"/>
              </w:rPr>
            </w:pPr>
            <w:proofErr w:type="gramStart"/>
            <w:r>
              <w:t>Figure .</w:t>
            </w:r>
            <w:proofErr w:type="gramEnd"/>
            <w:r>
              <w:t xml:space="preserve"> Vehicle purchase price from 2020 to 2040</w:t>
            </w:r>
          </w:p>
        </w:tc>
      </w:tr>
      <w:tr w:rsidR="00AA0682" w14:paraId="2D11E529" w14:textId="77777777" w:rsidTr="00C67014">
        <w:trPr>
          <w:trHeight w:val="3456"/>
          <w:jc w:val="center"/>
        </w:trPr>
        <w:tc>
          <w:tcPr>
            <w:tcW w:w="3386" w:type="dxa"/>
          </w:tcPr>
          <w:p w14:paraId="388BA14A"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Passenger</w:t>
            </w:r>
          </w:p>
          <w:p w14:paraId="5FB77104" w14:textId="77777777" w:rsidR="00AA0682" w:rsidRDefault="00AA0682" w:rsidP="0011631A">
            <w:pPr>
              <w:pStyle w:val="ListBullet"/>
              <w:numPr>
                <w:ilvl w:val="0"/>
                <w:numId w:val="0"/>
              </w:numPr>
              <w:spacing w:before="0" w:line="240" w:lineRule="auto"/>
              <w:rPr>
                <w:rFonts w:asciiTheme="majorHAnsi" w:hAnsiTheme="majorHAnsi" w:cstheme="majorHAnsi"/>
              </w:rPr>
            </w:pPr>
            <w:r w:rsidRPr="00852D18">
              <w:rPr>
                <w:rFonts w:asciiTheme="majorHAnsi" w:hAnsiTheme="majorHAnsi" w:cstheme="majorHAnsi"/>
                <w:noProof/>
              </w:rPr>
              <w:drawing>
                <wp:inline distT="0" distB="0" distL="0" distR="0" wp14:anchorId="3EAF9523" wp14:editId="741639FC">
                  <wp:extent cx="1832345" cy="2194560"/>
                  <wp:effectExtent l="0" t="0" r="0" b="0"/>
                  <wp:docPr id="283892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32345" cy="2194560"/>
                          </a:xfrm>
                          <a:prstGeom prst="rect">
                            <a:avLst/>
                          </a:prstGeom>
                          <a:noFill/>
                          <a:ln>
                            <a:noFill/>
                          </a:ln>
                        </pic:spPr>
                      </pic:pic>
                    </a:graphicData>
                  </a:graphic>
                </wp:inline>
              </w:drawing>
            </w:r>
          </w:p>
        </w:tc>
        <w:tc>
          <w:tcPr>
            <w:tcW w:w="3407" w:type="dxa"/>
          </w:tcPr>
          <w:p w14:paraId="1B779E31"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Freight</w:t>
            </w:r>
          </w:p>
          <w:p w14:paraId="56FC7B51" w14:textId="77777777" w:rsidR="00AA0682" w:rsidRDefault="00AA0682" w:rsidP="0011631A">
            <w:pPr>
              <w:pStyle w:val="ListBullet"/>
              <w:numPr>
                <w:ilvl w:val="0"/>
                <w:numId w:val="0"/>
              </w:numPr>
              <w:spacing w:before="0" w:line="240" w:lineRule="auto"/>
              <w:rPr>
                <w:rFonts w:asciiTheme="majorHAnsi" w:hAnsiTheme="majorHAnsi" w:cstheme="majorHAnsi"/>
              </w:rPr>
            </w:pPr>
            <w:r w:rsidRPr="006508F9">
              <w:rPr>
                <w:rFonts w:asciiTheme="majorHAnsi" w:hAnsiTheme="majorHAnsi" w:cstheme="majorHAnsi"/>
                <w:noProof/>
              </w:rPr>
              <w:drawing>
                <wp:inline distT="0" distB="0" distL="0" distR="0" wp14:anchorId="21788CE9" wp14:editId="02800639">
                  <wp:extent cx="1828800" cy="2190313"/>
                  <wp:effectExtent l="0" t="0" r="0" b="635"/>
                  <wp:docPr id="284698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28800" cy="2190313"/>
                          </a:xfrm>
                          <a:prstGeom prst="rect">
                            <a:avLst/>
                          </a:prstGeom>
                          <a:noFill/>
                          <a:ln>
                            <a:noFill/>
                          </a:ln>
                        </pic:spPr>
                      </pic:pic>
                    </a:graphicData>
                  </a:graphic>
                </wp:inline>
              </w:drawing>
            </w:r>
          </w:p>
        </w:tc>
        <w:tc>
          <w:tcPr>
            <w:tcW w:w="3407" w:type="dxa"/>
          </w:tcPr>
          <w:p w14:paraId="2F13B123" w14:textId="77777777" w:rsidR="00AA0682" w:rsidRDefault="00AA0682" w:rsidP="0011631A">
            <w:pPr>
              <w:pStyle w:val="ListBullet"/>
              <w:numPr>
                <w:ilvl w:val="0"/>
                <w:numId w:val="0"/>
              </w:numPr>
              <w:spacing w:before="0" w:line="240" w:lineRule="auto"/>
              <w:rPr>
                <w:rFonts w:asciiTheme="majorHAnsi" w:hAnsiTheme="majorHAnsi" w:cstheme="majorHAnsi"/>
              </w:rPr>
            </w:pPr>
            <w:proofErr w:type="gramStart"/>
            <w:r>
              <w:rPr>
                <w:rFonts w:asciiTheme="majorHAnsi" w:hAnsiTheme="majorHAnsi" w:cstheme="majorHAnsi"/>
              </w:rPr>
              <w:t>2-3 wheeler</w:t>
            </w:r>
            <w:proofErr w:type="gramEnd"/>
          </w:p>
          <w:p w14:paraId="217F55F9" w14:textId="77777777" w:rsidR="00AA0682" w:rsidRDefault="00AA0682" w:rsidP="0011631A">
            <w:pPr>
              <w:pStyle w:val="ListBullet"/>
              <w:numPr>
                <w:ilvl w:val="0"/>
                <w:numId w:val="0"/>
              </w:numPr>
              <w:spacing w:before="0" w:line="240" w:lineRule="auto"/>
              <w:rPr>
                <w:rFonts w:asciiTheme="majorHAnsi" w:hAnsiTheme="majorHAnsi" w:cstheme="majorHAnsi"/>
              </w:rPr>
            </w:pPr>
            <w:r w:rsidRPr="00852D18">
              <w:rPr>
                <w:rFonts w:asciiTheme="majorHAnsi" w:hAnsiTheme="majorHAnsi" w:cstheme="majorHAnsi"/>
                <w:noProof/>
              </w:rPr>
              <w:drawing>
                <wp:inline distT="0" distB="0" distL="0" distR="0" wp14:anchorId="4A68EB30" wp14:editId="0A11CEC5">
                  <wp:extent cx="1828800" cy="2190313"/>
                  <wp:effectExtent l="0" t="0" r="0" b="635"/>
                  <wp:docPr id="1165844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8800" cy="2190313"/>
                          </a:xfrm>
                          <a:prstGeom prst="rect">
                            <a:avLst/>
                          </a:prstGeom>
                          <a:noFill/>
                          <a:ln>
                            <a:noFill/>
                          </a:ln>
                        </pic:spPr>
                      </pic:pic>
                    </a:graphicData>
                  </a:graphic>
                </wp:inline>
              </w:drawing>
            </w:r>
          </w:p>
        </w:tc>
      </w:tr>
      <w:tr w:rsidR="00AA0682" w14:paraId="3309FD33" w14:textId="77777777" w:rsidTr="00C67014">
        <w:trPr>
          <w:trHeight w:val="288"/>
          <w:jc w:val="center"/>
        </w:trPr>
        <w:tc>
          <w:tcPr>
            <w:tcW w:w="10201" w:type="dxa"/>
            <w:gridSpan w:val="3"/>
          </w:tcPr>
          <w:p w14:paraId="2291161C" w14:textId="77777777" w:rsidR="00AA0682" w:rsidRDefault="00AA0682" w:rsidP="0011631A">
            <w:pPr>
              <w:pStyle w:val="ListBullet"/>
              <w:keepNext/>
              <w:numPr>
                <w:ilvl w:val="0"/>
                <w:numId w:val="0"/>
              </w:numPr>
              <w:spacing w:before="0" w:line="240" w:lineRule="auto"/>
              <w:rPr>
                <w:rFonts w:asciiTheme="majorHAnsi" w:hAnsiTheme="majorHAnsi" w:cstheme="majorHAnsi"/>
              </w:rPr>
            </w:pPr>
            <w:r>
              <w:rPr>
                <w:rFonts w:asciiTheme="majorHAnsi" w:hAnsiTheme="majorHAnsi" w:cstheme="majorHAnsi"/>
              </w:rPr>
              <w:lastRenderedPageBreak/>
              <w:t>Source: IMF staff estimates using Argonne and ICCT.</w:t>
            </w:r>
          </w:p>
        </w:tc>
      </w:tr>
    </w:tbl>
    <w:p w14:paraId="304EE4ED" w14:textId="77777777" w:rsidR="00AA0682" w:rsidRPr="0011631A" w:rsidRDefault="00AA0682" w:rsidP="00AA0682">
      <w:pPr>
        <w:pStyle w:val="ListBullet"/>
        <w:numPr>
          <w:ilvl w:val="0"/>
          <w:numId w:val="0"/>
        </w:numPr>
        <w:spacing w:line="240" w:lineRule="auto"/>
        <w:rPr>
          <w:rFonts w:asciiTheme="majorHAnsi" w:hAnsiTheme="majorHAnsi" w:cstheme="majorHAnsi"/>
          <w:b/>
          <w:bCs/>
        </w:rPr>
      </w:pPr>
      <w:commentRangeStart w:id="4"/>
      <w:r>
        <w:rPr>
          <w:rFonts w:asciiTheme="majorHAnsi" w:hAnsiTheme="majorHAnsi" w:cstheme="majorHAnsi"/>
          <w:b/>
          <w:bCs/>
        </w:rPr>
        <w:t>B</w:t>
      </w:r>
      <w:r w:rsidRPr="0011631A">
        <w:rPr>
          <w:rFonts w:asciiTheme="majorHAnsi" w:hAnsiTheme="majorHAnsi" w:cstheme="majorHAnsi"/>
          <w:b/>
          <w:bCs/>
        </w:rPr>
        <w:t>EV shares</w:t>
      </w:r>
      <w:commentRangeEnd w:id="4"/>
      <w:r w:rsidR="00B0580B">
        <w:rPr>
          <w:rStyle w:val="CommentReference"/>
        </w:rPr>
        <w:commentReference w:id="4"/>
      </w:r>
    </w:p>
    <w:p w14:paraId="5DB132FC" w14:textId="01F5B6BB" w:rsidR="00AA0682" w:rsidRDefault="00AA0682" w:rsidP="00AA0682">
      <w:pPr>
        <w:pStyle w:val="ListBullet"/>
        <w:numPr>
          <w:ilvl w:val="0"/>
          <w:numId w:val="0"/>
        </w:numPr>
        <w:spacing w:line="240" w:lineRule="auto"/>
        <w:rPr>
          <w:rFonts w:asciiTheme="majorHAnsi" w:hAnsiTheme="majorHAnsi" w:cstheme="majorHAnsi"/>
        </w:rPr>
      </w:pPr>
      <w:r w:rsidRPr="00E63030">
        <w:rPr>
          <w:rFonts w:asciiTheme="majorHAnsi" w:hAnsiTheme="majorHAnsi" w:cstheme="majorHAnsi"/>
        </w:rPr>
        <w:t>A logit function based on the relative TCO of ICE</w:t>
      </w:r>
      <w:r>
        <w:rPr>
          <w:rFonts w:asciiTheme="majorHAnsi" w:hAnsiTheme="majorHAnsi" w:cstheme="majorHAnsi"/>
        </w:rPr>
        <w:t>V</w:t>
      </w:r>
      <w:r w:rsidRPr="00E63030">
        <w:rPr>
          <w:rFonts w:asciiTheme="majorHAnsi" w:hAnsiTheme="majorHAnsi" w:cstheme="majorHAnsi"/>
        </w:rPr>
        <w:t xml:space="preserve"> and </w:t>
      </w:r>
      <w:r>
        <w:rPr>
          <w:rFonts w:asciiTheme="majorHAnsi" w:hAnsiTheme="majorHAnsi" w:cstheme="majorHAnsi"/>
        </w:rPr>
        <w:t>B</w:t>
      </w:r>
      <w:r w:rsidRPr="00E63030">
        <w:rPr>
          <w:rFonts w:asciiTheme="majorHAnsi" w:hAnsiTheme="majorHAnsi" w:cstheme="majorHAnsi"/>
        </w:rPr>
        <w:t>EV determines the share of vehicle demand met by ICE</w:t>
      </w:r>
      <w:r>
        <w:rPr>
          <w:rFonts w:asciiTheme="majorHAnsi" w:hAnsiTheme="majorHAnsi" w:cstheme="majorHAnsi"/>
        </w:rPr>
        <w:t>V</w:t>
      </w:r>
      <w:r w:rsidRPr="00E63030">
        <w:rPr>
          <w:rFonts w:asciiTheme="majorHAnsi" w:hAnsiTheme="majorHAnsi" w:cstheme="majorHAnsi"/>
        </w:rPr>
        <w:t xml:space="preserve"> vs. </w:t>
      </w:r>
      <w:r>
        <w:rPr>
          <w:rFonts w:asciiTheme="majorHAnsi" w:hAnsiTheme="majorHAnsi" w:cstheme="majorHAnsi"/>
        </w:rPr>
        <w:t>B</w:t>
      </w:r>
      <w:r w:rsidRPr="00E63030">
        <w:rPr>
          <w:rFonts w:asciiTheme="majorHAnsi" w:hAnsiTheme="majorHAnsi" w:cstheme="majorHAnsi"/>
        </w:rPr>
        <w:t>EV</w:t>
      </w:r>
      <w:r>
        <w:rPr>
          <w:rFonts w:asciiTheme="majorHAnsi" w:hAnsiTheme="majorHAnsi" w:cstheme="majorHAnsi"/>
        </w:rPr>
        <w:t>s</w:t>
      </w:r>
      <w:r w:rsidRPr="00E63030">
        <w:rPr>
          <w:rFonts w:asciiTheme="majorHAnsi" w:hAnsiTheme="majorHAnsi" w:cstheme="majorHAnsi"/>
        </w:rPr>
        <w:t>, separately for new vs. used vehicle purchases. The logit function is fitted to minimize the difference between modelled and actual EV sales between 2015 and 202</w:t>
      </w:r>
      <w:r>
        <w:rPr>
          <w:rFonts w:asciiTheme="majorHAnsi" w:hAnsiTheme="majorHAnsi" w:cstheme="majorHAnsi"/>
        </w:rPr>
        <w:t>4</w:t>
      </w:r>
      <w:r w:rsidRPr="00E63030">
        <w:rPr>
          <w:rFonts w:asciiTheme="majorHAnsi" w:hAnsiTheme="majorHAnsi" w:cstheme="majorHAnsi"/>
        </w:rPr>
        <w:t xml:space="preserve"> for select economies.</w:t>
      </w:r>
      <w:r w:rsidRPr="00E63030">
        <w:rPr>
          <w:rStyle w:val="FootnoteReference"/>
          <w:rFonts w:asciiTheme="majorHAnsi" w:hAnsiTheme="majorHAnsi" w:cstheme="majorHAnsi"/>
        </w:rPr>
        <w:footnoteReference w:id="11"/>
      </w:r>
      <w:r w:rsidRPr="00E63030">
        <w:rPr>
          <w:rFonts w:asciiTheme="majorHAnsi" w:hAnsiTheme="majorHAnsi" w:cstheme="majorHAnsi"/>
          <w:vertAlign w:val="superscript"/>
        </w:rPr>
        <w:t>,</w:t>
      </w:r>
      <w:r w:rsidRPr="00E63030">
        <w:rPr>
          <w:rStyle w:val="FootnoteReference"/>
          <w:rFonts w:asciiTheme="majorHAnsi" w:hAnsiTheme="majorHAnsi" w:cstheme="majorHAnsi"/>
        </w:rPr>
        <w:footnoteReference w:id="12"/>
      </w:r>
      <w:r w:rsidRPr="00E63030">
        <w:rPr>
          <w:rFonts w:asciiTheme="majorHAnsi" w:hAnsiTheme="majorHAnsi" w:cstheme="majorHAnsi"/>
        </w:rPr>
        <w:t xml:space="preserve"> </w:t>
      </w:r>
    </w:p>
    <w:p w14:paraId="71FDD40C" w14:textId="6578F7B8" w:rsidR="00AA0682" w:rsidRDefault="00AA0682" w:rsidP="00AA0682">
      <w:pPr>
        <w:pStyle w:val="ListBullet"/>
        <w:numPr>
          <w:ilvl w:val="0"/>
          <w:numId w:val="0"/>
        </w:numPr>
        <w:spacing w:after="240" w:line="240" w:lineRule="auto"/>
        <w:rPr>
          <w:rFonts w:asciiTheme="majorHAnsi" w:hAnsiTheme="majorHAnsi" w:cstheme="majorHAnsi"/>
        </w:rPr>
      </w:pPr>
      <w:r>
        <w:rPr>
          <w:rFonts w:asciiTheme="majorHAnsi" w:hAnsiTheme="majorHAnsi" w:cstheme="majorHAnsi"/>
        </w:rPr>
        <w:t>The resulting shares of vehicles that are BEVs are similar to other forecasts at the global and country level (</w:t>
      </w:r>
      <w:r>
        <w:rPr>
          <w:rFonts w:asciiTheme="majorHAnsi" w:hAnsiTheme="majorHAnsi" w:cstheme="majorHAnsi"/>
        </w:rPr>
        <w:fldChar w:fldCharType="begin"/>
      </w:r>
      <w:r>
        <w:rPr>
          <w:rFonts w:asciiTheme="majorHAnsi" w:hAnsiTheme="majorHAnsi" w:cstheme="majorHAnsi"/>
        </w:rPr>
        <w:instrText xml:space="preserve"> REF _Ref199240757 \h </w:instrText>
      </w:r>
      <w:r>
        <w:rPr>
          <w:rFonts w:asciiTheme="majorHAnsi" w:hAnsiTheme="majorHAnsi" w:cstheme="majorHAnsi"/>
        </w:rPr>
      </w:r>
      <w:r>
        <w:rPr>
          <w:rFonts w:asciiTheme="majorHAnsi" w:hAnsiTheme="majorHAnsi" w:cstheme="majorHAnsi"/>
        </w:rPr>
        <w:fldChar w:fldCharType="separate"/>
      </w:r>
      <w:r>
        <w:t xml:space="preserve">Figure </w:t>
      </w:r>
      <w:r>
        <w:rPr>
          <w:noProof/>
        </w:rPr>
        <w:t>11</w:t>
      </w:r>
      <w:r>
        <w:rPr>
          <w:rFonts w:asciiTheme="majorHAnsi" w:hAnsiTheme="majorHAnsi" w:cstheme="majorHAnsi"/>
        </w:rPr>
        <w:fldChar w:fldCharType="end"/>
      </w:r>
      <w:r>
        <w:rPr>
          <w:rFonts w:asciiTheme="majorHAnsi" w:hAnsiTheme="majorHAnsi" w:cstheme="majorHAnsi"/>
        </w:rPr>
        <w:t xml:space="preserve">, </w:t>
      </w:r>
      <w:r>
        <w:rPr>
          <w:rFonts w:asciiTheme="majorHAnsi" w:hAnsiTheme="majorHAnsi" w:cstheme="majorHAnsi"/>
        </w:rPr>
        <w:fldChar w:fldCharType="begin"/>
      </w:r>
      <w:r>
        <w:rPr>
          <w:rFonts w:asciiTheme="majorHAnsi" w:hAnsiTheme="majorHAnsi" w:cstheme="majorHAnsi"/>
        </w:rPr>
        <w:instrText xml:space="preserve"> REF _Ref199240759 \h </w:instrText>
      </w:r>
      <w:r>
        <w:rPr>
          <w:rFonts w:asciiTheme="majorHAnsi" w:hAnsiTheme="majorHAnsi" w:cstheme="majorHAnsi"/>
        </w:rPr>
      </w:r>
      <w:r>
        <w:rPr>
          <w:rFonts w:asciiTheme="majorHAnsi" w:hAnsiTheme="majorHAnsi" w:cstheme="majorHAnsi"/>
        </w:rPr>
        <w:fldChar w:fldCharType="separate"/>
      </w:r>
      <w:r>
        <w:t xml:space="preserve">Figure </w:t>
      </w:r>
      <w:r>
        <w:rPr>
          <w:noProof/>
        </w:rPr>
        <w:t>12</w:t>
      </w:r>
      <w:r>
        <w:rPr>
          <w:rFonts w:asciiTheme="majorHAnsi" w:hAnsiTheme="majorHAnsi" w:cstheme="majorHAnsi"/>
        </w:rPr>
        <w:fldChar w:fldCharType="end"/>
      </w:r>
      <w:r>
        <w:rPr>
          <w:rFonts w:asciiTheme="majorHAnsi" w:hAnsiTheme="majorHAnsi" w:cstheme="majorHAnsi"/>
        </w:rPr>
        <w:t>)</w:t>
      </w:r>
      <w:r w:rsidR="00C67014">
        <w:rPr>
          <w:rFonts w:asciiTheme="majorHAnsi" w:hAnsiTheme="majorHAnsi" w:cstheme="majorHAnsi"/>
        </w:rPr>
        <w:t>.</w:t>
      </w:r>
    </w:p>
    <w:tbl>
      <w:tblPr>
        <w:tblStyle w:val="TableGrid"/>
        <w:tblW w:w="10201" w:type="dxa"/>
        <w:jc w:val="center"/>
        <w:tblLook w:val="04A0" w:firstRow="1" w:lastRow="0" w:firstColumn="1" w:lastColumn="0" w:noHBand="0" w:noVBand="1"/>
      </w:tblPr>
      <w:tblGrid>
        <w:gridCol w:w="3386"/>
        <w:gridCol w:w="3407"/>
        <w:gridCol w:w="3408"/>
      </w:tblGrid>
      <w:tr w:rsidR="00AA0682" w14:paraId="30A31834" w14:textId="77777777" w:rsidTr="0011631A">
        <w:trPr>
          <w:trHeight w:val="144"/>
          <w:jc w:val="center"/>
        </w:trPr>
        <w:tc>
          <w:tcPr>
            <w:tcW w:w="10201" w:type="dxa"/>
            <w:gridSpan w:val="3"/>
          </w:tcPr>
          <w:p w14:paraId="31BCBCC8" w14:textId="77777777" w:rsidR="00AA0682" w:rsidRDefault="00AA0682" w:rsidP="0011631A">
            <w:pPr>
              <w:pStyle w:val="ListBullet"/>
              <w:numPr>
                <w:ilvl w:val="0"/>
                <w:numId w:val="0"/>
              </w:numPr>
              <w:spacing w:before="0" w:line="240" w:lineRule="auto"/>
              <w:rPr>
                <w:rFonts w:asciiTheme="majorHAnsi" w:hAnsiTheme="majorHAnsi" w:cstheme="majorHAnsi"/>
              </w:rPr>
            </w:pPr>
            <w:bookmarkStart w:id="5" w:name="_Ref199240757"/>
            <w:r>
              <w:t xml:space="preserve">Figure </w:t>
            </w:r>
            <w:r>
              <w:fldChar w:fldCharType="begin"/>
            </w:r>
            <w:r>
              <w:instrText xml:space="preserve"> SEQ Figure \* ARABIC </w:instrText>
            </w:r>
            <w:r>
              <w:fldChar w:fldCharType="separate"/>
            </w:r>
            <w:r>
              <w:rPr>
                <w:noProof/>
              </w:rPr>
              <w:t>11</w:t>
            </w:r>
            <w:r>
              <w:fldChar w:fldCharType="end"/>
            </w:r>
            <w:bookmarkEnd w:id="5"/>
            <w:r>
              <w:t xml:space="preserve">. </w:t>
            </w:r>
            <w:r w:rsidRPr="00D32D4A">
              <w:t>EV sale shares, global</w:t>
            </w:r>
          </w:p>
        </w:tc>
      </w:tr>
      <w:tr w:rsidR="00AA0682" w14:paraId="2AE36611" w14:textId="77777777" w:rsidTr="0011631A">
        <w:trPr>
          <w:trHeight w:val="4320"/>
          <w:jc w:val="center"/>
        </w:trPr>
        <w:tc>
          <w:tcPr>
            <w:tcW w:w="3386" w:type="dxa"/>
          </w:tcPr>
          <w:p w14:paraId="7BE44AAB"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Passenger</w:t>
            </w:r>
          </w:p>
          <w:p w14:paraId="001182C7"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 xml:space="preserve"> </w:t>
            </w:r>
            <w:r w:rsidRPr="0004022F">
              <w:rPr>
                <w:rFonts w:asciiTheme="majorHAnsi" w:hAnsiTheme="majorHAnsi" w:cstheme="majorHAnsi"/>
                <w:noProof/>
              </w:rPr>
              <w:drawing>
                <wp:inline distT="0" distB="0" distL="0" distR="0" wp14:anchorId="237EE4D8" wp14:editId="561DF9E0">
                  <wp:extent cx="1828800" cy="2706370"/>
                  <wp:effectExtent l="0" t="0" r="0" b="0"/>
                  <wp:docPr id="1706339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28800" cy="2706370"/>
                          </a:xfrm>
                          <a:prstGeom prst="rect">
                            <a:avLst/>
                          </a:prstGeom>
                          <a:noFill/>
                          <a:ln>
                            <a:noFill/>
                          </a:ln>
                        </pic:spPr>
                      </pic:pic>
                    </a:graphicData>
                  </a:graphic>
                </wp:inline>
              </w:drawing>
            </w:r>
          </w:p>
        </w:tc>
        <w:tc>
          <w:tcPr>
            <w:tcW w:w="3407" w:type="dxa"/>
          </w:tcPr>
          <w:p w14:paraId="3AD2BB20"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Freight</w:t>
            </w:r>
          </w:p>
          <w:p w14:paraId="41618242" w14:textId="77777777" w:rsidR="00AA0682" w:rsidRDefault="00AA0682" w:rsidP="0011631A">
            <w:pPr>
              <w:pStyle w:val="ListBullet"/>
              <w:numPr>
                <w:ilvl w:val="0"/>
                <w:numId w:val="0"/>
              </w:numPr>
              <w:spacing w:before="0" w:line="240" w:lineRule="auto"/>
              <w:rPr>
                <w:rFonts w:asciiTheme="majorHAnsi" w:hAnsiTheme="majorHAnsi" w:cstheme="majorHAnsi"/>
              </w:rPr>
            </w:pPr>
            <w:r w:rsidRPr="00555288">
              <w:rPr>
                <w:rFonts w:asciiTheme="majorHAnsi" w:hAnsiTheme="majorHAnsi" w:cstheme="majorHAnsi"/>
                <w:noProof/>
              </w:rPr>
              <w:drawing>
                <wp:inline distT="0" distB="0" distL="0" distR="0" wp14:anchorId="5707E42F" wp14:editId="64C9C8CC">
                  <wp:extent cx="1836420" cy="2713990"/>
                  <wp:effectExtent l="0" t="0" r="0" b="0"/>
                  <wp:docPr id="916521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36420" cy="2713990"/>
                          </a:xfrm>
                          <a:prstGeom prst="rect">
                            <a:avLst/>
                          </a:prstGeom>
                          <a:noFill/>
                          <a:ln>
                            <a:noFill/>
                          </a:ln>
                        </pic:spPr>
                      </pic:pic>
                    </a:graphicData>
                  </a:graphic>
                </wp:inline>
              </w:drawing>
            </w:r>
          </w:p>
          <w:p w14:paraId="54CEF7F7" w14:textId="77777777" w:rsidR="00AA0682" w:rsidRDefault="00AA0682" w:rsidP="0011631A">
            <w:pPr>
              <w:pStyle w:val="ListBullet"/>
              <w:numPr>
                <w:ilvl w:val="0"/>
                <w:numId w:val="0"/>
              </w:numPr>
              <w:spacing w:before="0" w:line="240" w:lineRule="auto"/>
              <w:rPr>
                <w:rFonts w:asciiTheme="majorHAnsi" w:hAnsiTheme="majorHAnsi" w:cstheme="majorHAnsi"/>
              </w:rPr>
            </w:pPr>
          </w:p>
        </w:tc>
        <w:tc>
          <w:tcPr>
            <w:tcW w:w="3407" w:type="dxa"/>
          </w:tcPr>
          <w:p w14:paraId="230B9E57" w14:textId="77777777" w:rsidR="00AA0682" w:rsidRDefault="00AA0682" w:rsidP="0011631A">
            <w:pPr>
              <w:pStyle w:val="ListBullet"/>
              <w:numPr>
                <w:ilvl w:val="0"/>
                <w:numId w:val="0"/>
              </w:numPr>
              <w:spacing w:before="0" w:line="240" w:lineRule="auto"/>
              <w:rPr>
                <w:rFonts w:asciiTheme="majorHAnsi" w:hAnsiTheme="majorHAnsi" w:cstheme="majorHAnsi"/>
              </w:rPr>
            </w:pPr>
            <w:proofErr w:type="gramStart"/>
            <w:r>
              <w:rPr>
                <w:rFonts w:asciiTheme="majorHAnsi" w:hAnsiTheme="majorHAnsi" w:cstheme="majorHAnsi"/>
              </w:rPr>
              <w:t>2-3 wheeler</w:t>
            </w:r>
            <w:proofErr w:type="gramEnd"/>
          </w:p>
          <w:p w14:paraId="0FC640C2" w14:textId="77777777" w:rsidR="00AA0682" w:rsidRDefault="00AA0682" w:rsidP="0011631A">
            <w:pPr>
              <w:pStyle w:val="ListBullet"/>
              <w:numPr>
                <w:ilvl w:val="0"/>
                <w:numId w:val="0"/>
              </w:numPr>
              <w:spacing w:before="0" w:line="240" w:lineRule="auto"/>
              <w:rPr>
                <w:rFonts w:asciiTheme="majorHAnsi" w:hAnsiTheme="majorHAnsi" w:cstheme="majorHAnsi"/>
              </w:rPr>
            </w:pPr>
            <w:r w:rsidRPr="00072148">
              <w:rPr>
                <w:rFonts w:asciiTheme="majorHAnsi" w:hAnsiTheme="majorHAnsi" w:cstheme="majorHAnsi"/>
                <w:noProof/>
              </w:rPr>
              <w:drawing>
                <wp:inline distT="0" distB="0" distL="0" distR="0" wp14:anchorId="2C291F44" wp14:editId="40A12F6C">
                  <wp:extent cx="1894840" cy="2713990"/>
                  <wp:effectExtent l="0" t="0" r="0" b="0"/>
                  <wp:docPr id="1877598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94840" cy="2713990"/>
                          </a:xfrm>
                          <a:prstGeom prst="rect">
                            <a:avLst/>
                          </a:prstGeom>
                          <a:noFill/>
                          <a:ln>
                            <a:noFill/>
                          </a:ln>
                        </pic:spPr>
                      </pic:pic>
                    </a:graphicData>
                  </a:graphic>
                </wp:inline>
              </w:drawing>
            </w:r>
          </w:p>
          <w:p w14:paraId="43AEFB16" w14:textId="77777777" w:rsidR="00AA0682" w:rsidRDefault="00AA0682" w:rsidP="0011631A">
            <w:pPr>
              <w:pStyle w:val="ListBullet"/>
              <w:numPr>
                <w:ilvl w:val="0"/>
                <w:numId w:val="0"/>
              </w:numPr>
              <w:spacing w:before="0" w:line="240" w:lineRule="auto"/>
              <w:rPr>
                <w:rFonts w:asciiTheme="majorHAnsi" w:hAnsiTheme="majorHAnsi" w:cstheme="majorHAnsi"/>
              </w:rPr>
            </w:pPr>
          </w:p>
        </w:tc>
      </w:tr>
      <w:tr w:rsidR="00AA0682" w14:paraId="5F218BF7" w14:textId="77777777" w:rsidTr="0011631A">
        <w:trPr>
          <w:trHeight w:val="288"/>
          <w:jc w:val="center"/>
        </w:trPr>
        <w:tc>
          <w:tcPr>
            <w:tcW w:w="10201" w:type="dxa"/>
            <w:gridSpan w:val="3"/>
          </w:tcPr>
          <w:p w14:paraId="70CF634E"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 xml:space="preserve">Source: IMF staff estimates using </w:t>
            </w:r>
            <w:hyperlink r:id="rId37" w:history="1">
              <w:r w:rsidRPr="00E81E49">
                <w:rPr>
                  <w:rStyle w:val="Hyperlink"/>
                  <w:rFonts w:asciiTheme="majorHAnsi" w:eastAsiaTheme="minorHAnsi" w:hAnsiTheme="majorHAnsi" w:cstheme="majorHAnsi"/>
                </w:rPr>
                <w:t xml:space="preserve">IEA </w:t>
              </w:r>
              <w:r w:rsidRPr="00E81E49">
                <w:rPr>
                  <w:rStyle w:val="Hyperlink"/>
                  <w:rFonts w:asciiTheme="majorHAnsi" w:hAnsiTheme="majorHAnsi" w:cstheme="majorHAnsi"/>
                </w:rPr>
                <w:t>Electric Vehicle Outlook 2025</w:t>
              </w:r>
            </w:hyperlink>
            <w:r>
              <w:rPr>
                <w:rFonts w:asciiTheme="majorHAnsi" w:hAnsiTheme="majorHAnsi" w:cstheme="majorHAnsi"/>
              </w:rPr>
              <w:t xml:space="preserve">, </w:t>
            </w:r>
            <w:hyperlink r:id="rId38" w:history="1">
              <w:r w:rsidRPr="00E81E49">
                <w:rPr>
                  <w:rStyle w:val="Hyperlink"/>
                  <w:rFonts w:asciiTheme="majorHAnsi" w:eastAsiaTheme="minorHAnsi" w:hAnsiTheme="majorHAnsi" w:cstheme="majorHAnsi"/>
                </w:rPr>
                <w:t>BNEF Electric Vehicle Outl</w:t>
              </w:r>
              <w:r w:rsidRPr="00E81E49">
                <w:rPr>
                  <w:rStyle w:val="Hyperlink"/>
                  <w:rFonts w:asciiTheme="majorHAnsi" w:hAnsiTheme="majorHAnsi" w:cstheme="majorHAnsi"/>
                </w:rPr>
                <w:t>ook 2024</w:t>
              </w:r>
            </w:hyperlink>
            <w:r>
              <w:rPr>
                <w:rFonts w:asciiTheme="majorHAnsi" w:hAnsiTheme="majorHAnsi" w:cstheme="majorHAnsi"/>
              </w:rPr>
              <w:t xml:space="preserve">, </w:t>
            </w:r>
            <w:hyperlink r:id="rId39" w:history="1">
              <w:r w:rsidRPr="00B56FD3">
                <w:rPr>
                  <w:rStyle w:val="Hyperlink"/>
                  <w:rFonts w:asciiTheme="majorHAnsi" w:eastAsiaTheme="minorHAnsi" w:hAnsiTheme="majorHAnsi" w:cstheme="majorHAnsi"/>
                </w:rPr>
                <w:t xml:space="preserve">ICCT </w:t>
              </w:r>
              <w:r w:rsidRPr="00B56FD3">
                <w:rPr>
                  <w:rStyle w:val="Hyperlink"/>
                  <w:rFonts w:asciiTheme="majorHAnsi" w:hAnsiTheme="majorHAnsi" w:cstheme="majorHAnsi"/>
                </w:rPr>
                <w:t>Vision 2050</w:t>
              </w:r>
            </w:hyperlink>
            <w:r>
              <w:rPr>
                <w:rFonts w:asciiTheme="majorHAnsi" w:hAnsiTheme="majorHAnsi" w:cstheme="majorHAnsi"/>
              </w:rPr>
              <w:t xml:space="preserve"> and Goldman Sachs Research.</w:t>
            </w:r>
          </w:p>
        </w:tc>
      </w:tr>
    </w:tbl>
    <w:p w14:paraId="25035A79" w14:textId="77777777" w:rsidR="00AA0682" w:rsidRDefault="00AA0682" w:rsidP="00AA0682">
      <w:pPr>
        <w:pStyle w:val="Caption"/>
        <w:rPr>
          <w:rFonts w:asciiTheme="majorHAnsi" w:hAnsiTheme="majorHAnsi" w:cstheme="majorHAnsi"/>
        </w:rPr>
      </w:pPr>
    </w:p>
    <w:tbl>
      <w:tblPr>
        <w:tblStyle w:val="TableGrid"/>
        <w:tblW w:w="9096" w:type="dxa"/>
        <w:jc w:val="center"/>
        <w:tblLook w:val="04A0" w:firstRow="1" w:lastRow="0" w:firstColumn="1" w:lastColumn="0" w:noHBand="0" w:noVBand="1"/>
      </w:tblPr>
      <w:tblGrid>
        <w:gridCol w:w="4548"/>
        <w:gridCol w:w="4548"/>
      </w:tblGrid>
      <w:tr w:rsidR="00AA0682" w14:paraId="3C0A7092" w14:textId="77777777" w:rsidTr="0011631A">
        <w:trPr>
          <w:trHeight w:val="20"/>
          <w:jc w:val="center"/>
        </w:trPr>
        <w:tc>
          <w:tcPr>
            <w:tcW w:w="9096" w:type="dxa"/>
            <w:gridSpan w:val="2"/>
          </w:tcPr>
          <w:p w14:paraId="0CB2A256" w14:textId="77777777" w:rsidR="00AA0682" w:rsidRDefault="00AA0682" w:rsidP="0011631A">
            <w:pPr>
              <w:pStyle w:val="ListBullet"/>
              <w:numPr>
                <w:ilvl w:val="0"/>
                <w:numId w:val="0"/>
              </w:numPr>
              <w:spacing w:before="0" w:line="240" w:lineRule="auto"/>
              <w:rPr>
                <w:rFonts w:asciiTheme="majorHAnsi" w:hAnsiTheme="majorHAnsi" w:cstheme="majorHAnsi"/>
              </w:rPr>
            </w:pPr>
            <w:bookmarkStart w:id="6" w:name="_Ref199240759"/>
            <w:r>
              <w:t xml:space="preserve">Figure </w:t>
            </w:r>
            <w:r>
              <w:fldChar w:fldCharType="begin"/>
            </w:r>
            <w:r>
              <w:instrText xml:space="preserve"> SEQ Figure \* ARABIC </w:instrText>
            </w:r>
            <w:r>
              <w:fldChar w:fldCharType="separate"/>
            </w:r>
            <w:r>
              <w:rPr>
                <w:noProof/>
              </w:rPr>
              <w:t>12</w:t>
            </w:r>
            <w:r>
              <w:fldChar w:fldCharType="end"/>
            </w:r>
            <w:bookmarkEnd w:id="6"/>
            <w:r>
              <w:t xml:space="preserve">. </w:t>
            </w:r>
            <w:r w:rsidRPr="00370CC2">
              <w:t>EV sales share, select markets</w:t>
            </w:r>
          </w:p>
        </w:tc>
      </w:tr>
      <w:tr w:rsidR="00AA0682" w14:paraId="5057536D" w14:textId="77777777" w:rsidTr="0011631A">
        <w:trPr>
          <w:trHeight w:val="4032"/>
          <w:jc w:val="center"/>
        </w:trPr>
        <w:tc>
          <w:tcPr>
            <w:tcW w:w="4548" w:type="dxa"/>
          </w:tcPr>
          <w:p w14:paraId="778D54C5"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lastRenderedPageBreak/>
              <w:t>Passenger</w:t>
            </w:r>
          </w:p>
          <w:p w14:paraId="03FA1191" w14:textId="77777777" w:rsidR="00AA0682" w:rsidRDefault="00AA0682" w:rsidP="0011631A">
            <w:pPr>
              <w:pStyle w:val="ListBullet"/>
              <w:numPr>
                <w:ilvl w:val="0"/>
                <w:numId w:val="0"/>
              </w:numPr>
              <w:spacing w:before="0" w:line="240" w:lineRule="auto"/>
              <w:rPr>
                <w:rFonts w:asciiTheme="majorHAnsi" w:hAnsiTheme="majorHAnsi" w:cstheme="majorHAnsi"/>
              </w:rPr>
            </w:pPr>
            <w:r w:rsidRPr="00266A20">
              <w:rPr>
                <w:rFonts w:asciiTheme="majorHAnsi" w:hAnsiTheme="majorHAnsi" w:cstheme="majorHAnsi"/>
                <w:noProof/>
              </w:rPr>
              <w:drawing>
                <wp:inline distT="0" distB="0" distL="0" distR="0" wp14:anchorId="02A51329" wp14:editId="11DCC5F8">
                  <wp:extent cx="2750820" cy="2677160"/>
                  <wp:effectExtent l="0" t="0" r="0" b="8890"/>
                  <wp:docPr id="1883712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50820" cy="2677160"/>
                          </a:xfrm>
                          <a:prstGeom prst="rect">
                            <a:avLst/>
                          </a:prstGeom>
                          <a:noFill/>
                          <a:ln>
                            <a:noFill/>
                          </a:ln>
                        </pic:spPr>
                      </pic:pic>
                    </a:graphicData>
                  </a:graphic>
                </wp:inline>
              </w:drawing>
            </w:r>
          </w:p>
        </w:tc>
        <w:tc>
          <w:tcPr>
            <w:tcW w:w="4548" w:type="dxa"/>
          </w:tcPr>
          <w:p w14:paraId="2B808EDD"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Freight</w:t>
            </w:r>
          </w:p>
          <w:p w14:paraId="7DF58E0C" w14:textId="77777777" w:rsidR="00AA0682" w:rsidRDefault="00AA0682" w:rsidP="0011631A">
            <w:pPr>
              <w:pStyle w:val="ListBullet"/>
              <w:numPr>
                <w:ilvl w:val="0"/>
                <w:numId w:val="0"/>
              </w:numPr>
              <w:spacing w:before="0" w:line="240" w:lineRule="auto"/>
              <w:rPr>
                <w:rFonts w:asciiTheme="majorHAnsi" w:hAnsiTheme="majorHAnsi" w:cstheme="majorHAnsi"/>
              </w:rPr>
            </w:pPr>
            <w:r w:rsidRPr="00EA0454">
              <w:rPr>
                <w:rFonts w:asciiTheme="majorHAnsi" w:hAnsiTheme="majorHAnsi" w:cstheme="majorHAnsi"/>
                <w:noProof/>
              </w:rPr>
              <w:drawing>
                <wp:inline distT="0" distB="0" distL="0" distR="0" wp14:anchorId="5DA365CE" wp14:editId="60856ED8">
                  <wp:extent cx="2750820" cy="2677160"/>
                  <wp:effectExtent l="0" t="0" r="0" b="8890"/>
                  <wp:docPr id="1529992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50820" cy="2677160"/>
                          </a:xfrm>
                          <a:prstGeom prst="rect">
                            <a:avLst/>
                          </a:prstGeom>
                          <a:noFill/>
                          <a:ln>
                            <a:noFill/>
                          </a:ln>
                        </pic:spPr>
                      </pic:pic>
                    </a:graphicData>
                  </a:graphic>
                </wp:inline>
              </w:drawing>
            </w:r>
          </w:p>
        </w:tc>
      </w:tr>
      <w:tr w:rsidR="00AA0682" w14:paraId="441891E5" w14:textId="77777777" w:rsidTr="0011631A">
        <w:trPr>
          <w:trHeight w:val="288"/>
          <w:jc w:val="center"/>
        </w:trPr>
        <w:tc>
          <w:tcPr>
            <w:tcW w:w="9096" w:type="dxa"/>
            <w:gridSpan w:val="2"/>
          </w:tcPr>
          <w:p w14:paraId="41285A2F" w14:textId="77777777" w:rsidR="00AA0682" w:rsidRDefault="00AA0682" w:rsidP="0011631A">
            <w:pPr>
              <w:pStyle w:val="ListBullet"/>
              <w:numPr>
                <w:ilvl w:val="0"/>
                <w:numId w:val="0"/>
              </w:numPr>
              <w:spacing w:before="0" w:line="240" w:lineRule="auto"/>
              <w:rPr>
                <w:rFonts w:asciiTheme="majorHAnsi" w:hAnsiTheme="majorHAnsi" w:cstheme="majorHAnsi"/>
              </w:rPr>
            </w:pPr>
            <w:r>
              <w:rPr>
                <w:rFonts w:asciiTheme="majorHAnsi" w:hAnsiTheme="majorHAnsi" w:cstheme="majorHAnsi"/>
              </w:rPr>
              <w:t xml:space="preserve">Source: IMF staff estimates using </w:t>
            </w:r>
            <w:hyperlink r:id="rId42" w:history="1">
              <w:r w:rsidRPr="00E81E49">
                <w:rPr>
                  <w:rStyle w:val="Hyperlink"/>
                  <w:rFonts w:asciiTheme="majorHAnsi" w:eastAsiaTheme="minorHAnsi" w:hAnsiTheme="majorHAnsi" w:cstheme="majorHAnsi"/>
                </w:rPr>
                <w:t xml:space="preserve">IEA </w:t>
              </w:r>
              <w:r w:rsidRPr="00E81E49">
                <w:rPr>
                  <w:rStyle w:val="Hyperlink"/>
                  <w:rFonts w:asciiTheme="majorHAnsi" w:hAnsiTheme="majorHAnsi" w:cstheme="majorHAnsi"/>
                </w:rPr>
                <w:t>Electric Vehicle Outlook 2025</w:t>
              </w:r>
            </w:hyperlink>
            <w:r>
              <w:rPr>
                <w:rFonts w:asciiTheme="majorHAnsi" w:hAnsiTheme="majorHAnsi" w:cstheme="majorHAnsi"/>
              </w:rPr>
              <w:t xml:space="preserve">, </w:t>
            </w:r>
            <w:hyperlink r:id="rId43" w:history="1">
              <w:r w:rsidRPr="00E81E49">
                <w:rPr>
                  <w:rStyle w:val="Hyperlink"/>
                  <w:rFonts w:asciiTheme="majorHAnsi" w:eastAsiaTheme="minorHAnsi" w:hAnsiTheme="majorHAnsi" w:cstheme="majorHAnsi"/>
                </w:rPr>
                <w:t>BNEF Electric Vehicle Outl</w:t>
              </w:r>
              <w:r w:rsidRPr="00E81E49">
                <w:rPr>
                  <w:rStyle w:val="Hyperlink"/>
                  <w:rFonts w:asciiTheme="majorHAnsi" w:hAnsiTheme="majorHAnsi" w:cstheme="majorHAnsi"/>
                </w:rPr>
                <w:t>ook 2024</w:t>
              </w:r>
            </w:hyperlink>
            <w:r>
              <w:rPr>
                <w:rFonts w:asciiTheme="majorHAnsi" w:hAnsiTheme="majorHAnsi" w:cstheme="majorHAnsi"/>
              </w:rPr>
              <w:t xml:space="preserve">, </w:t>
            </w:r>
            <w:hyperlink r:id="rId44" w:history="1">
              <w:r w:rsidRPr="00B56FD3">
                <w:rPr>
                  <w:rStyle w:val="Hyperlink"/>
                  <w:rFonts w:asciiTheme="majorHAnsi" w:eastAsiaTheme="minorHAnsi" w:hAnsiTheme="majorHAnsi" w:cstheme="majorHAnsi"/>
                </w:rPr>
                <w:t xml:space="preserve">ICCT </w:t>
              </w:r>
              <w:r w:rsidRPr="00B56FD3">
                <w:rPr>
                  <w:rStyle w:val="Hyperlink"/>
                  <w:rFonts w:asciiTheme="majorHAnsi" w:hAnsiTheme="majorHAnsi" w:cstheme="majorHAnsi"/>
                </w:rPr>
                <w:t>Vision 2050</w:t>
              </w:r>
            </w:hyperlink>
            <w:r>
              <w:rPr>
                <w:rFonts w:asciiTheme="majorHAnsi" w:hAnsiTheme="majorHAnsi" w:cstheme="majorHAnsi"/>
              </w:rPr>
              <w:t xml:space="preserve"> and Goldman Sachs Research.</w:t>
            </w:r>
          </w:p>
        </w:tc>
      </w:tr>
    </w:tbl>
    <w:p w14:paraId="2163B16E" w14:textId="3E24D5A6" w:rsidR="00C67014" w:rsidRDefault="00C67014" w:rsidP="00AA0682">
      <w:pPr>
        <w:pStyle w:val="ListBullet"/>
        <w:numPr>
          <w:ilvl w:val="0"/>
          <w:numId w:val="0"/>
        </w:numPr>
        <w:spacing w:line="240" w:lineRule="auto"/>
        <w:rPr>
          <w:rFonts w:asciiTheme="majorHAnsi" w:hAnsiTheme="majorHAnsi" w:cstheme="majorHAnsi"/>
          <w:b/>
          <w:bCs/>
        </w:rPr>
      </w:pPr>
      <w:r>
        <w:rPr>
          <w:rFonts w:asciiTheme="majorHAnsi" w:hAnsiTheme="majorHAnsi" w:cstheme="majorHAnsi"/>
          <w:b/>
          <w:bCs/>
        </w:rPr>
        <w:t>Share of ICEVs by fuel type</w:t>
      </w:r>
    </w:p>
    <w:p w14:paraId="25609630" w14:textId="43A8B522" w:rsidR="00C67014" w:rsidRPr="00C67014" w:rsidRDefault="00C67014" w:rsidP="00AA0682">
      <w:pPr>
        <w:pStyle w:val="ListBullet"/>
        <w:numPr>
          <w:ilvl w:val="0"/>
          <w:numId w:val="0"/>
        </w:numPr>
        <w:spacing w:line="240" w:lineRule="auto"/>
        <w:rPr>
          <w:rFonts w:asciiTheme="majorHAnsi" w:hAnsiTheme="majorHAnsi" w:cstheme="majorHAnsi"/>
        </w:rPr>
      </w:pPr>
      <w:r>
        <w:rPr>
          <w:rFonts w:asciiTheme="majorHAnsi" w:hAnsiTheme="majorHAnsi" w:cstheme="majorHAnsi"/>
        </w:rPr>
        <w:t xml:space="preserve">Once </w:t>
      </w:r>
      <w:r w:rsidR="003E4417">
        <w:rPr>
          <w:rFonts w:asciiTheme="majorHAnsi" w:hAnsiTheme="majorHAnsi" w:cstheme="majorHAnsi"/>
        </w:rPr>
        <w:t xml:space="preserve">total </w:t>
      </w:r>
      <w:r>
        <w:rPr>
          <w:rFonts w:asciiTheme="majorHAnsi" w:hAnsiTheme="majorHAnsi" w:cstheme="majorHAnsi"/>
        </w:rPr>
        <w:t>ICEV</w:t>
      </w:r>
      <w:r w:rsidR="003E4417">
        <w:rPr>
          <w:rFonts w:asciiTheme="majorHAnsi" w:hAnsiTheme="majorHAnsi" w:cstheme="majorHAnsi"/>
        </w:rPr>
        <w:t xml:space="preserve"> purchases are estimated, the share of vehicle purchases for each fuel type (gasoline, diesel, LPG</w:t>
      </w:r>
      <w:r w:rsidR="00FF1AD7">
        <w:rPr>
          <w:rFonts w:asciiTheme="majorHAnsi" w:hAnsiTheme="majorHAnsi" w:cstheme="majorHAnsi"/>
        </w:rPr>
        <w:t xml:space="preserve">, </w:t>
      </w:r>
      <w:r w:rsidR="003E4417">
        <w:rPr>
          <w:rFonts w:asciiTheme="majorHAnsi" w:hAnsiTheme="majorHAnsi" w:cstheme="majorHAnsi"/>
        </w:rPr>
        <w:t xml:space="preserve">CNG, </w:t>
      </w:r>
      <w:r w:rsidR="00FF1AD7">
        <w:rPr>
          <w:rFonts w:asciiTheme="majorHAnsi" w:hAnsiTheme="majorHAnsi" w:cstheme="majorHAnsi"/>
        </w:rPr>
        <w:t xml:space="preserve">and PHEVs for passenger vehicles and diesel, LPG, and CNG for freight) </w:t>
      </w:r>
      <w:r w:rsidR="00183728">
        <w:rPr>
          <w:rFonts w:asciiTheme="majorHAnsi" w:hAnsiTheme="majorHAnsi" w:cstheme="majorHAnsi"/>
        </w:rPr>
        <w:t>is calculated. This is done using cross and own-price elasticities from a study on how the Norwegian vehicle fleet responds to changes in total cost of ownership</w:t>
      </w:r>
      <w:r w:rsidR="00474BAF">
        <w:rPr>
          <w:rFonts w:asciiTheme="majorHAnsi" w:hAnsiTheme="majorHAnsi" w:cstheme="majorHAnsi"/>
        </w:rPr>
        <w:t xml:space="preserve"> (</w:t>
      </w:r>
      <w:proofErr w:type="spellStart"/>
      <w:r w:rsidR="000E27A4" w:rsidRPr="000E27A4">
        <w:rPr>
          <w:rFonts w:asciiTheme="majorHAnsi" w:hAnsiTheme="majorHAnsi" w:cstheme="majorHAnsi"/>
        </w:rPr>
        <w:fldChar w:fldCharType="begin"/>
      </w:r>
      <w:r w:rsidR="000E27A4" w:rsidRPr="000E27A4">
        <w:rPr>
          <w:rFonts w:asciiTheme="majorHAnsi" w:hAnsiTheme="majorHAnsi" w:cstheme="majorHAnsi"/>
        </w:rPr>
        <w:instrText>HYPERLINK "https://trid.trb.org/View/1762174"</w:instrText>
      </w:r>
      <w:r w:rsidR="000E27A4" w:rsidRPr="000E27A4">
        <w:rPr>
          <w:rFonts w:asciiTheme="majorHAnsi" w:hAnsiTheme="majorHAnsi" w:cstheme="majorHAnsi"/>
        </w:rPr>
      </w:r>
      <w:r w:rsidR="000E27A4" w:rsidRPr="000E27A4">
        <w:rPr>
          <w:rFonts w:asciiTheme="majorHAnsi" w:hAnsiTheme="majorHAnsi" w:cstheme="majorHAnsi"/>
        </w:rPr>
        <w:fldChar w:fldCharType="separate"/>
      </w:r>
      <w:r w:rsidR="00B330F2" w:rsidRPr="000E27A4">
        <w:rPr>
          <w:rStyle w:val="Hyperlink"/>
          <w:rFonts w:asciiTheme="majorHAnsi" w:hAnsiTheme="majorHAnsi" w:cstheme="majorHAnsi"/>
        </w:rPr>
        <w:t>Fridstrøm</w:t>
      </w:r>
      <w:proofErr w:type="spellEnd"/>
      <w:r w:rsidR="00B330F2" w:rsidRPr="000E27A4">
        <w:rPr>
          <w:rStyle w:val="Hyperlink"/>
          <w:rFonts w:asciiTheme="majorHAnsi" w:hAnsiTheme="majorHAnsi" w:cstheme="majorHAnsi"/>
        </w:rPr>
        <w:t> </w:t>
      </w:r>
      <w:r w:rsidR="00B330F2" w:rsidRPr="000E27A4">
        <w:rPr>
          <w:rStyle w:val="Hyperlink"/>
          <w:rFonts w:asciiTheme="majorHAnsi" w:hAnsiTheme="majorHAnsi" w:cstheme="majorHAnsi"/>
        </w:rPr>
        <w:t xml:space="preserve">and </w:t>
      </w:r>
      <w:r w:rsidR="000E27A4" w:rsidRPr="000E27A4">
        <w:rPr>
          <w:rStyle w:val="Hyperlink"/>
          <w:rFonts w:asciiTheme="majorHAnsi" w:hAnsiTheme="majorHAnsi" w:cstheme="majorHAnsi"/>
        </w:rPr>
        <w:t>Østli</w:t>
      </w:r>
      <w:r w:rsidR="000E27A4" w:rsidRPr="000E27A4">
        <w:rPr>
          <w:rStyle w:val="Hyperlink"/>
          <w:rFonts w:asciiTheme="majorHAnsi" w:hAnsiTheme="majorHAnsi" w:cstheme="majorHAnsi"/>
        </w:rPr>
        <w:t xml:space="preserve"> 2021</w:t>
      </w:r>
      <w:r w:rsidR="000E27A4" w:rsidRPr="000E27A4">
        <w:rPr>
          <w:rFonts w:asciiTheme="majorHAnsi" w:hAnsiTheme="majorHAnsi" w:cstheme="majorHAnsi"/>
        </w:rPr>
        <w:fldChar w:fldCharType="end"/>
      </w:r>
      <w:r w:rsidR="00474BAF">
        <w:rPr>
          <w:rFonts w:asciiTheme="majorHAnsi" w:hAnsiTheme="majorHAnsi" w:cstheme="majorHAnsi"/>
        </w:rPr>
        <w:t xml:space="preserve">). </w:t>
      </w:r>
    </w:p>
    <w:p w14:paraId="7DA1C957" w14:textId="13579109" w:rsidR="00AA0682" w:rsidRPr="0011631A" w:rsidRDefault="00AA0682" w:rsidP="00AA0682">
      <w:pPr>
        <w:pStyle w:val="ListBullet"/>
        <w:numPr>
          <w:ilvl w:val="0"/>
          <w:numId w:val="0"/>
        </w:numPr>
        <w:spacing w:line="240" w:lineRule="auto"/>
        <w:rPr>
          <w:rFonts w:asciiTheme="majorHAnsi" w:hAnsiTheme="majorHAnsi" w:cstheme="majorHAnsi"/>
          <w:b/>
          <w:bCs/>
        </w:rPr>
      </w:pPr>
      <w:r w:rsidRPr="0011631A">
        <w:rPr>
          <w:rFonts w:asciiTheme="majorHAnsi" w:hAnsiTheme="majorHAnsi" w:cstheme="majorHAnsi"/>
          <w:b/>
          <w:bCs/>
        </w:rPr>
        <w:t>Distance driven per vehicle and fuel economy</w:t>
      </w:r>
    </w:p>
    <w:p w14:paraId="42B615ED" w14:textId="77777777" w:rsidR="00AA0682" w:rsidRPr="00E63030" w:rsidRDefault="00AA0682" w:rsidP="00AA0682">
      <w:pPr>
        <w:pStyle w:val="ListBullet"/>
        <w:numPr>
          <w:ilvl w:val="0"/>
          <w:numId w:val="0"/>
        </w:numPr>
        <w:spacing w:line="240" w:lineRule="auto"/>
        <w:rPr>
          <w:rFonts w:asciiTheme="majorHAnsi" w:hAnsiTheme="majorHAnsi" w:cstheme="majorHAnsi"/>
        </w:rPr>
      </w:pPr>
      <w:r w:rsidRPr="00E63030">
        <w:rPr>
          <w:rFonts w:asciiTheme="majorHAnsi" w:hAnsiTheme="majorHAnsi" w:cstheme="majorHAnsi"/>
        </w:rPr>
        <w:t xml:space="preserve">Next, the distance driven per vehicle </w:t>
      </w:r>
      <w:proofErr w:type="gramStart"/>
      <w:r w:rsidRPr="00E63030">
        <w:rPr>
          <w:rFonts w:asciiTheme="majorHAnsi" w:hAnsiTheme="majorHAnsi" w:cstheme="majorHAnsi"/>
        </w:rPr>
        <w:t>are</w:t>
      </w:r>
      <w:proofErr w:type="gramEnd"/>
      <w:r w:rsidRPr="00E63030">
        <w:rPr>
          <w:rFonts w:asciiTheme="majorHAnsi" w:hAnsiTheme="majorHAnsi" w:cstheme="majorHAnsi"/>
        </w:rPr>
        <w:t xml:space="preserve"> estimated according to the driving elasticities and considering any fiscal instruments that impact the marginal cost per kilometer driven (e.g., distance-based taxes and fuel or carbon taxes) and allowing for differences between ICEVs and EVs. Combining assumptions on distance driven, number of vehicles, and the fuel economy allows for estimates of emissions and fuel use, as well as fiscal implications of various road decarbonization policies.</w:t>
      </w:r>
    </w:p>
    <w:p w14:paraId="6632CFC4" w14:textId="637D5C15" w:rsidR="00D53750" w:rsidRDefault="00D53750" w:rsidP="00AA0682">
      <w:pPr>
        <w:pStyle w:val="ListBullet"/>
        <w:numPr>
          <w:ilvl w:val="0"/>
          <w:numId w:val="0"/>
        </w:numPr>
        <w:spacing w:line="240" w:lineRule="auto"/>
        <w:rPr>
          <w:rFonts w:asciiTheme="majorHAnsi" w:hAnsiTheme="majorHAnsi" w:cstheme="majorHAnsi"/>
          <w:b/>
          <w:bCs/>
        </w:rPr>
      </w:pPr>
      <w:r>
        <w:rPr>
          <w:rFonts w:asciiTheme="majorHAnsi" w:hAnsiTheme="majorHAnsi" w:cstheme="majorHAnsi"/>
          <w:b/>
          <w:bCs/>
        </w:rPr>
        <w:t>Public transportation</w:t>
      </w:r>
    </w:p>
    <w:p w14:paraId="1E6F48C7" w14:textId="41ED11B0" w:rsidR="00D53750" w:rsidRPr="00D53750" w:rsidRDefault="00D53750" w:rsidP="00AA0682">
      <w:pPr>
        <w:pStyle w:val="ListBullet"/>
        <w:numPr>
          <w:ilvl w:val="0"/>
          <w:numId w:val="0"/>
        </w:numPr>
        <w:spacing w:line="240" w:lineRule="auto"/>
        <w:rPr>
          <w:rFonts w:asciiTheme="majorHAnsi" w:hAnsiTheme="majorHAnsi" w:cstheme="majorHAnsi"/>
        </w:rPr>
      </w:pPr>
      <w:r>
        <w:rPr>
          <w:rFonts w:asciiTheme="majorHAnsi" w:hAnsiTheme="majorHAnsi" w:cstheme="majorHAnsi"/>
        </w:rPr>
        <w:t xml:space="preserve">A simplified approach to modelling </w:t>
      </w:r>
      <w:r w:rsidR="004946A0">
        <w:rPr>
          <w:rFonts w:asciiTheme="majorHAnsi" w:hAnsiTheme="majorHAnsi" w:cstheme="majorHAnsi"/>
        </w:rPr>
        <w:t>energy</w:t>
      </w:r>
      <w:r>
        <w:rPr>
          <w:rFonts w:asciiTheme="majorHAnsi" w:hAnsiTheme="majorHAnsi" w:cstheme="majorHAnsi"/>
        </w:rPr>
        <w:t xml:space="preserve"> use from buses, but excluding rail and air, are included in the calculations.</w:t>
      </w:r>
      <w:r w:rsidR="004946A0">
        <w:rPr>
          <w:rFonts w:asciiTheme="majorHAnsi" w:hAnsiTheme="majorHAnsi" w:cstheme="majorHAnsi"/>
        </w:rPr>
        <w:t xml:space="preserve"> Fuel and electricity use from buses change at the same rate as passenger vehicles (to be updated in the future), meaning that they </w:t>
      </w:r>
      <w:r w:rsidR="00707CC6">
        <w:rPr>
          <w:rFonts w:asciiTheme="majorHAnsi" w:hAnsiTheme="majorHAnsi" w:cstheme="majorHAnsi"/>
        </w:rPr>
        <w:t>approximately electrify at the same rate as passenger vehicles.</w:t>
      </w:r>
    </w:p>
    <w:p w14:paraId="1C58B829" w14:textId="44A72E98" w:rsidR="008071A8" w:rsidRDefault="008071A8" w:rsidP="00AA0682">
      <w:pPr>
        <w:pStyle w:val="ListBullet"/>
        <w:numPr>
          <w:ilvl w:val="0"/>
          <w:numId w:val="0"/>
        </w:numPr>
        <w:spacing w:line="240" w:lineRule="auto"/>
        <w:rPr>
          <w:rFonts w:asciiTheme="majorHAnsi" w:hAnsiTheme="majorHAnsi" w:cstheme="majorHAnsi"/>
          <w:b/>
          <w:bCs/>
        </w:rPr>
      </w:pPr>
      <w:r>
        <w:rPr>
          <w:rFonts w:asciiTheme="majorHAnsi" w:hAnsiTheme="majorHAnsi" w:cstheme="majorHAnsi"/>
          <w:b/>
          <w:bCs/>
        </w:rPr>
        <w:t>Biofuels</w:t>
      </w:r>
    </w:p>
    <w:p w14:paraId="65EEF9D4" w14:textId="7D0A4B2D" w:rsidR="008071A8" w:rsidRPr="00057203" w:rsidRDefault="008071A8" w:rsidP="00DB2727">
      <w:pPr>
        <w:pStyle w:val="ParagraphNumbering"/>
        <w:numPr>
          <w:ilvl w:val="0"/>
          <w:numId w:val="0"/>
        </w:numPr>
        <w:spacing w:line="240" w:lineRule="auto"/>
        <w:rPr>
          <w:rFonts w:asciiTheme="majorHAnsi" w:hAnsiTheme="majorHAnsi" w:cstheme="majorHAnsi"/>
        </w:rPr>
      </w:pPr>
      <w:r w:rsidRPr="00057203">
        <w:rPr>
          <w:rFonts w:asciiTheme="majorHAnsi" w:hAnsiTheme="majorHAnsi" w:cstheme="majorHAnsi"/>
        </w:rPr>
        <w:t xml:space="preserve">The biofuel blending ratio is calculated using the IEA energy balances. </w:t>
      </w:r>
      <w:r w:rsidR="00057203" w:rsidRPr="00057203">
        <w:rPr>
          <w:rFonts w:asciiTheme="majorHAnsi" w:hAnsiTheme="majorHAnsi" w:cstheme="majorHAnsi"/>
        </w:rPr>
        <w:t xml:space="preserve">The blending ratio is assumed to stay </w:t>
      </w:r>
      <w:proofErr w:type="gramStart"/>
      <w:r w:rsidR="00057203" w:rsidRPr="00057203">
        <w:rPr>
          <w:rFonts w:asciiTheme="majorHAnsi" w:hAnsiTheme="majorHAnsi" w:cstheme="majorHAnsi"/>
        </w:rPr>
        <w:t>constant</w:t>
      </w:r>
      <w:proofErr w:type="gramEnd"/>
      <w:r w:rsidR="00057203" w:rsidRPr="00057203">
        <w:rPr>
          <w:rFonts w:asciiTheme="majorHAnsi" w:hAnsiTheme="majorHAnsi" w:cstheme="majorHAnsi"/>
        </w:rPr>
        <w:t xml:space="preserve"> so </w:t>
      </w:r>
      <w:proofErr w:type="gramStart"/>
      <w:r w:rsidR="00057203" w:rsidRPr="00057203">
        <w:rPr>
          <w:rFonts w:asciiTheme="majorHAnsi" w:hAnsiTheme="majorHAnsi" w:cstheme="majorHAnsi"/>
        </w:rPr>
        <w:t>biofuel</w:t>
      </w:r>
      <w:proofErr w:type="gramEnd"/>
      <w:r w:rsidR="00057203" w:rsidRPr="00057203">
        <w:rPr>
          <w:rFonts w:asciiTheme="majorHAnsi" w:hAnsiTheme="majorHAnsi" w:cstheme="majorHAnsi"/>
        </w:rPr>
        <w:t xml:space="preserve"> use changes proportionally to diesel and gasoline. Biofuel blending is incorporated into the emissions-intensities of gasoline and diesel for </w:t>
      </w:r>
      <w:r w:rsidR="00DB2727">
        <w:rPr>
          <w:rFonts w:asciiTheme="majorHAnsi" w:hAnsiTheme="majorHAnsi" w:cstheme="majorHAnsi"/>
        </w:rPr>
        <w:t>estimating the impact of policies that are based on CO2 such as feebates and carbon taxes.</w:t>
      </w:r>
    </w:p>
    <w:p w14:paraId="60EED142" w14:textId="19F663A0" w:rsidR="00AA0682" w:rsidRPr="0011631A" w:rsidRDefault="00AA0682" w:rsidP="00AA0682">
      <w:pPr>
        <w:pStyle w:val="ListBullet"/>
        <w:numPr>
          <w:ilvl w:val="0"/>
          <w:numId w:val="0"/>
        </w:numPr>
        <w:spacing w:line="240" w:lineRule="auto"/>
        <w:rPr>
          <w:rFonts w:asciiTheme="majorHAnsi" w:hAnsiTheme="majorHAnsi" w:cstheme="majorHAnsi"/>
          <w:b/>
          <w:bCs/>
        </w:rPr>
      </w:pPr>
      <w:proofErr w:type="gramStart"/>
      <w:r w:rsidRPr="0011631A">
        <w:rPr>
          <w:rFonts w:asciiTheme="majorHAnsi" w:hAnsiTheme="majorHAnsi" w:cstheme="majorHAnsi"/>
          <w:b/>
          <w:bCs/>
        </w:rPr>
        <w:t>Modelled</w:t>
      </w:r>
      <w:proofErr w:type="gramEnd"/>
      <w:r w:rsidRPr="0011631A">
        <w:rPr>
          <w:rFonts w:asciiTheme="majorHAnsi" w:hAnsiTheme="majorHAnsi" w:cstheme="majorHAnsi"/>
          <w:b/>
          <w:bCs/>
        </w:rPr>
        <w:t xml:space="preserve"> policies</w:t>
      </w:r>
    </w:p>
    <w:p w14:paraId="44DEC74A" w14:textId="77777777" w:rsidR="00AA0682" w:rsidRDefault="00AA0682" w:rsidP="00AA0682">
      <w:pPr>
        <w:pStyle w:val="ListBullet"/>
        <w:numPr>
          <w:ilvl w:val="0"/>
          <w:numId w:val="0"/>
        </w:numPr>
        <w:spacing w:line="240" w:lineRule="auto"/>
        <w:rPr>
          <w:rFonts w:asciiTheme="majorHAnsi" w:hAnsiTheme="majorHAnsi" w:cstheme="majorHAnsi"/>
        </w:rPr>
      </w:pPr>
      <w:r w:rsidRPr="00E63030">
        <w:rPr>
          <w:rFonts w:asciiTheme="majorHAnsi" w:hAnsiTheme="majorHAnsi" w:cstheme="majorHAnsi"/>
        </w:rPr>
        <w:t xml:space="preserve">A range of policies are modelled and work through separate channels. </w:t>
      </w:r>
    </w:p>
    <w:p w14:paraId="31903474" w14:textId="77777777" w:rsidR="00AA0682" w:rsidRDefault="00AA0682" w:rsidP="00AA0682">
      <w:pPr>
        <w:pStyle w:val="ListBullet"/>
        <w:spacing w:line="240" w:lineRule="auto"/>
      </w:pPr>
      <w:r>
        <w:t>Policies that impact fuel prices, such as carbon taxes and fuel excises, impact emissions through three channels: improvements in fuel efficiency of newly purchased ICEVs based on the efficiency elasticity (-0.3 for freight and -0.4 for passenger and 2-3 wheelers), distance driven of all ICEVs based on the intensive margin elasticity (-0.2 for freight and -0.3 for passenger and 2-3 wheelers), and a greater share of new vehicle purchases being EVs due to a higher relative price of ICEVs.</w:t>
      </w:r>
    </w:p>
    <w:p w14:paraId="0439266D" w14:textId="1604273C" w:rsidR="00AA0682" w:rsidRDefault="00AA0682" w:rsidP="00AA0682">
      <w:pPr>
        <w:pStyle w:val="ListBullet"/>
        <w:spacing w:line="240" w:lineRule="auto"/>
      </w:pPr>
      <w:r w:rsidRPr="00E63030">
        <w:lastRenderedPageBreak/>
        <w:t xml:space="preserve">Feebates </w:t>
      </w:r>
      <w:r>
        <w:t>result in improvements in fuel efficiency of newly purchased ICEVs (in a similar way to policies impacting fuel prices) and a greater share of EV purchases due to higher ICEV purchase taxes and EV subsidies, assuming the pivot point is set above zero. The impact on the purchase prices of an average ICEV is product of (i) the net present value of kilometers driven over a vehicle’s lifetime, (ii) the difference between the ICEV fuel efficiency and fuel efficiency of all new vehicle purchases expressed in tons of CO2 per kilometer, and (iii) the shadow carbon price</w:t>
      </w:r>
      <w:r w:rsidRPr="00E63030">
        <w:t xml:space="preserve">. </w:t>
      </w:r>
      <w:r>
        <w:t>The EV subsidy is calculated using the same equation but assuming a fuel economy of zero, making component (ii) negative.</w:t>
      </w:r>
    </w:p>
    <w:p w14:paraId="22378A8C" w14:textId="77777777" w:rsidR="00AA0682" w:rsidRDefault="00AA0682" w:rsidP="00AA0682">
      <w:pPr>
        <w:pStyle w:val="ListBullet"/>
        <w:spacing w:line="240" w:lineRule="auto"/>
      </w:pPr>
      <w:r>
        <w:t xml:space="preserve">Distance based taxes reduce distance driven, </w:t>
      </w:r>
      <w:proofErr w:type="gramStart"/>
      <w:r>
        <w:t>similar to</w:t>
      </w:r>
      <w:proofErr w:type="gramEnd"/>
      <w:r>
        <w:t xml:space="preserve"> the driving portion of carbon taxes.</w:t>
      </w:r>
    </w:p>
    <w:sectPr w:rsidR="00AA0682" w:rsidSect="00170414">
      <w:headerReference w:type="default" r:id="rId45"/>
      <w:footerReference w:type="default" r:id="rId46"/>
      <w:headerReference w:type="first" r:id="rId47"/>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ry, Ian" w:date="2023-11-28T13:28:00Z" w:initials="PI">
    <w:p w14:paraId="79FA3A98" w14:textId="77777777" w:rsidR="00AA0682" w:rsidRDefault="00AA0682" w:rsidP="00AA0682">
      <w:pPr>
        <w:pStyle w:val="CommentText"/>
      </w:pPr>
      <w:r>
        <w:rPr>
          <w:rStyle w:val="CommentReference"/>
        </w:rPr>
        <w:annotationRef/>
      </w:r>
      <w:r>
        <w:t>But also much lower fuel economy</w:t>
      </w:r>
    </w:p>
  </w:comment>
  <w:comment w:id="1" w:author="Vernon, Nate" w:date="2026-03-16T11:36:00Z" w:initials="NV">
    <w:p w14:paraId="346193CE" w14:textId="77777777" w:rsidR="00624120" w:rsidRDefault="00624120" w:rsidP="00624120">
      <w:pPr>
        <w:pStyle w:val="CommentText"/>
      </w:pPr>
      <w:r>
        <w:rPr>
          <w:rStyle w:val="CommentReference"/>
        </w:rPr>
        <w:annotationRef/>
      </w:r>
      <w:r>
        <w:t>Add link to data request form</w:t>
      </w:r>
    </w:p>
  </w:comment>
  <w:comment w:id="2" w:author="Vernon, Nate" w:date="2026-02-11T11:32:00Z" w:initials="NV">
    <w:p w14:paraId="69559471" w14:textId="77777777" w:rsidR="00092CBE" w:rsidRDefault="004B4593" w:rsidP="00092CBE">
      <w:pPr>
        <w:pStyle w:val="CommentText"/>
      </w:pPr>
      <w:r>
        <w:rPr>
          <w:rStyle w:val="CommentReference"/>
        </w:rPr>
        <w:annotationRef/>
      </w:r>
      <w:r w:rsidR="00092CBE">
        <w:t xml:space="preserve">To update using this and some additional searching since the purchase price projections might have changed. </w:t>
      </w:r>
      <w:hyperlink r:id="rId1" w:history="1">
        <w:r w:rsidR="00092CBE" w:rsidRPr="005F79A4">
          <w:rPr>
            <w:rStyle w:val="Hyperlink"/>
          </w:rPr>
          <w:t>Total Cost of Ownership of Electric Vehicles: A Synthesis of Critical Factors - Albuquerque Felizola Romeral - 2025 - The Journal of Engineering - Wiley Online Library</w:t>
        </w:r>
      </w:hyperlink>
      <w:r w:rsidR="00092CBE">
        <w:t xml:space="preserve"> </w:t>
      </w:r>
    </w:p>
  </w:comment>
  <w:comment w:id="4" w:author="Vernon, Nate" w:date="2026-03-16T11:59:00Z" w:initials="NV">
    <w:p w14:paraId="47BC6D57" w14:textId="77777777" w:rsidR="00B0580B" w:rsidRDefault="00B0580B" w:rsidP="00B0580B">
      <w:pPr>
        <w:pStyle w:val="CommentText"/>
      </w:pPr>
      <w:r>
        <w:rPr>
          <w:rStyle w:val="CommentReference"/>
        </w:rPr>
        <w:annotationRef/>
      </w:r>
      <w:r>
        <w:t>Outdated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FA3A98" w15:done="1"/>
  <w15:commentEx w15:paraId="346193CE" w15:done="0"/>
  <w15:commentEx w15:paraId="69559471" w15:done="0"/>
  <w15:commentEx w15:paraId="47BC6D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0696B" w16cex:dateUtc="2023-11-28T18:28:00Z"/>
  <w16cex:commentExtensible w16cex:durableId="7A75A507" w16cex:dateUtc="2026-03-16T15:36:00Z"/>
  <w16cex:commentExtensible w16cex:durableId="3FABDB6D" w16cex:dateUtc="2026-02-11T16:32:00Z"/>
  <w16cex:commentExtensible w16cex:durableId="3B63CBFD" w16cex:dateUtc="2026-03-16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FA3A98" w16cid:durableId="2910696B"/>
  <w16cid:commentId w16cid:paraId="346193CE" w16cid:durableId="7A75A507"/>
  <w16cid:commentId w16cid:paraId="69559471" w16cid:durableId="3FABDB6D"/>
  <w16cid:commentId w16cid:paraId="47BC6D57" w16cid:durableId="3B63C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830C" w14:textId="77777777" w:rsidR="000852C4" w:rsidRDefault="000852C4" w:rsidP="000B7010">
      <w:pPr>
        <w:spacing w:line="240" w:lineRule="auto"/>
      </w:pPr>
      <w:r>
        <w:separator/>
      </w:r>
    </w:p>
  </w:endnote>
  <w:endnote w:type="continuationSeparator" w:id="0">
    <w:p w14:paraId="72429E29" w14:textId="77777777" w:rsidR="000852C4" w:rsidRDefault="000852C4" w:rsidP="000B7010">
      <w:pPr>
        <w:spacing w:line="240" w:lineRule="auto"/>
      </w:pPr>
      <w:r>
        <w:continuationSeparator/>
      </w:r>
    </w:p>
  </w:endnote>
  <w:endnote w:type="continuationNotice" w:id="1">
    <w:p w14:paraId="1034C74C" w14:textId="77777777" w:rsidR="000852C4" w:rsidRDefault="000852C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dy)">
    <w:altName w:val="Arial"/>
    <w:panose1 w:val="00000000000000000000"/>
    <w:charset w:val="00"/>
    <w:family w:val="roman"/>
    <w:notTrueType/>
    <w:pitch w:val="default"/>
  </w:font>
  <w:font w:name="Microsoft JhengHei">
    <w:panose1 w:val="020B0604030504040204"/>
    <w:charset w:val="88"/>
    <w:family w:val="swiss"/>
    <w:pitch w:val="variable"/>
    <w:sig w:usb0="000002A7" w:usb1="28CF4400" w:usb2="00000016" w:usb3="00000000" w:csb0="00100009"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Heading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896A" w14:textId="77777777" w:rsidR="00834E6F" w:rsidRDefault="00834E6F" w:rsidP="00834E6F">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3650" w14:textId="77777777" w:rsidR="000852C4" w:rsidRDefault="000852C4" w:rsidP="000B7010">
      <w:pPr>
        <w:spacing w:line="240" w:lineRule="auto"/>
      </w:pPr>
      <w:r>
        <w:separator/>
      </w:r>
    </w:p>
  </w:footnote>
  <w:footnote w:type="continuationSeparator" w:id="0">
    <w:p w14:paraId="3F6D6C7B" w14:textId="77777777" w:rsidR="000852C4" w:rsidRDefault="000852C4" w:rsidP="000B7010">
      <w:pPr>
        <w:spacing w:line="240" w:lineRule="auto"/>
      </w:pPr>
      <w:r>
        <w:continuationSeparator/>
      </w:r>
    </w:p>
  </w:footnote>
  <w:footnote w:type="continuationNotice" w:id="1">
    <w:p w14:paraId="44C26F9E" w14:textId="77777777" w:rsidR="000852C4" w:rsidRDefault="000852C4">
      <w:pPr>
        <w:spacing w:before="0" w:line="240" w:lineRule="auto"/>
      </w:pPr>
    </w:p>
  </w:footnote>
  <w:footnote w:id="2">
    <w:p w14:paraId="734C9ECB" w14:textId="21FB08FC" w:rsidR="00AA0682" w:rsidRPr="00A70FBC" w:rsidRDefault="00AA0682" w:rsidP="00A70FBC">
      <w:pPr>
        <w:pStyle w:val="FootnoteText"/>
        <w:spacing w:before="0" w:after="0" w:line="240" w:lineRule="auto"/>
        <w:rPr>
          <w:sz w:val="16"/>
          <w:szCs w:val="16"/>
        </w:rPr>
      </w:pPr>
      <w:r w:rsidRPr="00A70FBC">
        <w:rPr>
          <w:rStyle w:val="FootnoteReference"/>
          <w:sz w:val="16"/>
          <w:szCs w:val="16"/>
        </w:rPr>
        <w:footnoteRef/>
      </w:r>
      <w:r w:rsidRPr="00A70FBC">
        <w:rPr>
          <w:sz w:val="16"/>
          <w:szCs w:val="16"/>
        </w:rPr>
        <w:t xml:space="preserve"> The data sources are the </w:t>
      </w:r>
      <w:r w:rsidRPr="00A70FBC">
        <w:rPr>
          <w:rFonts w:asciiTheme="majorHAnsi" w:hAnsiTheme="majorHAnsi" w:cstheme="majorHAnsi"/>
          <w:sz w:val="16"/>
          <w:szCs w:val="16"/>
        </w:rPr>
        <w:t>OECD’s International Transport Forum (</w:t>
      </w:r>
      <w:hyperlink r:id="rId1" w:history="1">
        <w:r w:rsidRPr="00A70FBC">
          <w:rPr>
            <w:rStyle w:val="Hyperlink"/>
            <w:rFonts w:asciiTheme="majorHAnsi" w:hAnsiTheme="majorHAnsi" w:cstheme="majorHAnsi"/>
            <w:sz w:val="16"/>
            <w:szCs w:val="16"/>
          </w:rPr>
          <w:t>ITF</w:t>
        </w:r>
      </w:hyperlink>
      <w:r w:rsidRPr="00A70FBC">
        <w:rPr>
          <w:rFonts w:asciiTheme="majorHAnsi" w:hAnsiTheme="majorHAnsi" w:cstheme="majorHAnsi"/>
          <w:sz w:val="16"/>
          <w:szCs w:val="16"/>
        </w:rPr>
        <w:t>), the IRF’s World Road Statistics (</w:t>
      </w:r>
      <w:hyperlink r:id="rId2" w:history="1">
        <w:r w:rsidRPr="00A70FBC">
          <w:rPr>
            <w:rStyle w:val="Hyperlink"/>
            <w:rFonts w:asciiTheme="majorHAnsi" w:hAnsiTheme="majorHAnsi" w:cstheme="majorHAnsi"/>
            <w:sz w:val="16"/>
            <w:szCs w:val="16"/>
          </w:rPr>
          <w:t>WRS</w:t>
        </w:r>
      </w:hyperlink>
      <w:r w:rsidRPr="00A70FBC">
        <w:rPr>
          <w:rFonts w:asciiTheme="majorHAnsi" w:hAnsiTheme="majorHAnsi" w:cstheme="majorHAnsi"/>
          <w:sz w:val="16"/>
          <w:szCs w:val="16"/>
        </w:rPr>
        <w:t>), IEA’s Electric Vehicles Initiative (</w:t>
      </w:r>
      <w:hyperlink r:id="rId3" w:history="1">
        <w:r w:rsidRPr="00A70FBC">
          <w:rPr>
            <w:rStyle w:val="Hyperlink"/>
            <w:rFonts w:asciiTheme="majorHAnsi" w:hAnsiTheme="majorHAnsi" w:cstheme="majorHAnsi"/>
            <w:sz w:val="16"/>
            <w:szCs w:val="16"/>
          </w:rPr>
          <w:t>EVI</w:t>
        </w:r>
      </w:hyperlink>
      <w:r w:rsidRPr="00A70FBC">
        <w:rPr>
          <w:rFonts w:asciiTheme="majorHAnsi" w:hAnsiTheme="majorHAnsi" w:cstheme="majorHAnsi"/>
          <w:sz w:val="16"/>
          <w:szCs w:val="16"/>
        </w:rPr>
        <w:t xml:space="preserve">) and </w:t>
      </w:r>
      <w:hyperlink r:id="rId4" w:history="1">
        <w:r w:rsidRPr="00A70FBC">
          <w:rPr>
            <w:rStyle w:val="Hyperlink"/>
            <w:rFonts w:asciiTheme="majorHAnsi" w:hAnsiTheme="majorHAnsi" w:cstheme="majorHAnsi"/>
            <w:sz w:val="16"/>
            <w:szCs w:val="16"/>
          </w:rPr>
          <w:t>Energy Efficiency</w:t>
        </w:r>
      </w:hyperlink>
      <w:r w:rsidRPr="00A70FBC">
        <w:rPr>
          <w:rFonts w:asciiTheme="majorHAnsi" w:hAnsiTheme="majorHAnsi" w:cstheme="majorHAnsi"/>
          <w:sz w:val="16"/>
          <w:szCs w:val="16"/>
        </w:rPr>
        <w:t xml:space="preserve"> database, </w:t>
      </w:r>
      <w:hyperlink r:id="rId5" w:anchor="topicOverview" w:history="1">
        <w:r w:rsidRPr="00A70FBC">
          <w:rPr>
            <w:rStyle w:val="Hyperlink"/>
            <w:rFonts w:asciiTheme="majorHAnsi" w:hAnsiTheme="majorHAnsi" w:cstheme="majorHAnsi"/>
            <w:sz w:val="16"/>
            <w:szCs w:val="16"/>
          </w:rPr>
          <w:t>Statista</w:t>
        </w:r>
      </w:hyperlink>
      <w:r w:rsidRPr="00A70FBC">
        <w:rPr>
          <w:rFonts w:asciiTheme="majorHAnsi" w:hAnsiTheme="majorHAnsi" w:cstheme="majorHAnsi"/>
          <w:sz w:val="16"/>
          <w:szCs w:val="16"/>
        </w:rPr>
        <w:t>, European Environmental Agency (</w:t>
      </w:r>
      <w:hyperlink r:id="rId6" w:history="1">
        <w:r w:rsidRPr="00A70FBC">
          <w:rPr>
            <w:rStyle w:val="Hyperlink"/>
            <w:rFonts w:asciiTheme="majorHAnsi" w:hAnsiTheme="majorHAnsi" w:cstheme="majorHAnsi"/>
            <w:sz w:val="16"/>
            <w:szCs w:val="16"/>
          </w:rPr>
          <w:t>EEA</w:t>
        </w:r>
      </w:hyperlink>
      <w:r w:rsidRPr="00A70FBC">
        <w:rPr>
          <w:rFonts w:asciiTheme="majorHAnsi" w:hAnsiTheme="majorHAnsi" w:cstheme="majorHAnsi"/>
          <w:sz w:val="16"/>
          <w:szCs w:val="16"/>
        </w:rPr>
        <w:t>), and International Organization of Motor Vehicle Manufacturers (</w:t>
      </w:r>
      <w:hyperlink r:id="rId7" w:history="1">
        <w:r w:rsidRPr="00A70FBC">
          <w:rPr>
            <w:rStyle w:val="Hyperlink"/>
            <w:rFonts w:asciiTheme="majorHAnsi" w:hAnsiTheme="majorHAnsi" w:cstheme="majorHAnsi"/>
            <w:sz w:val="16"/>
            <w:szCs w:val="16"/>
          </w:rPr>
          <w:t>IOCA</w:t>
        </w:r>
      </w:hyperlink>
      <w:r w:rsidRPr="00A70FBC">
        <w:rPr>
          <w:rFonts w:asciiTheme="majorHAnsi" w:hAnsiTheme="majorHAnsi" w:cstheme="majorHAnsi"/>
          <w:sz w:val="16"/>
          <w:szCs w:val="16"/>
        </w:rPr>
        <w:t>)</w:t>
      </w:r>
      <w:r w:rsidR="00A70FBC">
        <w:rPr>
          <w:rFonts w:asciiTheme="majorHAnsi" w:hAnsiTheme="majorHAnsi" w:cstheme="majorHAnsi"/>
          <w:sz w:val="16"/>
          <w:szCs w:val="16"/>
        </w:rPr>
        <w:t>.</w:t>
      </w:r>
    </w:p>
  </w:footnote>
  <w:footnote w:id="3">
    <w:p w14:paraId="75501D37" w14:textId="468B29C5" w:rsidR="005F0D3F" w:rsidRDefault="005F0D3F" w:rsidP="00624120">
      <w:pPr>
        <w:pStyle w:val="FootnoteText"/>
        <w:spacing w:before="0" w:after="0" w:line="240" w:lineRule="auto"/>
      </w:pPr>
      <w:r w:rsidRPr="00FA6AF7">
        <w:rPr>
          <w:rStyle w:val="FootnoteReference"/>
          <w:sz w:val="16"/>
          <w:szCs w:val="16"/>
        </w:rPr>
        <w:footnoteRef/>
      </w:r>
      <w:r w:rsidRPr="00FA6AF7">
        <w:rPr>
          <w:sz w:val="16"/>
          <w:szCs w:val="16"/>
        </w:rPr>
        <w:t xml:space="preserve"> Key variables </w:t>
      </w:r>
      <w:r w:rsidR="00FA6AF7" w:rsidRPr="00FA6AF7">
        <w:rPr>
          <w:sz w:val="16"/>
          <w:szCs w:val="16"/>
        </w:rPr>
        <w:t>are details of the v</w:t>
      </w:r>
      <w:r w:rsidR="007F7806" w:rsidRPr="00FA6AF7">
        <w:rPr>
          <w:sz w:val="16"/>
          <w:szCs w:val="16"/>
        </w:rPr>
        <w:t>ehicle stock</w:t>
      </w:r>
      <w:r w:rsidR="00FA6AF7" w:rsidRPr="00FA6AF7">
        <w:rPr>
          <w:sz w:val="16"/>
          <w:szCs w:val="16"/>
        </w:rPr>
        <w:t xml:space="preserve"> and </w:t>
      </w:r>
      <w:r w:rsidR="007F7806" w:rsidRPr="00FA6AF7">
        <w:rPr>
          <w:sz w:val="16"/>
          <w:szCs w:val="16"/>
        </w:rPr>
        <w:t>share of EV sales</w:t>
      </w:r>
      <w:r w:rsidR="00FA6AF7" w:rsidRPr="00FA6AF7">
        <w:rPr>
          <w:sz w:val="16"/>
          <w:szCs w:val="16"/>
        </w:rPr>
        <w:t xml:space="preserve"> and more.</w:t>
      </w:r>
    </w:p>
  </w:footnote>
  <w:footnote w:id="4">
    <w:p w14:paraId="50B7EC4D" w14:textId="77777777" w:rsidR="007A2DC8" w:rsidRPr="00A70FBC" w:rsidRDefault="007A2DC8" w:rsidP="007A2DC8">
      <w:pPr>
        <w:pStyle w:val="FootnoteText"/>
        <w:spacing w:before="0" w:after="0" w:line="240" w:lineRule="auto"/>
        <w:rPr>
          <w:sz w:val="16"/>
          <w:szCs w:val="16"/>
        </w:rPr>
      </w:pPr>
      <w:r w:rsidRPr="00A70FBC">
        <w:rPr>
          <w:rStyle w:val="FootnoteReference"/>
          <w:sz w:val="16"/>
          <w:szCs w:val="16"/>
        </w:rPr>
        <w:footnoteRef/>
      </w:r>
      <w:r w:rsidRPr="00A70FBC">
        <w:rPr>
          <w:sz w:val="16"/>
          <w:szCs w:val="16"/>
        </w:rPr>
        <w:t xml:space="preserve"> There are various definitions for freight or commercial vehicles across datasets: IEA Energy Efficiency Indicators and OICA includes all vehicles carrying goods in freight (including light-duty commercial vehicles), while the IEA EVI and IRS WRS definition only captures vehicles with weight above 3.5 tons in freight. Light- and heavy-duty vehicle fuel economy and VKT is used to calculate the share of commercial diesel fuel use for each vehicle type. All commercial gasoline fuel use is allocated to LDVs. Commercial vehicle fuel use is split between light and medium/heavy-duty vehicles based on ownership (from the IRF WRS), fuel economy, and VKT.</w:t>
      </w:r>
    </w:p>
  </w:footnote>
  <w:footnote w:id="5">
    <w:p w14:paraId="6257E71D" w14:textId="77777777" w:rsidR="00A25480" w:rsidRPr="00C17EC8" w:rsidRDefault="00A25480" w:rsidP="00A25480">
      <w:pPr>
        <w:pStyle w:val="FootnoteText"/>
        <w:spacing w:before="0" w:after="0" w:line="240" w:lineRule="auto"/>
      </w:pPr>
      <w:r w:rsidRPr="00A70FBC">
        <w:rPr>
          <w:rStyle w:val="FootnoteReference"/>
          <w:sz w:val="16"/>
          <w:szCs w:val="16"/>
        </w:rPr>
        <w:footnoteRef/>
      </w:r>
      <w:r w:rsidRPr="00A70FBC">
        <w:rPr>
          <w:sz w:val="16"/>
          <w:szCs w:val="16"/>
        </w:rPr>
        <w:t xml:space="preserve"> The average fuel economy of new ICEV purchases is not available in cross-country datasets, other than that of the EU. It is calculated assuming that the annual change in the average fuel economy is caused by new vehicles on the market and that the LDVs and HDVs vehicle fleets turnover every 15 and eight years, respectively. The value of LDVs is also used for motorcycles. </w:t>
      </w:r>
    </w:p>
  </w:footnote>
  <w:footnote w:id="6">
    <w:p w14:paraId="1C347610" w14:textId="77777777" w:rsidR="00AA0682" w:rsidRPr="000976CE" w:rsidRDefault="00AA0682" w:rsidP="000976CE">
      <w:pPr>
        <w:pStyle w:val="FootnoteText"/>
        <w:spacing w:before="0" w:after="0" w:line="240" w:lineRule="auto"/>
        <w:rPr>
          <w:sz w:val="16"/>
          <w:szCs w:val="16"/>
        </w:rPr>
      </w:pPr>
      <w:r w:rsidRPr="000976CE">
        <w:rPr>
          <w:rStyle w:val="FootnoteReference"/>
          <w:sz w:val="16"/>
          <w:szCs w:val="16"/>
        </w:rPr>
        <w:footnoteRef/>
      </w:r>
      <w:r w:rsidRPr="000976CE">
        <w:rPr>
          <w:sz w:val="16"/>
          <w:szCs w:val="16"/>
        </w:rPr>
        <w:t xml:space="preserve"> The share of new vehicles that are HDV vs LDV and new vs used vehicles gradually converges with the share seen in high income countries (</w:t>
      </w:r>
      <w:proofErr w:type="gramStart"/>
      <w:r w:rsidRPr="000976CE">
        <w:rPr>
          <w:sz w:val="16"/>
          <w:szCs w:val="16"/>
        </w:rPr>
        <w:t>low income</w:t>
      </w:r>
      <w:proofErr w:type="gramEnd"/>
      <w:r w:rsidRPr="000976CE">
        <w:rPr>
          <w:sz w:val="16"/>
          <w:szCs w:val="16"/>
        </w:rPr>
        <w:t xml:space="preserve"> countries tend to have a greater share of HDVs and used vehicles). 2-3 wheelers are expressed as a ratio to LDVs following </w:t>
      </w:r>
      <w:hyperlink r:id="rId8" w:anchor="fn4" w:history="1">
        <w:r w:rsidRPr="000976CE">
          <w:rPr>
            <w:rStyle w:val="Hyperlink"/>
            <w:sz w:val="16"/>
            <w:szCs w:val="16"/>
          </w:rPr>
          <w:t>Law and others 2015</w:t>
        </w:r>
      </w:hyperlink>
      <w:r w:rsidRPr="000976CE">
        <w:rPr>
          <w:sz w:val="16"/>
          <w:szCs w:val="16"/>
        </w:rPr>
        <w:t>. The portion of used vehicles that were previously new, domestically owned vehicle is held constant.</w:t>
      </w:r>
    </w:p>
  </w:footnote>
  <w:footnote w:id="7">
    <w:p w14:paraId="1AEB7D47" w14:textId="77777777" w:rsidR="00AA0682" w:rsidRPr="000976CE" w:rsidRDefault="00AA0682" w:rsidP="000976CE">
      <w:pPr>
        <w:pStyle w:val="FootnoteText"/>
        <w:spacing w:before="0" w:after="0" w:line="240" w:lineRule="auto"/>
        <w:rPr>
          <w:sz w:val="16"/>
          <w:szCs w:val="16"/>
          <w:highlight w:val="yellow"/>
        </w:rPr>
      </w:pPr>
      <w:r w:rsidRPr="000976CE">
        <w:rPr>
          <w:rStyle w:val="FootnoteReference"/>
          <w:sz w:val="16"/>
          <w:szCs w:val="16"/>
        </w:rPr>
        <w:footnoteRef/>
      </w:r>
      <w:r w:rsidRPr="000976CE">
        <w:rPr>
          <w:sz w:val="16"/>
          <w:szCs w:val="16"/>
        </w:rPr>
        <w:t xml:space="preserve"> The six digit HS codes from 8703 and 8704 are used to determine customs duties for LDV and HDV EVs and ICEVs. For non-tariff policies, data has been collected manually for a subset of large countries.</w:t>
      </w:r>
    </w:p>
  </w:footnote>
  <w:footnote w:id="8">
    <w:p w14:paraId="5731C79C" w14:textId="77777777" w:rsidR="00AA0682" w:rsidRPr="00B0580B" w:rsidRDefault="00AA0682" w:rsidP="00B0580B">
      <w:pPr>
        <w:pStyle w:val="FootnoteText"/>
        <w:spacing w:before="0" w:after="0" w:line="240" w:lineRule="auto"/>
        <w:rPr>
          <w:sz w:val="16"/>
          <w:szCs w:val="16"/>
        </w:rPr>
      </w:pPr>
      <w:r w:rsidRPr="000976CE">
        <w:rPr>
          <w:rStyle w:val="FootnoteReference"/>
          <w:sz w:val="16"/>
          <w:szCs w:val="16"/>
        </w:rPr>
        <w:footnoteRef/>
      </w:r>
      <w:r w:rsidRPr="000976CE">
        <w:rPr>
          <w:sz w:val="16"/>
          <w:szCs w:val="16"/>
        </w:rPr>
        <w:t xml:space="preserve"> Projected range anxiety is impacted by the availability of charging stations to mimic elasticities in </w:t>
      </w:r>
      <w:hyperlink r:id="rId9" w:history="1">
        <w:r w:rsidRPr="000976CE">
          <w:rPr>
            <w:rStyle w:val="Hyperlink"/>
            <w:sz w:val="16"/>
            <w:szCs w:val="16"/>
          </w:rPr>
          <w:t>Cole et al 2021</w:t>
        </w:r>
      </w:hyperlink>
      <w:r w:rsidRPr="000976CE">
        <w:rPr>
          <w:sz w:val="16"/>
          <w:szCs w:val="16"/>
        </w:rPr>
        <w:t xml:space="preserve">. A 10 percent increase in charging availability increases EV uptake by 3.7 percent at relatively low levels of charging availability. The elasticity of </w:t>
      </w:r>
      <w:r w:rsidRPr="00B0580B">
        <w:rPr>
          <w:sz w:val="16"/>
          <w:szCs w:val="16"/>
        </w:rPr>
        <w:t>charging station supply to charging station costs is assumed to be 0.67 (</w:t>
      </w:r>
      <w:hyperlink r:id="rId10" w:history="1">
        <w:r w:rsidRPr="00B0580B">
          <w:rPr>
            <w:rStyle w:val="Hyperlink"/>
            <w:sz w:val="16"/>
            <w:szCs w:val="16"/>
          </w:rPr>
          <w:t>Cole et al 2021</w:t>
        </w:r>
      </w:hyperlink>
      <w:r w:rsidRPr="00B0580B">
        <w:rPr>
          <w:sz w:val="16"/>
          <w:szCs w:val="16"/>
        </w:rPr>
        <w:t>). Charging station availability naturally increases with EV penetration (and vice versa), representing an important network effect.</w:t>
      </w:r>
    </w:p>
  </w:footnote>
  <w:footnote w:id="9">
    <w:p w14:paraId="2BC39C11" w14:textId="77777777" w:rsidR="00AA0682" w:rsidRPr="00B0580B" w:rsidRDefault="00AA0682" w:rsidP="00B0580B">
      <w:pPr>
        <w:pStyle w:val="FootnoteText"/>
        <w:spacing w:before="0" w:after="0" w:line="240" w:lineRule="auto"/>
        <w:rPr>
          <w:sz w:val="16"/>
          <w:szCs w:val="16"/>
        </w:rPr>
      </w:pPr>
      <w:r w:rsidRPr="00B0580B">
        <w:rPr>
          <w:rStyle w:val="FootnoteReference"/>
          <w:sz w:val="16"/>
          <w:szCs w:val="16"/>
        </w:rPr>
        <w:footnoteRef/>
      </w:r>
      <w:r w:rsidRPr="00B0580B">
        <w:rPr>
          <w:sz w:val="16"/>
          <w:szCs w:val="16"/>
        </w:rPr>
        <w:t xml:space="preserve"> A charging utilization increases from low levels to levels achieved in Europe by 2030 (around 50 percent BEV penetration), costs to cover the fixed cost of charging infrastructure falls from USD 0.10 per kWh to 0.02 per kWh (following </w:t>
      </w:r>
      <w:hyperlink r:id="rId11" w:history="1">
        <w:r w:rsidRPr="00B0580B">
          <w:rPr>
            <w:rStyle w:val="Hyperlink"/>
            <w:sz w:val="16"/>
            <w:szCs w:val="16"/>
          </w:rPr>
          <w:t>ICCT 2021</w:t>
        </w:r>
      </w:hyperlink>
      <w:r w:rsidRPr="00B0580B">
        <w:rPr>
          <w:sz w:val="16"/>
          <w:szCs w:val="16"/>
        </w:rPr>
        <w:t>).</w:t>
      </w:r>
    </w:p>
  </w:footnote>
  <w:footnote w:id="10">
    <w:p w14:paraId="0A46FD57" w14:textId="77777777" w:rsidR="00AA0682" w:rsidRPr="00B0580B" w:rsidRDefault="00AA0682" w:rsidP="00B0580B">
      <w:pPr>
        <w:pStyle w:val="FootnoteText"/>
        <w:spacing w:before="0" w:after="0" w:line="240" w:lineRule="auto"/>
        <w:rPr>
          <w:sz w:val="16"/>
          <w:szCs w:val="16"/>
        </w:rPr>
      </w:pPr>
      <w:r w:rsidRPr="00B0580B">
        <w:rPr>
          <w:rStyle w:val="FootnoteReference"/>
          <w:sz w:val="16"/>
          <w:szCs w:val="16"/>
        </w:rPr>
        <w:footnoteRef/>
      </w:r>
      <w:r w:rsidRPr="00B0580B">
        <w:rPr>
          <w:sz w:val="16"/>
          <w:szCs w:val="16"/>
        </w:rPr>
        <w:t xml:space="preserve"> </w:t>
      </w:r>
      <w:bookmarkStart w:id="3" w:name="_Hlk161310213"/>
      <w:r w:rsidRPr="00B0580B">
        <w:rPr>
          <w:sz w:val="16"/>
          <w:szCs w:val="16"/>
        </w:rPr>
        <w:t xml:space="preserve">The evidence on whether EV are driven more than ICEVs is largely mixed for studies focusing on the US (e.g., </w:t>
      </w:r>
      <w:hyperlink r:id="rId12" w:history="1">
        <w:r w:rsidRPr="00B0580B">
          <w:rPr>
            <w:rStyle w:val="Hyperlink"/>
            <w:sz w:val="16"/>
            <w:szCs w:val="16"/>
          </w:rPr>
          <w:t>Zhao et al. 2023</w:t>
        </w:r>
      </w:hyperlink>
      <w:r w:rsidRPr="00B0580B">
        <w:rPr>
          <w:rStyle w:val="Hyperlink"/>
          <w:sz w:val="16"/>
          <w:szCs w:val="16"/>
        </w:rPr>
        <w:t xml:space="preserve">, </w:t>
      </w:r>
      <w:hyperlink r:id="rId13" w:history="1">
        <w:proofErr w:type="spellStart"/>
        <w:r w:rsidRPr="00B0580B">
          <w:rPr>
            <w:rStyle w:val="Hyperlink"/>
            <w:sz w:val="16"/>
            <w:szCs w:val="16"/>
          </w:rPr>
          <w:t>Burlig</w:t>
        </w:r>
        <w:proofErr w:type="spellEnd"/>
        <w:r w:rsidRPr="00B0580B">
          <w:rPr>
            <w:rStyle w:val="Hyperlink"/>
            <w:sz w:val="16"/>
            <w:szCs w:val="16"/>
          </w:rPr>
          <w:t xml:space="preserve"> et al. 2021</w:t>
        </w:r>
      </w:hyperlink>
      <w:r w:rsidRPr="00B0580B">
        <w:rPr>
          <w:sz w:val="16"/>
          <w:szCs w:val="16"/>
        </w:rPr>
        <w:t xml:space="preserve">, </w:t>
      </w:r>
      <w:hyperlink r:id="rId14" w:history="1">
        <w:r w:rsidRPr="00B0580B">
          <w:rPr>
            <w:rStyle w:val="Hyperlink"/>
            <w:sz w:val="16"/>
            <w:szCs w:val="16"/>
          </w:rPr>
          <w:t>Chakraborty et al. 2021</w:t>
        </w:r>
      </w:hyperlink>
      <w:r w:rsidRPr="00B0580B">
        <w:rPr>
          <w:rStyle w:val="Hyperlink"/>
          <w:sz w:val="16"/>
          <w:szCs w:val="16"/>
        </w:rPr>
        <w:t>,</w:t>
      </w:r>
      <w:r w:rsidRPr="00B0580B">
        <w:rPr>
          <w:sz w:val="16"/>
          <w:szCs w:val="16"/>
        </w:rPr>
        <w:t xml:space="preserve"> </w:t>
      </w:r>
      <w:hyperlink r:id="rId15" w:history="1">
        <w:r w:rsidRPr="00B0580B">
          <w:rPr>
            <w:rStyle w:val="Hyperlink"/>
            <w:sz w:val="16"/>
            <w:szCs w:val="16"/>
          </w:rPr>
          <w:t>EPA. 2023</w:t>
        </w:r>
      </w:hyperlink>
      <w:r w:rsidRPr="00B0580B">
        <w:rPr>
          <w:sz w:val="16"/>
          <w:szCs w:val="16"/>
        </w:rPr>
        <w:t xml:space="preserve">, </w:t>
      </w:r>
      <w:hyperlink r:id="rId16" w:anchor=":~:text=Siddhi%20S.,Metcalf&amp;text=We%20find%20that%20selection%20effects,miles%20driven%20is%20battery%20range." w:history="1">
        <w:r w:rsidRPr="00B0580B">
          <w:rPr>
            <w:rStyle w:val="Hyperlink"/>
            <w:sz w:val="16"/>
            <w:szCs w:val="16"/>
          </w:rPr>
          <w:t>Metcalf and Doshi. 2023</w:t>
        </w:r>
      </w:hyperlink>
      <w:r w:rsidRPr="00B0580B">
        <w:rPr>
          <w:rStyle w:val="Hyperlink"/>
          <w:sz w:val="16"/>
          <w:szCs w:val="16"/>
        </w:rPr>
        <w:t>)</w:t>
      </w:r>
      <w:r w:rsidRPr="00B0580B">
        <w:rPr>
          <w:sz w:val="16"/>
          <w:szCs w:val="16"/>
        </w:rPr>
        <w:t>.</w:t>
      </w:r>
      <w:bookmarkEnd w:id="3"/>
      <w:r w:rsidRPr="00B0580B">
        <w:rPr>
          <w:sz w:val="16"/>
          <w:szCs w:val="16"/>
        </w:rPr>
        <w:t xml:space="preserve"> A Norwegian study finds EVs are driven about 10 percent more then ICEVs (</w:t>
      </w:r>
      <w:hyperlink r:id="rId17" w:history="1">
        <w:r w:rsidRPr="00B0580B">
          <w:rPr>
            <w:rStyle w:val="Hyperlink"/>
            <w:sz w:val="16"/>
            <w:szCs w:val="16"/>
          </w:rPr>
          <w:t>Bloomberg 2022</w:t>
        </w:r>
      </w:hyperlink>
      <w:r w:rsidRPr="00B0580B">
        <w:rPr>
          <w:sz w:val="16"/>
          <w:szCs w:val="16"/>
        </w:rPr>
        <w:t xml:space="preserve">, </w:t>
      </w:r>
      <w:hyperlink r:id="rId18" w:history="1">
        <w:r w:rsidRPr="00B0580B">
          <w:rPr>
            <w:rStyle w:val="Hyperlink"/>
            <w:sz w:val="16"/>
            <w:szCs w:val="16"/>
          </w:rPr>
          <w:t>Rystad 2023</w:t>
        </w:r>
      </w:hyperlink>
      <w:r w:rsidRPr="00B0580B">
        <w:rPr>
          <w:sz w:val="16"/>
          <w:szCs w:val="16"/>
        </w:rPr>
        <w:t>). Results for the Norwegian study may have more validity for a country with higher EV uptake and availability of charging stations.</w:t>
      </w:r>
    </w:p>
  </w:footnote>
  <w:footnote w:id="11">
    <w:p w14:paraId="607198D1" w14:textId="4A744E19" w:rsidR="00AA0682" w:rsidRPr="000112F2" w:rsidRDefault="00AA0682" w:rsidP="000112F2">
      <w:pPr>
        <w:pStyle w:val="FootnoteText"/>
        <w:spacing w:before="0" w:after="0" w:line="240" w:lineRule="auto"/>
        <w:rPr>
          <w:sz w:val="16"/>
          <w:szCs w:val="16"/>
        </w:rPr>
      </w:pPr>
      <w:r w:rsidRPr="000112F2">
        <w:rPr>
          <w:rStyle w:val="FootnoteReference"/>
          <w:sz w:val="16"/>
          <w:szCs w:val="16"/>
        </w:rPr>
        <w:footnoteRef/>
      </w:r>
      <w:r w:rsidRPr="000112F2">
        <w:rPr>
          <w:sz w:val="16"/>
          <w:szCs w:val="16"/>
        </w:rPr>
        <w:t xml:space="preserve"> The k-parameter for the logic function is 3 for passenger vehicles, 2 for freight, and 4 for 2-3 wheelers.</w:t>
      </w:r>
    </w:p>
  </w:footnote>
  <w:footnote w:id="12">
    <w:p w14:paraId="01007C32" w14:textId="77777777" w:rsidR="00AA0682" w:rsidRPr="000112F2" w:rsidRDefault="00AA0682" w:rsidP="000112F2">
      <w:pPr>
        <w:pStyle w:val="FootnoteText"/>
        <w:spacing w:before="0" w:after="0" w:line="240" w:lineRule="auto"/>
        <w:rPr>
          <w:sz w:val="16"/>
          <w:szCs w:val="16"/>
        </w:rPr>
      </w:pPr>
      <w:r w:rsidRPr="000112F2">
        <w:rPr>
          <w:rStyle w:val="FootnoteReference"/>
          <w:sz w:val="16"/>
          <w:szCs w:val="16"/>
        </w:rPr>
        <w:footnoteRef/>
      </w:r>
      <w:r w:rsidRPr="000112F2">
        <w:rPr>
          <w:sz w:val="16"/>
          <w:szCs w:val="16"/>
        </w:rPr>
        <w:t xml:space="preserve"> Used vehicles are split between imported used vehicles and used vehicles that were previously owned domestically. There is assumed to be a limited supply of both imported and second-hand domestic used vehicles, which is determined based on the global and domestic number of EV purchases from 10 years ago (i.e., the assumed vehicle ownership period) for passenger vehicles and 4 years ago for freight.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C088" w14:textId="77777777" w:rsidR="005F722E" w:rsidRDefault="005F722E" w:rsidP="005F722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189A" w14:textId="77777777" w:rsidR="005F722E" w:rsidRDefault="005F722E" w:rsidP="005F722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F9E495C"/>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B72F900"/>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695C684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D976226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A2CF066"/>
    <w:lvl w:ilvl="0">
      <w:start w:val="1"/>
      <w:numFmt w:val="bullet"/>
      <w:lvlText w:val=""/>
      <w:lvlJc w:val="left"/>
      <w:pPr>
        <w:tabs>
          <w:tab w:val="num" w:pos="720"/>
        </w:tabs>
        <w:ind w:left="720" w:hanging="720"/>
      </w:pPr>
      <w:rPr>
        <w:rFonts w:ascii="Symbol" w:hAnsi="Symbol" w:hint="default"/>
      </w:rPr>
    </w:lvl>
  </w:abstractNum>
  <w:abstractNum w:abstractNumId="6" w15:restartNumberingAfterBreak="0">
    <w:nsid w:val="14105CA9"/>
    <w:multiLevelType w:val="hybridMultilevel"/>
    <w:tmpl w:val="31C02244"/>
    <w:lvl w:ilvl="0" w:tplc="3CF28AFA">
      <w:start w:val="1"/>
      <w:numFmt w:val="decimal"/>
      <w:pStyle w:val="ParagraphNumbering"/>
      <w:lvlText w:val="%1.     "/>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C4061"/>
    <w:multiLevelType w:val="multilevel"/>
    <w:tmpl w:val="EAD2248A"/>
    <w:lvl w:ilvl="0">
      <w:start w:val="1"/>
      <w:numFmt w:val="bullet"/>
      <w:pStyle w:val="ListParagraph"/>
      <w:lvlText w:val=""/>
      <w:lvlJc w:val="left"/>
      <w:pPr>
        <w:ind w:left="216" w:hanging="216"/>
      </w:pPr>
      <w:rPr>
        <w:rFonts w:ascii="Wingdings" w:hAnsi="Wingdings" w:hint="default"/>
      </w:rPr>
    </w:lvl>
    <w:lvl w:ilvl="1">
      <w:start w:val="1"/>
      <w:numFmt w:val="bullet"/>
      <w:lvlText w:val="o"/>
      <w:lvlJc w:val="left"/>
      <w:pPr>
        <w:ind w:left="432" w:hanging="216"/>
      </w:pPr>
      <w:rPr>
        <w:rFonts w:ascii="Courier New" w:hAnsi="Courier New" w:hint="default"/>
      </w:rPr>
    </w:lvl>
    <w:lvl w:ilvl="2">
      <w:start w:val="1"/>
      <w:numFmt w:val="bullet"/>
      <w:lvlText w:val=""/>
      <w:lvlJc w:val="left"/>
      <w:pPr>
        <w:ind w:left="648" w:hanging="216"/>
      </w:pPr>
      <w:rPr>
        <w:rFonts w:ascii="Wingdings" w:hAnsi="Wingdings" w:hint="default"/>
      </w:rPr>
    </w:lvl>
    <w:lvl w:ilvl="3">
      <w:start w:val="1"/>
      <w:numFmt w:val="bullet"/>
      <w:lvlText w:val=""/>
      <w:lvlJc w:val="left"/>
      <w:pPr>
        <w:ind w:left="1080" w:firstLine="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8" w15:restartNumberingAfterBreak="0">
    <w:nsid w:val="2C8C2E11"/>
    <w:multiLevelType w:val="hybridMultilevel"/>
    <w:tmpl w:val="D960C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083BCF"/>
    <w:multiLevelType w:val="hybridMultilevel"/>
    <w:tmpl w:val="8E26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73B90"/>
    <w:multiLevelType w:val="hybridMultilevel"/>
    <w:tmpl w:val="4526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8C42FD"/>
    <w:multiLevelType w:val="multilevel"/>
    <w:tmpl w:val="84788A78"/>
    <w:lvl w:ilvl="0">
      <w:start w:val="1"/>
      <w:numFmt w:val="bullet"/>
      <w:pStyle w:val="ListBullet"/>
      <w:lvlText w:val=""/>
      <w:lvlJc w:val="left"/>
      <w:pPr>
        <w:ind w:left="216" w:hanging="216"/>
      </w:pPr>
      <w:rPr>
        <w:rFonts w:ascii="Symbol" w:hAnsi="Symbol" w:cs="Times New Roman" w:hint="default"/>
        <w:color w:val="auto"/>
      </w:rPr>
    </w:lvl>
    <w:lvl w:ilvl="1">
      <w:start w:val="1"/>
      <w:numFmt w:val="bullet"/>
      <w:lvlText w:val="o"/>
      <w:lvlJc w:val="left"/>
      <w:pPr>
        <w:ind w:left="432" w:hanging="216"/>
      </w:pPr>
      <w:rPr>
        <w:rFonts w:ascii="Courier New" w:hAnsi="Courier New" w:cs="Times New Roman" w:hint="default"/>
      </w:rPr>
    </w:lvl>
    <w:lvl w:ilvl="2">
      <w:start w:val="1"/>
      <w:numFmt w:val="bullet"/>
      <w:lvlText w:val=""/>
      <w:lvlJc w:val="left"/>
      <w:pPr>
        <w:ind w:left="648" w:hanging="216"/>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70EA15A1"/>
    <w:multiLevelType w:val="multilevel"/>
    <w:tmpl w:val="68701036"/>
    <w:lvl w:ilvl="0">
      <w:start w:val="1"/>
      <w:numFmt w:val="upperRoman"/>
      <w:suff w:val="nothing"/>
      <w:lvlText w:val="%1.   "/>
      <w:lvlJc w:val="left"/>
      <w:pPr>
        <w:ind w:left="0" w:firstLine="0"/>
      </w:pPr>
      <w:rPr>
        <w:rFonts w:hint="default"/>
      </w:rPr>
    </w:lvl>
    <w:lvl w:ilvl="1">
      <w:start w:val="1"/>
      <w:numFmt w:val="upperLetter"/>
      <w:suff w:val="nothing"/>
      <w:lvlText w:val="%2.   "/>
      <w:lvlJc w:val="left"/>
      <w:pPr>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num w:numId="1" w16cid:durableId="1895776153">
    <w:abstractNumId w:val="12"/>
  </w:num>
  <w:num w:numId="2" w16cid:durableId="572858910">
    <w:abstractNumId w:val="12"/>
  </w:num>
  <w:num w:numId="3" w16cid:durableId="501354285">
    <w:abstractNumId w:val="5"/>
  </w:num>
  <w:num w:numId="4" w16cid:durableId="306403401">
    <w:abstractNumId w:val="5"/>
  </w:num>
  <w:num w:numId="5" w16cid:durableId="1490631793">
    <w:abstractNumId w:val="3"/>
  </w:num>
  <w:num w:numId="6" w16cid:durableId="830561950">
    <w:abstractNumId w:val="3"/>
  </w:num>
  <w:num w:numId="7" w16cid:durableId="1755124123">
    <w:abstractNumId w:val="2"/>
  </w:num>
  <w:num w:numId="8" w16cid:durableId="1769424671">
    <w:abstractNumId w:val="2"/>
  </w:num>
  <w:num w:numId="9" w16cid:durableId="2044288175">
    <w:abstractNumId w:val="1"/>
  </w:num>
  <w:num w:numId="10" w16cid:durableId="1875069388">
    <w:abstractNumId w:val="1"/>
  </w:num>
  <w:num w:numId="11" w16cid:durableId="1321350272">
    <w:abstractNumId w:val="0"/>
  </w:num>
  <w:num w:numId="12" w16cid:durableId="1619533485">
    <w:abstractNumId w:val="0"/>
  </w:num>
  <w:num w:numId="13" w16cid:durableId="1246765073">
    <w:abstractNumId w:val="4"/>
  </w:num>
  <w:num w:numId="14" w16cid:durableId="879050345">
    <w:abstractNumId w:val="4"/>
  </w:num>
  <w:num w:numId="15" w16cid:durableId="1204253678">
    <w:abstractNumId w:val="6"/>
  </w:num>
  <w:num w:numId="16" w16cid:durableId="542982135">
    <w:abstractNumId w:val="7"/>
  </w:num>
  <w:num w:numId="17" w16cid:durableId="1167596332">
    <w:abstractNumId w:val="7"/>
  </w:num>
  <w:num w:numId="18" w16cid:durableId="853376234">
    <w:abstractNumId w:val="11"/>
  </w:num>
  <w:num w:numId="19" w16cid:durableId="977078304">
    <w:abstractNumId w:val="10"/>
  </w:num>
  <w:num w:numId="20" w16cid:durableId="1752268582">
    <w:abstractNumId w:val="9"/>
  </w:num>
  <w:num w:numId="21" w16cid:durableId="14549855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ry, Ian">
    <w15:presenceInfo w15:providerId="AD" w15:userId="S::IParry@imf.org::18ef9beb-3622-43e8-8031-cba0590b9659"/>
  </w15:person>
  <w15:person w15:author="Vernon, Nate">
    <w15:presenceInfo w15:providerId="AD" w15:userId="S::NVernon@imf.org::02090189-02e5-4ce9-8ca4-171d67547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2B5"/>
    <w:rsid w:val="00000589"/>
    <w:rsid w:val="000112F2"/>
    <w:rsid w:val="000245BD"/>
    <w:rsid w:val="0003076A"/>
    <w:rsid w:val="0003492D"/>
    <w:rsid w:val="00037811"/>
    <w:rsid w:val="000422A3"/>
    <w:rsid w:val="00045395"/>
    <w:rsid w:val="00046C91"/>
    <w:rsid w:val="0005336F"/>
    <w:rsid w:val="00057203"/>
    <w:rsid w:val="00057A84"/>
    <w:rsid w:val="00064DD4"/>
    <w:rsid w:val="00065DC2"/>
    <w:rsid w:val="00070765"/>
    <w:rsid w:val="000814A2"/>
    <w:rsid w:val="0008362E"/>
    <w:rsid w:val="000852C4"/>
    <w:rsid w:val="000876B7"/>
    <w:rsid w:val="00092CBE"/>
    <w:rsid w:val="000976CE"/>
    <w:rsid w:val="000A1AEE"/>
    <w:rsid w:val="000A7CD2"/>
    <w:rsid w:val="000B2402"/>
    <w:rsid w:val="000B7010"/>
    <w:rsid w:val="000C32EC"/>
    <w:rsid w:val="000C34C5"/>
    <w:rsid w:val="000C6157"/>
    <w:rsid w:val="000E27A4"/>
    <w:rsid w:val="000F2537"/>
    <w:rsid w:val="000F5251"/>
    <w:rsid w:val="00112166"/>
    <w:rsid w:val="00113825"/>
    <w:rsid w:val="00117D87"/>
    <w:rsid w:val="001316D3"/>
    <w:rsid w:val="0013582C"/>
    <w:rsid w:val="0013744E"/>
    <w:rsid w:val="00150473"/>
    <w:rsid w:val="00153CCC"/>
    <w:rsid w:val="00155134"/>
    <w:rsid w:val="00156221"/>
    <w:rsid w:val="00157242"/>
    <w:rsid w:val="00160268"/>
    <w:rsid w:val="00161729"/>
    <w:rsid w:val="00170414"/>
    <w:rsid w:val="001732D5"/>
    <w:rsid w:val="00173593"/>
    <w:rsid w:val="00180275"/>
    <w:rsid w:val="00183728"/>
    <w:rsid w:val="00185E98"/>
    <w:rsid w:val="00190D80"/>
    <w:rsid w:val="0019220A"/>
    <w:rsid w:val="0019315B"/>
    <w:rsid w:val="001975C5"/>
    <w:rsid w:val="001B3C34"/>
    <w:rsid w:val="001D081E"/>
    <w:rsid w:val="00211258"/>
    <w:rsid w:val="00211FE2"/>
    <w:rsid w:val="00213AC1"/>
    <w:rsid w:val="00223CAA"/>
    <w:rsid w:val="0023248F"/>
    <w:rsid w:val="00232FB2"/>
    <w:rsid w:val="00236A99"/>
    <w:rsid w:val="0024115D"/>
    <w:rsid w:val="002462B6"/>
    <w:rsid w:val="002513C5"/>
    <w:rsid w:val="00257B7A"/>
    <w:rsid w:val="00260081"/>
    <w:rsid w:val="00271225"/>
    <w:rsid w:val="00281998"/>
    <w:rsid w:val="002830C1"/>
    <w:rsid w:val="00286F0A"/>
    <w:rsid w:val="002941B2"/>
    <w:rsid w:val="002B2302"/>
    <w:rsid w:val="002B64BC"/>
    <w:rsid w:val="002B6A46"/>
    <w:rsid w:val="002D0960"/>
    <w:rsid w:val="002D1B7E"/>
    <w:rsid w:val="002D6115"/>
    <w:rsid w:val="002E18E1"/>
    <w:rsid w:val="002F0258"/>
    <w:rsid w:val="00300253"/>
    <w:rsid w:val="00301CE0"/>
    <w:rsid w:val="00310392"/>
    <w:rsid w:val="00310891"/>
    <w:rsid w:val="003204FD"/>
    <w:rsid w:val="00322605"/>
    <w:rsid w:val="00325E95"/>
    <w:rsid w:val="003321B9"/>
    <w:rsid w:val="003345E9"/>
    <w:rsid w:val="00340E5D"/>
    <w:rsid w:val="0035726B"/>
    <w:rsid w:val="00364EF4"/>
    <w:rsid w:val="003712A7"/>
    <w:rsid w:val="00373C74"/>
    <w:rsid w:val="003745C1"/>
    <w:rsid w:val="00376126"/>
    <w:rsid w:val="003813B1"/>
    <w:rsid w:val="00382DA8"/>
    <w:rsid w:val="00385D1A"/>
    <w:rsid w:val="00386A3E"/>
    <w:rsid w:val="00387FD2"/>
    <w:rsid w:val="003910C1"/>
    <w:rsid w:val="003920B3"/>
    <w:rsid w:val="00393E59"/>
    <w:rsid w:val="003A1094"/>
    <w:rsid w:val="003A72F0"/>
    <w:rsid w:val="003B44FE"/>
    <w:rsid w:val="003C5BF0"/>
    <w:rsid w:val="003D051B"/>
    <w:rsid w:val="003D2443"/>
    <w:rsid w:val="003D2B61"/>
    <w:rsid w:val="003E12F1"/>
    <w:rsid w:val="003E4417"/>
    <w:rsid w:val="003E5141"/>
    <w:rsid w:val="003E6B4F"/>
    <w:rsid w:val="003F2CCF"/>
    <w:rsid w:val="00413775"/>
    <w:rsid w:val="004314E3"/>
    <w:rsid w:val="0044554A"/>
    <w:rsid w:val="00451C7E"/>
    <w:rsid w:val="004531D3"/>
    <w:rsid w:val="00457959"/>
    <w:rsid w:val="00472608"/>
    <w:rsid w:val="00474BAF"/>
    <w:rsid w:val="00481365"/>
    <w:rsid w:val="00482651"/>
    <w:rsid w:val="00482FE5"/>
    <w:rsid w:val="0049238A"/>
    <w:rsid w:val="004946A0"/>
    <w:rsid w:val="004A4286"/>
    <w:rsid w:val="004B4593"/>
    <w:rsid w:val="004E0C9B"/>
    <w:rsid w:val="004F3DA7"/>
    <w:rsid w:val="004F5E38"/>
    <w:rsid w:val="00510478"/>
    <w:rsid w:val="005122F5"/>
    <w:rsid w:val="0051455E"/>
    <w:rsid w:val="00516F7C"/>
    <w:rsid w:val="00525EC2"/>
    <w:rsid w:val="005267B6"/>
    <w:rsid w:val="00527B01"/>
    <w:rsid w:val="00531040"/>
    <w:rsid w:val="0053406D"/>
    <w:rsid w:val="00573FD1"/>
    <w:rsid w:val="00592E00"/>
    <w:rsid w:val="005B5379"/>
    <w:rsid w:val="005B6103"/>
    <w:rsid w:val="005C0460"/>
    <w:rsid w:val="005C162A"/>
    <w:rsid w:val="005C5902"/>
    <w:rsid w:val="005D2376"/>
    <w:rsid w:val="005E01E1"/>
    <w:rsid w:val="005F0D3F"/>
    <w:rsid w:val="005F45A5"/>
    <w:rsid w:val="005F4CE3"/>
    <w:rsid w:val="005F722E"/>
    <w:rsid w:val="005F724E"/>
    <w:rsid w:val="0060374F"/>
    <w:rsid w:val="00610EB2"/>
    <w:rsid w:val="00611119"/>
    <w:rsid w:val="006115BA"/>
    <w:rsid w:val="0061550F"/>
    <w:rsid w:val="0062197A"/>
    <w:rsid w:val="00624120"/>
    <w:rsid w:val="006345E8"/>
    <w:rsid w:val="00643B19"/>
    <w:rsid w:val="00654051"/>
    <w:rsid w:val="006614BE"/>
    <w:rsid w:val="006622B2"/>
    <w:rsid w:val="0066355A"/>
    <w:rsid w:val="00665126"/>
    <w:rsid w:val="00672E22"/>
    <w:rsid w:val="00695ABC"/>
    <w:rsid w:val="006969BB"/>
    <w:rsid w:val="006A297B"/>
    <w:rsid w:val="006C3725"/>
    <w:rsid w:val="006C41BB"/>
    <w:rsid w:val="006E41A5"/>
    <w:rsid w:val="006E5C06"/>
    <w:rsid w:val="006E6F58"/>
    <w:rsid w:val="006F0C58"/>
    <w:rsid w:val="006F658C"/>
    <w:rsid w:val="006F7E43"/>
    <w:rsid w:val="007033A3"/>
    <w:rsid w:val="00707CC6"/>
    <w:rsid w:val="007178C5"/>
    <w:rsid w:val="007565E8"/>
    <w:rsid w:val="00763759"/>
    <w:rsid w:val="00781C29"/>
    <w:rsid w:val="00791B58"/>
    <w:rsid w:val="007A2DC8"/>
    <w:rsid w:val="007D2D65"/>
    <w:rsid w:val="007D56C0"/>
    <w:rsid w:val="007D6E7B"/>
    <w:rsid w:val="007D79DE"/>
    <w:rsid w:val="007E3B31"/>
    <w:rsid w:val="007E488A"/>
    <w:rsid w:val="007E628F"/>
    <w:rsid w:val="007F425F"/>
    <w:rsid w:val="007F47DE"/>
    <w:rsid w:val="007F7806"/>
    <w:rsid w:val="008049AC"/>
    <w:rsid w:val="008071A8"/>
    <w:rsid w:val="00807E50"/>
    <w:rsid w:val="008120EA"/>
    <w:rsid w:val="008201C3"/>
    <w:rsid w:val="008206D2"/>
    <w:rsid w:val="00823D6A"/>
    <w:rsid w:val="00823DE3"/>
    <w:rsid w:val="00825022"/>
    <w:rsid w:val="008342DF"/>
    <w:rsid w:val="00834E6F"/>
    <w:rsid w:val="00844741"/>
    <w:rsid w:val="008451C3"/>
    <w:rsid w:val="0085232B"/>
    <w:rsid w:val="008552B5"/>
    <w:rsid w:val="0086550A"/>
    <w:rsid w:val="00865E1D"/>
    <w:rsid w:val="00866B74"/>
    <w:rsid w:val="0088661B"/>
    <w:rsid w:val="0089227D"/>
    <w:rsid w:val="008A3DEB"/>
    <w:rsid w:val="008B2F68"/>
    <w:rsid w:val="008B4BBF"/>
    <w:rsid w:val="008B69AD"/>
    <w:rsid w:val="008B7B0F"/>
    <w:rsid w:val="008C19EC"/>
    <w:rsid w:val="008C5C9F"/>
    <w:rsid w:val="008C5CFF"/>
    <w:rsid w:val="008E527D"/>
    <w:rsid w:val="009113D5"/>
    <w:rsid w:val="00912AD1"/>
    <w:rsid w:val="009219FA"/>
    <w:rsid w:val="00923C0D"/>
    <w:rsid w:val="00940E2D"/>
    <w:rsid w:val="00940EDA"/>
    <w:rsid w:val="00941010"/>
    <w:rsid w:val="0096117E"/>
    <w:rsid w:val="00980DE6"/>
    <w:rsid w:val="009817A9"/>
    <w:rsid w:val="00986645"/>
    <w:rsid w:val="00987021"/>
    <w:rsid w:val="00996BA9"/>
    <w:rsid w:val="009A0FBE"/>
    <w:rsid w:val="009A78D9"/>
    <w:rsid w:val="009B47BE"/>
    <w:rsid w:val="009D2C5C"/>
    <w:rsid w:val="009D3D33"/>
    <w:rsid w:val="009D5AE3"/>
    <w:rsid w:val="009D79DF"/>
    <w:rsid w:val="009D7DC4"/>
    <w:rsid w:val="009F36EA"/>
    <w:rsid w:val="00A00B76"/>
    <w:rsid w:val="00A114C5"/>
    <w:rsid w:val="00A14445"/>
    <w:rsid w:val="00A15950"/>
    <w:rsid w:val="00A25480"/>
    <w:rsid w:val="00A33B79"/>
    <w:rsid w:val="00A47610"/>
    <w:rsid w:val="00A47D90"/>
    <w:rsid w:val="00A5041B"/>
    <w:rsid w:val="00A657E2"/>
    <w:rsid w:val="00A70E79"/>
    <w:rsid w:val="00A70FBC"/>
    <w:rsid w:val="00A761F0"/>
    <w:rsid w:val="00A85FFB"/>
    <w:rsid w:val="00A8683E"/>
    <w:rsid w:val="00A8775A"/>
    <w:rsid w:val="00A92157"/>
    <w:rsid w:val="00A92D90"/>
    <w:rsid w:val="00AA0682"/>
    <w:rsid w:val="00AB57C3"/>
    <w:rsid w:val="00AC0211"/>
    <w:rsid w:val="00AC039B"/>
    <w:rsid w:val="00AC10FE"/>
    <w:rsid w:val="00AC12D9"/>
    <w:rsid w:val="00AD116A"/>
    <w:rsid w:val="00AD3C51"/>
    <w:rsid w:val="00AE3BC4"/>
    <w:rsid w:val="00AE4AA9"/>
    <w:rsid w:val="00AE79B1"/>
    <w:rsid w:val="00B0580B"/>
    <w:rsid w:val="00B07B3E"/>
    <w:rsid w:val="00B10013"/>
    <w:rsid w:val="00B16BE5"/>
    <w:rsid w:val="00B2254D"/>
    <w:rsid w:val="00B24875"/>
    <w:rsid w:val="00B32856"/>
    <w:rsid w:val="00B32C5B"/>
    <w:rsid w:val="00B330F2"/>
    <w:rsid w:val="00B34F91"/>
    <w:rsid w:val="00B4788F"/>
    <w:rsid w:val="00B52183"/>
    <w:rsid w:val="00B559BC"/>
    <w:rsid w:val="00B66555"/>
    <w:rsid w:val="00B75875"/>
    <w:rsid w:val="00B840A0"/>
    <w:rsid w:val="00B9086C"/>
    <w:rsid w:val="00B94878"/>
    <w:rsid w:val="00BB1922"/>
    <w:rsid w:val="00BB43F2"/>
    <w:rsid w:val="00BB45B2"/>
    <w:rsid w:val="00BC5F0C"/>
    <w:rsid w:val="00BD27D8"/>
    <w:rsid w:val="00BE39D6"/>
    <w:rsid w:val="00BF07CB"/>
    <w:rsid w:val="00BF179D"/>
    <w:rsid w:val="00BF4992"/>
    <w:rsid w:val="00C03302"/>
    <w:rsid w:val="00C15EE9"/>
    <w:rsid w:val="00C22CCA"/>
    <w:rsid w:val="00C33B7F"/>
    <w:rsid w:val="00C352B5"/>
    <w:rsid w:val="00C51D5F"/>
    <w:rsid w:val="00C622E0"/>
    <w:rsid w:val="00C63BD6"/>
    <w:rsid w:val="00C660C3"/>
    <w:rsid w:val="00C67014"/>
    <w:rsid w:val="00C847D1"/>
    <w:rsid w:val="00C865CC"/>
    <w:rsid w:val="00CB3212"/>
    <w:rsid w:val="00CD30EA"/>
    <w:rsid w:val="00CE0F13"/>
    <w:rsid w:val="00CE4A79"/>
    <w:rsid w:val="00CE4F42"/>
    <w:rsid w:val="00CE5A58"/>
    <w:rsid w:val="00CE7BAA"/>
    <w:rsid w:val="00CF20A5"/>
    <w:rsid w:val="00CF2C6D"/>
    <w:rsid w:val="00D05BE3"/>
    <w:rsid w:val="00D10037"/>
    <w:rsid w:val="00D11BC6"/>
    <w:rsid w:val="00D17227"/>
    <w:rsid w:val="00D247CD"/>
    <w:rsid w:val="00D302E2"/>
    <w:rsid w:val="00D30A6B"/>
    <w:rsid w:val="00D3128F"/>
    <w:rsid w:val="00D35612"/>
    <w:rsid w:val="00D418BE"/>
    <w:rsid w:val="00D53750"/>
    <w:rsid w:val="00D54111"/>
    <w:rsid w:val="00D54D74"/>
    <w:rsid w:val="00D87E53"/>
    <w:rsid w:val="00D9298C"/>
    <w:rsid w:val="00D93707"/>
    <w:rsid w:val="00D9798F"/>
    <w:rsid w:val="00DA4200"/>
    <w:rsid w:val="00DB2727"/>
    <w:rsid w:val="00DB277C"/>
    <w:rsid w:val="00DB73A0"/>
    <w:rsid w:val="00DD054C"/>
    <w:rsid w:val="00DD2078"/>
    <w:rsid w:val="00DD3052"/>
    <w:rsid w:val="00DD4C27"/>
    <w:rsid w:val="00E25AAD"/>
    <w:rsid w:val="00E31E53"/>
    <w:rsid w:val="00E40F89"/>
    <w:rsid w:val="00E43F36"/>
    <w:rsid w:val="00E52EEF"/>
    <w:rsid w:val="00E557D1"/>
    <w:rsid w:val="00E56FC8"/>
    <w:rsid w:val="00E62F95"/>
    <w:rsid w:val="00E67824"/>
    <w:rsid w:val="00E67C44"/>
    <w:rsid w:val="00E71A70"/>
    <w:rsid w:val="00E72CCB"/>
    <w:rsid w:val="00E75924"/>
    <w:rsid w:val="00E80970"/>
    <w:rsid w:val="00E81D0C"/>
    <w:rsid w:val="00E86F60"/>
    <w:rsid w:val="00E9059C"/>
    <w:rsid w:val="00E97ECC"/>
    <w:rsid w:val="00EA7E21"/>
    <w:rsid w:val="00EB2797"/>
    <w:rsid w:val="00EB2811"/>
    <w:rsid w:val="00EB2E14"/>
    <w:rsid w:val="00EB5F6B"/>
    <w:rsid w:val="00ED41CF"/>
    <w:rsid w:val="00EE1BD0"/>
    <w:rsid w:val="00EE5534"/>
    <w:rsid w:val="00F033CC"/>
    <w:rsid w:val="00F04B72"/>
    <w:rsid w:val="00F078E4"/>
    <w:rsid w:val="00F32FCC"/>
    <w:rsid w:val="00F45977"/>
    <w:rsid w:val="00F51ADB"/>
    <w:rsid w:val="00F52826"/>
    <w:rsid w:val="00F53B19"/>
    <w:rsid w:val="00F56ADE"/>
    <w:rsid w:val="00F629FD"/>
    <w:rsid w:val="00F713C0"/>
    <w:rsid w:val="00F71692"/>
    <w:rsid w:val="00F74D1B"/>
    <w:rsid w:val="00F802A0"/>
    <w:rsid w:val="00FA6AF7"/>
    <w:rsid w:val="00FB12A6"/>
    <w:rsid w:val="00FB242A"/>
    <w:rsid w:val="00FC3998"/>
    <w:rsid w:val="00FC3E65"/>
    <w:rsid w:val="00FE009D"/>
    <w:rsid w:val="00FE04A9"/>
    <w:rsid w:val="00FE66A2"/>
    <w:rsid w:val="00FE7833"/>
    <w:rsid w:val="00FF1AD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62B1"/>
  <w15:chartTrackingRefBased/>
  <w15:docId w15:val="{472195DC-D818-4621-8FC3-3807AD8F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8" w:unhideWhenUsed="1" w:qFormat="1"/>
    <w:lsdException w:name="heading 8" w:semiHidden="1" w:uiPriority="8" w:unhideWhenUsed="1" w:qFormat="1"/>
    <w:lsdException w:name="heading 9" w:semiHidden="1" w:uiPriority="8" w:unhideWhenUsed="1" w:qFormat="1"/>
    <w:lsdException w:name="index 1" w:semiHidden="1" w:uiPriority="8" w:unhideWhenUsed="1"/>
    <w:lsdException w:name="index 2" w:semiHidden="1" w:uiPriority="8" w:unhideWhenUsed="1"/>
    <w:lsdException w:name="index 3" w:semiHidden="1" w:uiPriority="8" w:unhideWhenUsed="1"/>
    <w:lsdException w:name="index 4" w:semiHidden="1" w:uiPriority="8" w:unhideWhenUsed="1"/>
    <w:lsdException w:name="index 5" w:semiHidden="1" w:uiPriority="8" w:unhideWhenUsed="1"/>
    <w:lsdException w:name="index 6" w:semiHidden="1" w:uiPriority="8" w:unhideWhenUsed="1"/>
    <w:lsdException w:name="index 7" w:semiHidden="1" w:uiPriority="8" w:unhideWhenUsed="1"/>
    <w:lsdException w:name="index 8" w:semiHidden="1" w:uiPriority="8" w:unhideWhenUsed="1"/>
    <w:lsdException w:name="index 9" w:semiHidden="1" w:uiPriority="8" w:unhideWhenUsed="1"/>
    <w:lsdException w:name="toc 1" w:semiHidden="1" w:uiPriority="8" w:unhideWhenUsed="1"/>
    <w:lsdException w:name="toc 2" w:semiHidden="1" w:uiPriority="8" w:unhideWhenUsed="1"/>
    <w:lsdException w:name="toc 3" w:semiHidden="1" w:uiPriority="8" w:unhideWhenUsed="1"/>
    <w:lsdException w:name="toc 4" w:semiHidden="1" w:uiPriority="8" w:unhideWhenUsed="1"/>
    <w:lsdException w:name="toc 5" w:semiHidden="1" w:uiPriority="8" w:unhideWhenUsed="1"/>
    <w:lsdException w:name="toc 6" w:semiHidden="1" w:uiPriority="8" w:unhideWhenUsed="1"/>
    <w:lsdException w:name="toc 7" w:semiHidden="1" w:uiPriority="8" w:unhideWhenUsed="1"/>
    <w:lsdException w:name="toc 8" w:semiHidden="1" w:uiPriority="8" w:unhideWhenUsed="1"/>
    <w:lsdException w:name="toc 9" w:semiHidden="1" w:uiPriority="8"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iPriority="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8" w:unhideWhenUsed="1"/>
    <w:lsdException w:name="List Bullet 4" w:semiHidden="1" w:uiPriority="8"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2B5"/>
    <w:pPr>
      <w:spacing w:before="160" w:after="0" w:line="300" w:lineRule="auto"/>
    </w:pPr>
    <w:rPr>
      <w:rFonts w:ascii="Arial" w:hAnsi="Arial" w:cs="Times New Roman"/>
      <w:sz w:val="20"/>
      <w:szCs w:val="24"/>
    </w:rPr>
  </w:style>
  <w:style w:type="paragraph" w:styleId="Heading1">
    <w:name w:val="heading 1"/>
    <w:basedOn w:val="Normal"/>
    <w:next w:val="Normal"/>
    <w:link w:val="Heading1Char"/>
    <w:uiPriority w:val="1"/>
    <w:qFormat/>
    <w:rsid w:val="00A85FFB"/>
    <w:pPr>
      <w:snapToGrid w:val="0"/>
      <w:spacing w:before="240" w:line="257" w:lineRule="auto"/>
      <w:outlineLvl w:val="0"/>
    </w:pPr>
    <w:rPr>
      <w:rFonts w:eastAsia="Century Gothic" w:cs="Arial"/>
      <w:color w:val="808080" w:themeColor="background1" w:themeShade="80"/>
      <w:spacing w:val="2"/>
      <w:sz w:val="42"/>
      <w:szCs w:val="42"/>
    </w:rPr>
  </w:style>
  <w:style w:type="paragraph" w:styleId="Heading2">
    <w:name w:val="heading 2"/>
    <w:basedOn w:val="Normal"/>
    <w:next w:val="Normal"/>
    <w:link w:val="Heading2Char"/>
    <w:uiPriority w:val="1"/>
    <w:qFormat/>
    <w:rsid w:val="00A85FFB"/>
    <w:pPr>
      <w:pBdr>
        <w:bottom w:val="single" w:sz="8" w:space="1" w:color="A6A6A6"/>
      </w:pBdr>
      <w:snapToGrid w:val="0"/>
      <w:spacing w:before="480" w:after="120"/>
      <w:outlineLvl w:val="1"/>
    </w:pPr>
    <w:rPr>
      <w:rFonts w:eastAsia="Century Gothic" w:cs="Arial (Body)"/>
      <w:b/>
      <w:caps/>
      <w:color w:val="009CDE"/>
      <w:szCs w:val="20"/>
    </w:rPr>
  </w:style>
  <w:style w:type="paragraph" w:styleId="Heading3">
    <w:name w:val="heading 3"/>
    <w:basedOn w:val="Normal"/>
    <w:next w:val="Normal"/>
    <w:link w:val="Heading3Char"/>
    <w:uiPriority w:val="1"/>
    <w:qFormat/>
    <w:rsid w:val="006C41BB"/>
    <w:pPr>
      <w:snapToGrid w:val="0"/>
      <w:spacing w:before="240"/>
      <w:outlineLvl w:val="2"/>
    </w:pPr>
    <w:rPr>
      <w:rFonts w:eastAsiaTheme="majorEastAsia" w:cstheme="majorBidi"/>
      <w:caps/>
      <w:color w:val="707372"/>
      <w:szCs w:val="20"/>
    </w:rPr>
  </w:style>
  <w:style w:type="paragraph" w:styleId="Heading4">
    <w:name w:val="heading 4"/>
    <w:basedOn w:val="Normal"/>
    <w:next w:val="Normal"/>
    <w:link w:val="Heading4Char"/>
    <w:uiPriority w:val="1"/>
    <w:qFormat/>
    <w:rsid w:val="008A3DEB"/>
    <w:pPr>
      <w:keepNext/>
      <w:spacing w:after="240"/>
      <w:outlineLvl w:val="3"/>
    </w:pPr>
    <w:rPr>
      <w:b/>
      <w:bCs/>
      <w:i/>
      <w:szCs w:val="28"/>
    </w:rPr>
  </w:style>
  <w:style w:type="paragraph" w:styleId="Heading5">
    <w:name w:val="heading 5"/>
    <w:basedOn w:val="Normal"/>
    <w:next w:val="Normal"/>
    <w:link w:val="Heading5Char"/>
    <w:uiPriority w:val="13"/>
    <w:unhideWhenUsed/>
    <w:qFormat/>
    <w:rsid w:val="008A3DEB"/>
    <w:pPr>
      <w:keepNext/>
      <w:spacing w:after="240"/>
      <w:outlineLvl w:val="4"/>
    </w:pPr>
    <w:rPr>
      <w:bCs/>
      <w:i/>
      <w:iCs/>
      <w:szCs w:val="26"/>
    </w:rPr>
  </w:style>
  <w:style w:type="paragraph" w:styleId="Heading6">
    <w:name w:val="heading 6"/>
    <w:basedOn w:val="Normal"/>
    <w:next w:val="Normal"/>
    <w:link w:val="Heading6Char"/>
    <w:uiPriority w:val="8"/>
    <w:rsid w:val="008A3DEB"/>
    <w:pPr>
      <w:outlineLvl w:val="5"/>
    </w:pPr>
    <w:rPr>
      <w:bCs/>
      <w:szCs w:val="22"/>
    </w:rPr>
  </w:style>
  <w:style w:type="paragraph" w:styleId="Heading7">
    <w:name w:val="heading 7"/>
    <w:basedOn w:val="Normal"/>
    <w:next w:val="Normal"/>
    <w:link w:val="Heading7Char"/>
    <w:uiPriority w:val="8"/>
    <w:rsid w:val="008A3DEB"/>
    <w:pPr>
      <w:outlineLvl w:val="6"/>
    </w:pPr>
  </w:style>
  <w:style w:type="paragraph" w:styleId="Heading8">
    <w:name w:val="heading 8"/>
    <w:basedOn w:val="Normal"/>
    <w:next w:val="Normal"/>
    <w:link w:val="Heading8Char"/>
    <w:uiPriority w:val="8"/>
    <w:rsid w:val="008A3DEB"/>
    <w:pPr>
      <w:outlineLvl w:val="7"/>
    </w:pPr>
    <w:rPr>
      <w:iCs/>
    </w:rPr>
  </w:style>
  <w:style w:type="paragraph" w:styleId="Heading9">
    <w:name w:val="heading 9"/>
    <w:basedOn w:val="Normal"/>
    <w:next w:val="Normal"/>
    <w:link w:val="Heading9Char"/>
    <w:uiPriority w:val="8"/>
    <w:rsid w:val="008A3DEB"/>
    <w:pPr>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uiPriority w:val="8"/>
    <w:qFormat/>
    <w:rsid w:val="008A3DEB"/>
    <w:pPr>
      <w:jc w:val="center"/>
    </w:pPr>
    <w:rPr>
      <w:b/>
    </w:rPr>
  </w:style>
  <w:style w:type="paragraph" w:styleId="BodyText">
    <w:name w:val="Body Text"/>
    <w:basedOn w:val="Normal"/>
    <w:link w:val="BodyTextChar"/>
    <w:uiPriority w:val="8"/>
    <w:rsid w:val="008A3DEB"/>
    <w:pPr>
      <w:spacing w:after="120"/>
    </w:pPr>
  </w:style>
  <w:style w:type="character" w:customStyle="1" w:styleId="BodyTextChar">
    <w:name w:val="Body Text Char"/>
    <w:basedOn w:val="DefaultParagraphFont"/>
    <w:link w:val="BodyText"/>
    <w:uiPriority w:val="8"/>
    <w:rsid w:val="008A3DEB"/>
    <w:rPr>
      <w:rFonts w:ascii="Times New Roman" w:hAnsi="Times New Roman" w:cs="Times New Roman"/>
      <w:sz w:val="24"/>
      <w:szCs w:val="24"/>
    </w:rPr>
  </w:style>
  <w:style w:type="paragraph" w:styleId="Footer">
    <w:name w:val="footer"/>
    <w:basedOn w:val="Normal"/>
    <w:link w:val="FooterChar"/>
    <w:uiPriority w:val="8"/>
    <w:rsid w:val="008A3DEB"/>
    <w:pPr>
      <w:tabs>
        <w:tab w:val="center" w:pos="4320"/>
        <w:tab w:val="right" w:pos="8640"/>
      </w:tabs>
    </w:pPr>
  </w:style>
  <w:style w:type="character" w:customStyle="1" w:styleId="FooterChar">
    <w:name w:val="Footer Char"/>
    <w:basedOn w:val="DefaultParagraphFont"/>
    <w:link w:val="Footer"/>
    <w:uiPriority w:val="8"/>
    <w:rsid w:val="008A3DEB"/>
    <w:rPr>
      <w:rFonts w:ascii="Times New Roman" w:hAnsi="Times New Roman" w:cs="Times New Roman"/>
      <w:sz w:val="24"/>
      <w:szCs w:val="24"/>
    </w:rPr>
  </w:style>
  <w:style w:type="character" w:styleId="FootnoteReference">
    <w:name w:val="footnote reference"/>
    <w:aliases w:val="fr,Footnote Reference Number,Footnote Reference_LVL6,Footnote Reference_LVL61,Footnote Reference_LVL62,Footnote Reference_LVL63,Footnote Reference_LVL64,SUPERS,EN Footnote Reference,number,ftref,Rabbani Footnote,Ref,de nota al pie"/>
    <w:basedOn w:val="DefaultParagraphFont"/>
    <w:link w:val="FNRefeCharChar"/>
    <w:uiPriority w:val="8"/>
    <w:qFormat/>
    <w:rsid w:val="008A3DEB"/>
    <w:rPr>
      <w:sz w:val="20"/>
      <w:vertAlign w:val="superscript"/>
    </w:rPr>
  </w:style>
  <w:style w:type="paragraph" w:styleId="FootnoteText">
    <w:name w:val="footnote text"/>
    <w:aliases w:val="single space,footnote text,fn,Footnote Text Char Char Char Char Char Char,FOOTNOTES,Footnote Text Char1,Footnote Text Char Char,ALTS FOOTNOTE,Fodnotetekst Tegn,ADB,WB-Fußnotentext,Fußnote,WB-Fuﬂnotentext,Fuﬂnote,Footnote Text 1,ft,ft Car,A"/>
    <w:basedOn w:val="Normal"/>
    <w:link w:val="FootnoteTextChar"/>
    <w:uiPriority w:val="8"/>
    <w:qFormat/>
    <w:rsid w:val="008A3DEB"/>
    <w:pPr>
      <w:spacing w:after="200"/>
    </w:pPr>
    <w:rPr>
      <w:szCs w:val="20"/>
    </w:rPr>
  </w:style>
  <w:style w:type="character" w:customStyle="1" w:styleId="FootnoteTextChar">
    <w:name w:val="Footnote Text Char"/>
    <w:aliases w:val="single space Char,footnote text Char,fn Char,Footnote Text Char Char Char Char Char Char Char,FOOTNOTES Char,Footnote Text Char1 Char,Footnote Text Char Char Char,ALTS FOOTNOTE Char,Fodnotetekst Tegn Char,ADB Char,WB-Fußnotentext Char"/>
    <w:basedOn w:val="DefaultParagraphFont"/>
    <w:link w:val="FootnoteText"/>
    <w:uiPriority w:val="8"/>
    <w:rsid w:val="008A3DEB"/>
    <w:rPr>
      <w:rFonts w:ascii="Times New Roman" w:hAnsi="Times New Roman" w:cs="Times New Roman"/>
      <w:sz w:val="20"/>
      <w:szCs w:val="20"/>
    </w:rPr>
  </w:style>
  <w:style w:type="paragraph" w:styleId="Header">
    <w:name w:val="header"/>
    <w:basedOn w:val="Normal"/>
    <w:link w:val="HeaderChar"/>
    <w:uiPriority w:val="99"/>
    <w:rsid w:val="008A3DEB"/>
    <w:pPr>
      <w:tabs>
        <w:tab w:val="center" w:pos="4320"/>
        <w:tab w:val="right" w:pos="8640"/>
      </w:tabs>
    </w:pPr>
  </w:style>
  <w:style w:type="character" w:customStyle="1" w:styleId="HeaderChar">
    <w:name w:val="Header Char"/>
    <w:basedOn w:val="DefaultParagraphFont"/>
    <w:link w:val="Header"/>
    <w:uiPriority w:val="99"/>
    <w:rsid w:val="008A3DEB"/>
    <w:rPr>
      <w:rFonts w:ascii="Times New Roman" w:hAnsi="Times New Roman" w:cs="Times New Roman"/>
      <w:sz w:val="24"/>
      <w:szCs w:val="24"/>
    </w:rPr>
  </w:style>
  <w:style w:type="character" w:customStyle="1" w:styleId="Heading1Char">
    <w:name w:val="Heading 1 Char"/>
    <w:link w:val="Heading1"/>
    <w:uiPriority w:val="1"/>
    <w:rsid w:val="005B6103"/>
    <w:rPr>
      <w:rFonts w:ascii="Arial" w:eastAsia="Century Gothic" w:hAnsi="Arial" w:cs="Arial"/>
      <w:color w:val="808080" w:themeColor="background1" w:themeShade="80"/>
      <w:spacing w:val="2"/>
      <w:sz w:val="42"/>
      <w:szCs w:val="42"/>
    </w:rPr>
  </w:style>
  <w:style w:type="character" w:customStyle="1" w:styleId="Heading2Char">
    <w:name w:val="Heading 2 Char"/>
    <w:link w:val="Heading2"/>
    <w:uiPriority w:val="1"/>
    <w:rsid w:val="005B6103"/>
    <w:rPr>
      <w:rFonts w:ascii="Arial" w:eastAsia="Century Gothic" w:hAnsi="Arial" w:cs="Arial (Body)"/>
      <w:b/>
      <w:caps/>
      <w:color w:val="009CDE"/>
      <w:sz w:val="20"/>
      <w:szCs w:val="20"/>
    </w:rPr>
  </w:style>
  <w:style w:type="character" w:customStyle="1" w:styleId="Heading3Char">
    <w:name w:val="Heading 3 Char"/>
    <w:basedOn w:val="DefaultParagraphFont"/>
    <w:link w:val="Heading3"/>
    <w:uiPriority w:val="1"/>
    <w:rsid w:val="005B6103"/>
    <w:rPr>
      <w:rFonts w:ascii="Arial" w:eastAsiaTheme="majorEastAsia" w:hAnsi="Arial" w:cstheme="majorBidi"/>
      <w:caps/>
      <w:color w:val="707372"/>
      <w:sz w:val="20"/>
      <w:szCs w:val="20"/>
    </w:rPr>
  </w:style>
  <w:style w:type="character" w:customStyle="1" w:styleId="Heading4Char">
    <w:name w:val="Heading 4 Char"/>
    <w:basedOn w:val="DefaultParagraphFont"/>
    <w:link w:val="Heading4"/>
    <w:uiPriority w:val="1"/>
    <w:rsid w:val="004F3DA7"/>
    <w:rPr>
      <w:rFonts w:ascii="Arial" w:hAnsi="Arial" w:cs="Times New Roman"/>
      <w:b/>
      <w:bCs/>
      <w:i/>
      <w:sz w:val="20"/>
      <w:szCs w:val="28"/>
    </w:rPr>
  </w:style>
  <w:style w:type="character" w:customStyle="1" w:styleId="Heading5Char">
    <w:name w:val="Heading 5 Char"/>
    <w:basedOn w:val="DefaultParagraphFont"/>
    <w:link w:val="Heading5"/>
    <w:uiPriority w:val="13"/>
    <w:rsid w:val="004F3DA7"/>
    <w:rPr>
      <w:rFonts w:ascii="Arial" w:hAnsi="Arial" w:cs="Times New Roman"/>
      <w:bCs/>
      <w:i/>
      <w:iCs/>
      <w:sz w:val="20"/>
      <w:szCs w:val="26"/>
    </w:rPr>
  </w:style>
  <w:style w:type="character" w:customStyle="1" w:styleId="Heading6Char">
    <w:name w:val="Heading 6 Char"/>
    <w:basedOn w:val="DefaultParagraphFont"/>
    <w:link w:val="Heading6"/>
    <w:uiPriority w:val="8"/>
    <w:rsid w:val="008A3DEB"/>
    <w:rPr>
      <w:rFonts w:ascii="Times New Roman" w:hAnsi="Times New Roman" w:cs="Times New Roman"/>
      <w:bCs/>
      <w:sz w:val="24"/>
    </w:rPr>
  </w:style>
  <w:style w:type="character" w:customStyle="1" w:styleId="Heading7Char">
    <w:name w:val="Heading 7 Char"/>
    <w:basedOn w:val="DefaultParagraphFont"/>
    <w:link w:val="Heading7"/>
    <w:uiPriority w:val="8"/>
    <w:rsid w:val="008A3DEB"/>
    <w:rPr>
      <w:rFonts w:ascii="Times New Roman" w:hAnsi="Times New Roman" w:cs="Times New Roman"/>
      <w:sz w:val="24"/>
      <w:szCs w:val="24"/>
    </w:rPr>
  </w:style>
  <w:style w:type="character" w:customStyle="1" w:styleId="Heading8Char">
    <w:name w:val="Heading 8 Char"/>
    <w:basedOn w:val="DefaultParagraphFont"/>
    <w:link w:val="Heading8"/>
    <w:uiPriority w:val="8"/>
    <w:rsid w:val="008A3DEB"/>
    <w:rPr>
      <w:rFonts w:ascii="Times New Roman" w:hAnsi="Times New Roman" w:cs="Times New Roman"/>
      <w:iCs/>
      <w:sz w:val="24"/>
      <w:szCs w:val="24"/>
    </w:rPr>
  </w:style>
  <w:style w:type="character" w:customStyle="1" w:styleId="Heading9Char">
    <w:name w:val="Heading 9 Char"/>
    <w:basedOn w:val="DefaultParagraphFont"/>
    <w:link w:val="Heading9"/>
    <w:uiPriority w:val="8"/>
    <w:rsid w:val="008A3DEB"/>
    <w:rPr>
      <w:rFonts w:ascii="Times New Roman" w:hAnsi="Times New Roman" w:cs="Arial"/>
      <w:sz w:val="24"/>
    </w:rPr>
  </w:style>
  <w:style w:type="paragraph" w:customStyle="1" w:styleId="Indent">
    <w:name w:val="Indent"/>
    <w:basedOn w:val="Normal"/>
    <w:uiPriority w:val="8"/>
    <w:qFormat/>
    <w:rsid w:val="008A3DEB"/>
    <w:pPr>
      <w:ind w:left="720" w:hanging="720"/>
    </w:pPr>
  </w:style>
  <w:style w:type="paragraph" w:styleId="Index1">
    <w:name w:val="index 1"/>
    <w:basedOn w:val="Normal"/>
    <w:next w:val="Normal"/>
    <w:uiPriority w:val="8"/>
    <w:rsid w:val="008A3DEB"/>
    <w:pPr>
      <w:ind w:left="240" w:hanging="240"/>
    </w:pPr>
  </w:style>
  <w:style w:type="paragraph" w:styleId="Index2">
    <w:name w:val="index 2"/>
    <w:basedOn w:val="Normal"/>
    <w:next w:val="Normal"/>
    <w:uiPriority w:val="8"/>
    <w:rsid w:val="008A3DEB"/>
    <w:pPr>
      <w:ind w:left="480" w:hanging="240"/>
    </w:pPr>
  </w:style>
  <w:style w:type="paragraph" w:styleId="Index3">
    <w:name w:val="index 3"/>
    <w:basedOn w:val="Normal"/>
    <w:next w:val="Normal"/>
    <w:uiPriority w:val="8"/>
    <w:rsid w:val="008A3DEB"/>
    <w:pPr>
      <w:ind w:left="720" w:hanging="240"/>
    </w:pPr>
  </w:style>
  <w:style w:type="paragraph" w:styleId="Index4">
    <w:name w:val="index 4"/>
    <w:basedOn w:val="Normal"/>
    <w:next w:val="Normal"/>
    <w:uiPriority w:val="8"/>
    <w:rsid w:val="008A3DEB"/>
    <w:pPr>
      <w:ind w:left="960" w:hanging="240"/>
    </w:pPr>
  </w:style>
  <w:style w:type="paragraph" w:styleId="Index5">
    <w:name w:val="index 5"/>
    <w:basedOn w:val="Normal"/>
    <w:next w:val="Normal"/>
    <w:uiPriority w:val="8"/>
    <w:rsid w:val="008A3DEB"/>
    <w:pPr>
      <w:ind w:left="1200" w:hanging="240"/>
    </w:pPr>
  </w:style>
  <w:style w:type="paragraph" w:styleId="Index6">
    <w:name w:val="index 6"/>
    <w:basedOn w:val="Normal"/>
    <w:next w:val="Normal"/>
    <w:uiPriority w:val="8"/>
    <w:rsid w:val="008A3DEB"/>
    <w:pPr>
      <w:ind w:left="1440" w:hanging="240"/>
    </w:pPr>
  </w:style>
  <w:style w:type="paragraph" w:styleId="Index7">
    <w:name w:val="index 7"/>
    <w:basedOn w:val="Normal"/>
    <w:next w:val="Normal"/>
    <w:uiPriority w:val="8"/>
    <w:rsid w:val="008A3DEB"/>
    <w:pPr>
      <w:ind w:left="1680" w:hanging="240"/>
    </w:pPr>
  </w:style>
  <w:style w:type="paragraph" w:styleId="Index8">
    <w:name w:val="index 8"/>
    <w:basedOn w:val="Normal"/>
    <w:next w:val="Normal"/>
    <w:uiPriority w:val="8"/>
    <w:rsid w:val="008A3DEB"/>
    <w:pPr>
      <w:ind w:left="1920" w:hanging="240"/>
    </w:pPr>
  </w:style>
  <w:style w:type="paragraph" w:styleId="Index9">
    <w:name w:val="index 9"/>
    <w:basedOn w:val="Normal"/>
    <w:next w:val="Normal"/>
    <w:uiPriority w:val="8"/>
    <w:rsid w:val="008A3DEB"/>
    <w:pPr>
      <w:ind w:left="2160" w:hanging="240"/>
    </w:pPr>
  </w:style>
  <w:style w:type="paragraph" w:styleId="ListBullet">
    <w:name w:val="List Bullet"/>
    <w:basedOn w:val="Normal"/>
    <w:uiPriority w:val="5"/>
    <w:qFormat/>
    <w:rsid w:val="00807E50"/>
    <w:pPr>
      <w:numPr>
        <w:numId w:val="18"/>
      </w:numPr>
    </w:pPr>
  </w:style>
  <w:style w:type="paragraph" w:styleId="ListBullet2">
    <w:name w:val="List Bullet 2"/>
    <w:basedOn w:val="Normal"/>
    <w:uiPriority w:val="8"/>
    <w:rsid w:val="008A3DEB"/>
    <w:pPr>
      <w:numPr>
        <w:numId w:val="6"/>
      </w:numPr>
    </w:pPr>
  </w:style>
  <w:style w:type="paragraph" w:styleId="ListBullet3">
    <w:name w:val="List Bullet 3"/>
    <w:basedOn w:val="Normal"/>
    <w:uiPriority w:val="8"/>
    <w:rsid w:val="008A3DEB"/>
    <w:pPr>
      <w:numPr>
        <w:numId w:val="8"/>
      </w:numPr>
    </w:pPr>
  </w:style>
  <w:style w:type="paragraph" w:styleId="ListBullet4">
    <w:name w:val="List Bullet 4"/>
    <w:basedOn w:val="Normal"/>
    <w:uiPriority w:val="8"/>
    <w:rsid w:val="008A3DEB"/>
    <w:pPr>
      <w:numPr>
        <w:numId w:val="10"/>
      </w:numPr>
    </w:pPr>
  </w:style>
  <w:style w:type="paragraph" w:styleId="ListBullet5">
    <w:name w:val="List Bullet 5"/>
    <w:basedOn w:val="Normal"/>
    <w:uiPriority w:val="8"/>
    <w:rsid w:val="008A3DEB"/>
    <w:pPr>
      <w:numPr>
        <w:numId w:val="12"/>
      </w:numPr>
    </w:pPr>
  </w:style>
  <w:style w:type="paragraph" w:styleId="ListNumber">
    <w:name w:val="List Number"/>
    <w:basedOn w:val="Normal"/>
    <w:uiPriority w:val="8"/>
    <w:rsid w:val="008A3DEB"/>
    <w:pPr>
      <w:numPr>
        <w:numId w:val="14"/>
      </w:numPr>
      <w:contextualSpacing/>
    </w:pPr>
  </w:style>
  <w:style w:type="paragraph" w:styleId="ListParagraph">
    <w:name w:val="List Paragraph"/>
    <w:basedOn w:val="Normal"/>
    <w:uiPriority w:val="3"/>
    <w:qFormat/>
    <w:rsid w:val="00807E50"/>
    <w:pPr>
      <w:numPr>
        <w:numId w:val="17"/>
      </w:numPr>
      <w:snapToGrid w:val="0"/>
      <w:contextualSpacing/>
    </w:pPr>
    <w:rPr>
      <w:rFonts w:eastAsia="Century Gothic" w:cs="Arial"/>
      <w:color w:val="000000" w:themeColor="text1"/>
      <w:szCs w:val="22"/>
    </w:rPr>
  </w:style>
  <w:style w:type="paragraph" w:customStyle="1" w:styleId="ParagraphNumbering">
    <w:name w:val="Paragraph Numbering"/>
    <w:basedOn w:val="Normal"/>
    <w:uiPriority w:val="3"/>
    <w:qFormat/>
    <w:rsid w:val="00BB45B2"/>
    <w:pPr>
      <w:numPr>
        <w:numId w:val="15"/>
      </w:numPr>
    </w:pPr>
  </w:style>
  <w:style w:type="paragraph" w:styleId="Title">
    <w:name w:val="Title"/>
    <w:basedOn w:val="Normal"/>
    <w:link w:val="TitleChar"/>
    <w:uiPriority w:val="8"/>
    <w:rsid w:val="008A3DEB"/>
    <w:pPr>
      <w:spacing w:before="240" w:after="60"/>
      <w:jc w:val="center"/>
      <w:outlineLvl w:val="0"/>
    </w:pPr>
    <w:rPr>
      <w:rFonts w:cs="Arial"/>
      <w:b/>
      <w:bCs/>
      <w:kern w:val="28"/>
      <w:sz w:val="32"/>
      <w:szCs w:val="32"/>
    </w:rPr>
  </w:style>
  <w:style w:type="character" w:customStyle="1" w:styleId="TitleChar">
    <w:name w:val="Title Char"/>
    <w:basedOn w:val="DefaultParagraphFont"/>
    <w:link w:val="Title"/>
    <w:uiPriority w:val="8"/>
    <w:rsid w:val="008A3DEB"/>
    <w:rPr>
      <w:rFonts w:ascii="Arial" w:hAnsi="Arial" w:cs="Arial"/>
      <w:b/>
      <w:bCs/>
      <w:kern w:val="28"/>
      <w:sz w:val="32"/>
      <w:szCs w:val="32"/>
    </w:rPr>
  </w:style>
  <w:style w:type="paragraph" w:styleId="TOC1">
    <w:name w:val="toc 1"/>
    <w:basedOn w:val="Normal"/>
    <w:next w:val="Normal"/>
    <w:uiPriority w:val="8"/>
    <w:rsid w:val="008A3DEB"/>
  </w:style>
  <w:style w:type="paragraph" w:styleId="TOC2">
    <w:name w:val="toc 2"/>
    <w:basedOn w:val="Normal"/>
    <w:next w:val="Normal"/>
    <w:uiPriority w:val="8"/>
    <w:rsid w:val="008A3DEB"/>
    <w:pPr>
      <w:ind w:left="240"/>
    </w:pPr>
  </w:style>
  <w:style w:type="paragraph" w:styleId="TOC3">
    <w:name w:val="toc 3"/>
    <w:basedOn w:val="Normal"/>
    <w:next w:val="Normal"/>
    <w:uiPriority w:val="8"/>
    <w:rsid w:val="008A3DEB"/>
    <w:pPr>
      <w:ind w:left="480"/>
    </w:pPr>
  </w:style>
  <w:style w:type="paragraph" w:styleId="TOC4">
    <w:name w:val="toc 4"/>
    <w:basedOn w:val="Normal"/>
    <w:next w:val="Normal"/>
    <w:uiPriority w:val="8"/>
    <w:rsid w:val="008A3DEB"/>
    <w:pPr>
      <w:ind w:left="720"/>
    </w:pPr>
  </w:style>
  <w:style w:type="paragraph" w:styleId="TOC5">
    <w:name w:val="toc 5"/>
    <w:basedOn w:val="Normal"/>
    <w:next w:val="Normal"/>
    <w:uiPriority w:val="8"/>
    <w:rsid w:val="008A3DEB"/>
    <w:pPr>
      <w:ind w:left="960"/>
    </w:pPr>
  </w:style>
  <w:style w:type="paragraph" w:styleId="TOC6">
    <w:name w:val="toc 6"/>
    <w:basedOn w:val="Normal"/>
    <w:next w:val="Normal"/>
    <w:uiPriority w:val="8"/>
    <w:rsid w:val="008A3DEB"/>
    <w:pPr>
      <w:ind w:left="1200"/>
    </w:pPr>
  </w:style>
  <w:style w:type="paragraph" w:styleId="TOC7">
    <w:name w:val="toc 7"/>
    <w:basedOn w:val="Normal"/>
    <w:next w:val="Normal"/>
    <w:uiPriority w:val="8"/>
    <w:rsid w:val="008A3DEB"/>
    <w:pPr>
      <w:ind w:left="1440"/>
    </w:pPr>
  </w:style>
  <w:style w:type="paragraph" w:styleId="TOC8">
    <w:name w:val="toc 8"/>
    <w:basedOn w:val="Normal"/>
    <w:next w:val="Normal"/>
    <w:uiPriority w:val="8"/>
    <w:rsid w:val="008A3DEB"/>
    <w:pPr>
      <w:ind w:left="1680"/>
    </w:pPr>
  </w:style>
  <w:style w:type="paragraph" w:styleId="TOC9">
    <w:name w:val="toc 9"/>
    <w:basedOn w:val="Normal"/>
    <w:next w:val="Normal"/>
    <w:uiPriority w:val="8"/>
    <w:rsid w:val="008A3DEB"/>
    <w:pPr>
      <w:ind w:left="1920"/>
    </w:pPr>
  </w:style>
  <w:style w:type="paragraph" w:customStyle="1" w:styleId="UnNumberedHeading1">
    <w:name w:val="UnNumbered Heading 1"/>
    <w:basedOn w:val="Normal"/>
    <w:next w:val="Normal"/>
    <w:uiPriority w:val="8"/>
    <w:rsid w:val="008A3DEB"/>
    <w:pPr>
      <w:jc w:val="center"/>
    </w:pPr>
    <w:rPr>
      <w:b/>
      <w:smallCaps/>
    </w:rPr>
  </w:style>
  <w:style w:type="character" w:styleId="PageNumber">
    <w:name w:val="page number"/>
    <w:basedOn w:val="DefaultParagraphFont"/>
    <w:uiPriority w:val="99"/>
    <w:semiHidden/>
    <w:unhideWhenUsed/>
    <w:rsid w:val="005F722E"/>
  </w:style>
  <w:style w:type="paragraph" w:customStyle="1" w:styleId="Objective">
    <w:name w:val="Objective"/>
    <w:basedOn w:val="Normal"/>
    <w:qFormat/>
    <w:rsid w:val="00A85FFB"/>
    <w:pPr>
      <w:pBdr>
        <w:top w:val="single" w:sz="8" w:space="10" w:color="F2F2F1"/>
        <w:left w:val="single" w:sz="8" w:space="10" w:color="F2F2F1"/>
        <w:bottom w:val="single" w:sz="8" w:space="6" w:color="F2F2F1"/>
        <w:right w:val="single" w:sz="8" w:space="10" w:color="F2F2F1"/>
      </w:pBdr>
      <w:shd w:val="clear" w:color="auto" w:fill="F2F2F1"/>
      <w:snapToGrid w:val="0"/>
      <w:ind w:left="200" w:right="200"/>
    </w:pPr>
    <w:rPr>
      <w:rFonts w:eastAsia="Century Gothic" w:cs="Arial"/>
      <w:color w:val="000000" w:themeColor="text1"/>
      <w:szCs w:val="22"/>
    </w:rPr>
  </w:style>
  <w:style w:type="character" w:customStyle="1" w:styleId="RegularDKB">
    <w:name w:val="Regular DKB"/>
    <w:uiPriority w:val="2"/>
    <w:qFormat/>
    <w:rsid w:val="005B6103"/>
    <w:rPr>
      <w:color w:val="004C97" w:themeColor="text2"/>
    </w:rPr>
  </w:style>
  <w:style w:type="character" w:customStyle="1" w:styleId="StrongDKB">
    <w:name w:val="Strong DKB"/>
    <w:uiPriority w:val="2"/>
    <w:qFormat/>
    <w:rsid w:val="005B6103"/>
    <w:rPr>
      <w:rFonts w:ascii="Arial Black" w:hAnsi="Arial Black"/>
      <w:b w:val="0"/>
      <w:bCs/>
      <w:i w:val="0"/>
      <w:color w:val="004C97" w:themeColor="text2"/>
    </w:rPr>
  </w:style>
  <w:style w:type="character" w:customStyle="1" w:styleId="StrongMDB">
    <w:name w:val="Strong MDB"/>
    <w:uiPriority w:val="2"/>
    <w:qFormat/>
    <w:rsid w:val="005B6103"/>
    <w:rPr>
      <w:b/>
      <w:bCs/>
      <w:color w:val="009CDE" w:themeColor="accent1"/>
    </w:rPr>
  </w:style>
  <w:style w:type="table" w:styleId="TableGrid">
    <w:name w:val="Table Grid"/>
    <w:basedOn w:val="TableNormal"/>
    <w:rsid w:val="00C352B5"/>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itle">
    <w:name w:val="Figure Title"/>
    <w:basedOn w:val="Heading4"/>
    <w:next w:val="Normal"/>
    <w:uiPriority w:val="3"/>
    <w:qFormat/>
    <w:rsid w:val="00C352B5"/>
    <w:pPr>
      <w:keepLines/>
      <w:snapToGrid w:val="0"/>
      <w:spacing w:before="240" w:after="0"/>
    </w:pPr>
    <w:rPr>
      <w:rFonts w:eastAsia="Times New Roman"/>
      <w:bCs w:val="0"/>
      <w:i w:val="0"/>
      <w:color w:val="7F7F7F"/>
      <w:sz w:val="19"/>
      <w:szCs w:val="20"/>
    </w:rPr>
  </w:style>
  <w:style w:type="character" w:styleId="Hyperlink">
    <w:name w:val="Hyperlink"/>
    <w:basedOn w:val="DefaultParagraphFont"/>
    <w:uiPriority w:val="99"/>
    <w:unhideWhenUsed/>
    <w:rsid w:val="00C352B5"/>
    <w:rPr>
      <w:color w:val="009CDE" w:themeColor="hyperlink"/>
      <w:u w:val="single"/>
    </w:rPr>
  </w:style>
  <w:style w:type="paragraph" w:customStyle="1" w:styleId="FNRefeCharChar">
    <w:name w:val="FNRefe Char Char"/>
    <w:aliases w:val="BVI fnr Char Char,BVI fnr Char Char Char,BVI fnr Car Car Char Char Char,BVI fnr Car Char Char Char,BVI fnr Car Car Car Car Char Char Char Char Char, BVI fnr Char Char Char, BVI fnr Car Car Char Char Char"/>
    <w:basedOn w:val="Normal"/>
    <w:link w:val="FootnoteReference"/>
    <w:uiPriority w:val="8"/>
    <w:rsid w:val="00C352B5"/>
    <w:pPr>
      <w:spacing w:before="0" w:after="160" w:line="240" w:lineRule="exact"/>
    </w:pPr>
    <w:rPr>
      <w:rFonts w:asciiTheme="minorHAnsi" w:hAnsiTheme="minorHAnsi" w:cstheme="minorBidi"/>
      <w:szCs w:val="22"/>
      <w:vertAlign w:val="superscript"/>
    </w:rPr>
  </w:style>
  <w:style w:type="character" w:styleId="CommentReference">
    <w:name w:val="annotation reference"/>
    <w:basedOn w:val="DefaultParagraphFont"/>
    <w:uiPriority w:val="99"/>
    <w:unhideWhenUsed/>
    <w:rsid w:val="00C352B5"/>
    <w:rPr>
      <w:sz w:val="16"/>
      <w:szCs w:val="16"/>
    </w:rPr>
  </w:style>
  <w:style w:type="paragraph" w:styleId="CommentText">
    <w:name w:val="annotation text"/>
    <w:basedOn w:val="Normal"/>
    <w:link w:val="CommentTextChar"/>
    <w:uiPriority w:val="99"/>
    <w:unhideWhenUsed/>
    <w:rsid w:val="00C352B5"/>
    <w:pPr>
      <w:spacing w:line="240" w:lineRule="auto"/>
    </w:pPr>
    <w:rPr>
      <w:szCs w:val="20"/>
    </w:rPr>
  </w:style>
  <w:style w:type="character" w:customStyle="1" w:styleId="CommentTextChar">
    <w:name w:val="Comment Text Char"/>
    <w:basedOn w:val="DefaultParagraphFont"/>
    <w:link w:val="CommentText"/>
    <w:uiPriority w:val="99"/>
    <w:rsid w:val="00C352B5"/>
    <w:rPr>
      <w:rFonts w:ascii="Arial" w:hAnsi="Arial" w:cs="Times New Roman"/>
      <w:sz w:val="20"/>
      <w:szCs w:val="20"/>
    </w:rPr>
  </w:style>
  <w:style w:type="character" w:styleId="UnresolvedMention">
    <w:name w:val="Unresolved Mention"/>
    <w:basedOn w:val="DefaultParagraphFont"/>
    <w:uiPriority w:val="99"/>
    <w:semiHidden/>
    <w:unhideWhenUsed/>
    <w:rsid w:val="00C352B5"/>
    <w:rPr>
      <w:color w:val="605E5C"/>
      <w:shd w:val="clear" w:color="auto" w:fill="E1DFDD"/>
    </w:rPr>
  </w:style>
  <w:style w:type="character" w:styleId="FollowedHyperlink">
    <w:name w:val="FollowedHyperlink"/>
    <w:basedOn w:val="DefaultParagraphFont"/>
    <w:uiPriority w:val="99"/>
    <w:semiHidden/>
    <w:unhideWhenUsed/>
    <w:rsid w:val="00672E22"/>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8B4BBF"/>
    <w:rPr>
      <w:b/>
      <w:bCs/>
    </w:rPr>
  </w:style>
  <w:style w:type="character" w:customStyle="1" w:styleId="CommentSubjectChar">
    <w:name w:val="Comment Subject Char"/>
    <w:basedOn w:val="CommentTextChar"/>
    <w:link w:val="CommentSubject"/>
    <w:uiPriority w:val="99"/>
    <w:semiHidden/>
    <w:rsid w:val="008B4BBF"/>
    <w:rPr>
      <w:rFonts w:ascii="Arial" w:hAnsi="Arial" w:cs="Times New Roman"/>
      <w:b/>
      <w:bCs/>
      <w:sz w:val="20"/>
      <w:szCs w:val="20"/>
    </w:rPr>
  </w:style>
  <w:style w:type="paragraph" w:styleId="Caption">
    <w:name w:val="caption"/>
    <w:basedOn w:val="Normal"/>
    <w:next w:val="Normal"/>
    <w:uiPriority w:val="35"/>
    <w:unhideWhenUsed/>
    <w:qFormat/>
    <w:rsid w:val="00AA0682"/>
    <w:pPr>
      <w:keepNext/>
      <w:spacing w:before="0" w:line="240" w:lineRule="auto"/>
      <w:jc w:val="center"/>
    </w:pPr>
    <w:rPr>
      <w:rFonts w:ascii="Arial (Body)" w:eastAsia="Arial" w:hAnsi="Arial (Body)" w:cs="Arial (Body)"/>
      <w:b/>
      <w:bCs/>
      <w:sz w:val="21"/>
      <w:szCs w:val="21"/>
      <w:lang w:eastAsia="ko-KR"/>
    </w:rPr>
  </w:style>
  <w:style w:type="paragraph" w:customStyle="1" w:styleId="Heading2PageBreakBefore">
    <w:name w:val="Heading 2 (Page Break Before)"/>
    <w:basedOn w:val="Heading2"/>
    <w:qFormat/>
    <w:rsid w:val="00AA0682"/>
    <w:pPr>
      <w:keepNext/>
      <w:keepLines/>
      <w:pageBreakBefore/>
      <w:pBdr>
        <w:bottom w:val="single" w:sz="8" w:space="4" w:color="A6A6A6"/>
      </w:pBdr>
      <w:tabs>
        <w:tab w:val="left" w:pos="4088"/>
      </w:tabs>
      <w:spacing w:before="0" w:line="264" w:lineRule="auto"/>
    </w:pPr>
    <w:rPr>
      <w:rFonts w:asciiTheme="majorHAnsi" w:hAnsiTheme="majorHAnsi" w:cs="Arial (Headings)"/>
      <w:caps w:val="0"/>
      <w:color w:val="004C97" w:themeColor="text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ietresearch.onlinelibrary.wiley.com/doi/full/10.1049/tje2.70113"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theicct.org/wp-content/uploads/2022/02/purchase-cost-ze-trucks-feb22-1.pdf" TargetMode="External"/><Relationship Id="rId26" Type="http://schemas.openxmlformats.org/officeDocument/2006/relationships/hyperlink" Target="https://theicct.org/wp-content/uploads/2023/04/tco-alt-powertrain-long-haul-trucks-us-apr23.pdf" TargetMode="External"/><Relationship Id="rId39" Type="http://schemas.openxmlformats.org/officeDocument/2006/relationships/hyperlink" Target="https://theicct.org/publication/vision-2050-global-zev-transition-2024-jan25/" TargetMode="External"/><Relationship Id="rId21" Type="http://schemas.openxmlformats.org/officeDocument/2006/relationships/hyperlink" Target="https://www.imf.org/en/Publications/WP/Issues/2023/06/22/The-IMF-World-Bank-Climate-Policy-Assessment-Tool-CPAT-A-Model-to-Help-Countries-Mitigate-535096" TargetMode="External"/><Relationship Id="rId34" Type="http://schemas.openxmlformats.org/officeDocument/2006/relationships/image" Target="media/image4.emf"/><Relationship Id="rId42" Type="http://schemas.openxmlformats.org/officeDocument/2006/relationships/hyperlink" Target="https://www.iea.org/reports/global-ev-outlook-2025"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heicct.org/sites/default/files/publications/TCO-BETs-Europe-white-paper-v4-nov21.pdf" TargetMode="External"/><Relationship Id="rId29" Type="http://schemas.openxmlformats.org/officeDocument/2006/relationships/hyperlink" Target="https://publications.anl.gov/anlpubs/2021/05/167399.pdf" TargetMode="External"/><Relationship Id="rId11" Type="http://schemas.microsoft.com/office/2011/relationships/commentsExtended" Target="commentsExtended.xml"/><Relationship Id="rId24" Type="http://schemas.openxmlformats.org/officeDocument/2006/relationships/hyperlink" Target="https://theicct.org/sites/default/files/publications/ze-hdvs-china-tco-EN-nov21.pdf" TargetMode="External"/><Relationship Id="rId32" Type="http://schemas.openxmlformats.org/officeDocument/2006/relationships/image" Target="media/image2.emf"/><Relationship Id="rId37" Type="http://schemas.openxmlformats.org/officeDocument/2006/relationships/hyperlink" Target="https://www.iea.org/reports/global-ev-outlook-2025" TargetMode="External"/><Relationship Id="rId40" Type="http://schemas.openxmlformats.org/officeDocument/2006/relationships/image" Target="media/image7.emf"/><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theicct.org/sites/default/files/publications/ze-hdvs-china-tco-EN-nov21.pdf" TargetMode="External"/><Relationship Id="rId23" Type="http://schemas.openxmlformats.org/officeDocument/2006/relationships/hyperlink" Target="https://www.imf.org/en/Publications/WP/Issues/2023/08/22/IMF-Fossil-Fuel-Subsidies-Data-2023-Update-537281" TargetMode="External"/><Relationship Id="rId28" Type="http://schemas.openxmlformats.org/officeDocument/2006/relationships/hyperlink" Target="https://theicct.org/wp-content/uploads/2023/01/vietnam-E2W-TCO_feb23.pdf" TargetMode="External"/><Relationship Id="rId36" Type="http://schemas.openxmlformats.org/officeDocument/2006/relationships/image" Target="media/image6.emf"/><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www.sciencedirect.com/science/article/pii/S0966692315000976" TargetMode="External"/><Relationship Id="rId31" Type="http://schemas.openxmlformats.org/officeDocument/2006/relationships/image" Target="media/image1.emf"/><Relationship Id="rId44" Type="http://schemas.openxmlformats.org/officeDocument/2006/relationships/hyperlink" Target="https://theicct.org/publication/vision-2050-global-zev-transition-2024-jan2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iea.org/data-and-statistics/data-tools/global-ev-data-explorer" TargetMode="External"/><Relationship Id="rId22" Type="http://schemas.openxmlformats.org/officeDocument/2006/relationships/hyperlink" Target="https://www.iea.org/data-and-statistics/data-tools/electric-vehicles-total-cost-of-ownership-tool" TargetMode="External"/><Relationship Id="rId27" Type="http://schemas.openxmlformats.org/officeDocument/2006/relationships/hyperlink" Target="https://theicct.org/wp-content/uploads/2022/02/purchase-cost-ze-trucks-feb22-1.pdf" TargetMode="External"/><Relationship Id="rId30" Type="http://schemas.openxmlformats.org/officeDocument/2006/relationships/hyperlink" Target="https://afleet.esia.anl.gov/afleet/total-cost-ownership-calculator" TargetMode="External"/><Relationship Id="rId35" Type="http://schemas.openxmlformats.org/officeDocument/2006/relationships/image" Target="media/image5.emf"/><Relationship Id="rId43" Type="http://schemas.openxmlformats.org/officeDocument/2006/relationships/hyperlink" Target="https://assets.bbhub.io/professional/sites/24/847354_BNEF_EVO2024_ExecutiveSummary.pdf" TargetMode="Externa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s://theicct.org/wp-content/uploads/2023/04/tco-alt-powertrain-long-haul-trucks-us-apr23.pdf" TargetMode="External"/><Relationship Id="rId25" Type="http://schemas.openxmlformats.org/officeDocument/2006/relationships/hyperlink" Target="https://theicct.org/sites/default/files/publications/TCO-BETs-Europe-white-paper-v4-nov21.pdf" TargetMode="External"/><Relationship Id="rId33" Type="http://schemas.openxmlformats.org/officeDocument/2006/relationships/image" Target="media/image3.emf"/><Relationship Id="rId38" Type="http://schemas.openxmlformats.org/officeDocument/2006/relationships/hyperlink" Target="https://assets.bbhub.io/professional/sites/24/847354_BNEF_EVO2024_ExecutiveSummary.pdf" TargetMode="External"/><Relationship Id="rId46" Type="http://schemas.openxmlformats.org/officeDocument/2006/relationships/footer" Target="footer1.xml"/><Relationship Id="rId20" Type="http://schemas.openxmlformats.org/officeDocument/2006/relationships/hyperlink" Target="https://theicct.org/sites/default/files/publications/TCO-BETs-Europe-white-paper-v4-nov21.pdf" TargetMode="External"/><Relationship Id="rId41"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ettings" Target="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www.sciencedirect.com/science/article/abs/pii/S0966692315000976?fr=RR-2&amp;ref=pdf_download&amp;rr=8fc57816cd35208d" TargetMode="External"/><Relationship Id="rId13" Type="http://schemas.openxmlformats.org/officeDocument/2006/relationships/hyperlink" Target="https://www.aeaweb.org/articles?id=10.1257/pandp.20211088" TargetMode="External"/><Relationship Id="rId18" Type="http://schemas.openxmlformats.org/officeDocument/2006/relationships/hyperlink" Target="https://www.rystadenergy.com/news/norway-fuel-demand-electric-car-bus-truck-gasoline-diesel" TargetMode="External"/><Relationship Id="rId3" Type="http://schemas.openxmlformats.org/officeDocument/2006/relationships/hyperlink" Target="http://www.iea.org/programmes/electric-vehicles-initiative" TargetMode="External"/><Relationship Id="rId7" Type="http://schemas.openxmlformats.org/officeDocument/2006/relationships/hyperlink" Target="https://www.oica.net/category/sales-statistics/" TargetMode="External"/><Relationship Id="rId12" Type="http://schemas.openxmlformats.org/officeDocument/2006/relationships/hyperlink" Target="https://www.cell.com/joule/abstract/S2542-4351(23)00404-X" TargetMode="External"/><Relationship Id="rId17" Type="http://schemas.openxmlformats.org/officeDocument/2006/relationships/hyperlink" Target="https://www.bloomberg.com/news/articles/2022-07-20/electric-cars-start-covering-more-ground-than-combustion-counterparts" TargetMode="External"/><Relationship Id="rId2" Type="http://schemas.openxmlformats.org/officeDocument/2006/relationships/hyperlink" Target="https://worldroadstatistics.org/" TargetMode="External"/><Relationship Id="rId16" Type="http://schemas.openxmlformats.org/officeDocument/2006/relationships/hyperlink" Target="https://ceepr.mit.edu/workingpaper/how-much-are-electric-vehicles-driven-depends-on-the-ev/" TargetMode="External"/><Relationship Id="rId1" Type="http://schemas.openxmlformats.org/officeDocument/2006/relationships/hyperlink" Target="http://www.itf-oecd.org/" TargetMode="External"/><Relationship Id="rId6" Type="http://schemas.openxmlformats.org/officeDocument/2006/relationships/hyperlink" Target="https://www.eea.europa.eu/en/analysis/indicators/new-registrations-of-electric-vehicles" TargetMode="External"/><Relationship Id="rId11" Type="http://schemas.openxmlformats.org/officeDocument/2006/relationships/hyperlink" Target="https://theicct.org/sites/default/files/publications/TCO-BETs-Europe-white-paper-v4-nov21.pdf" TargetMode="External"/><Relationship Id="rId5" Type="http://schemas.openxmlformats.org/officeDocument/2006/relationships/hyperlink" Target="https://www.statista.com/topics/1487/automotive-industry/" TargetMode="External"/><Relationship Id="rId15" Type="http://schemas.openxmlformats.org/officeDocument/2006/relationships/hyperlink" Target="https://nepis.epa.gov/Exe/ZyPDF.cgi?Dockey=P10175J2.pdf" TargetMode="External"/><Relationship Id="rId10" Type="http://schemas.openxmlformats.org/officeDocument/2006/relationships/hyperlink" Target="https://scholar.harvard.edu/files/stock/files/policies_for_electrifying_the_light-duty_vehicle_fleet_in_the_united_states.pdf" TargetMode="External"/><Relationship Id="rId4" Type="http://schemas.openxmlformats.org/officeDocument/2006/relationships/hyperlink" Target="https://www.iea.org/data-and-statistics/data-product/energy-efficiency-indicators" TargetMode="External"/><Relationship Id="rId9" Type="http://schemas.openxmlformats.org/officeDocument/2006/relationships/hyperlink" Target="https://scholar.harvard.edu/files/stock/files/policies_for_electrifying_the_light-duty_vehicle_fleet_in_the_united_states.pdf" TargetMode="External"/><Relationship Id="rId14" Type="http://schemas.openxmlformats.org/officeDocument/2006/relationships/hyperlink" Target="https://its.ucdavis.edu/blog-post/no-electric-vehicles-arent-driven-less-than-gas-cars/" TargetMode="External"/></Relationships>
</file>

<file path=word/theme/theme1.xml><?xml version="1.0" encoding="utf-8"?>
<a:theme xmlns:a="http://schemas.openxmlformats.org/drawingml/2006/main" name="Custom Design">
  <a:themeElements>
    <a:clrScheme name="IMF Colors V2">
      <a:dk1>
        <a:srgbClr val="000000"/>
      </a:dk1>
      <a:lt1>
        <a:srgbClr val="FFFFFF"/>
      </a:lt1>
      <a:dk2>
        <a:srgbClr val="004C97"/>
      </a:dk2>
      <a:lt2>
        <a:srgbClr val="CAEDFE"/>
      </a:lt2>
      <a:accent1>
        <a:srgbClr val="009CDE"/>
      </a:accent1>
      <a:accent2>
        <a:srgbClr val="F2A900"/>
      </a:accent2>
      <a:accent3>
        <a:srgbClr val="8031A7"/>
      </a:accent3>
      <a:accent4>
        <a:srgbClr val="DA291C"/>
      </a:accent4>
      <a:accent5>
        <a:srgbClr val="78BE20"/>
      </a:accent5>
      <a:accent6>
        <a:srgbClr val="FF8200"/>
      </a:accent6>
      <a:hlink>
        <a:srgbClr val="009CDE"/>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Fund Blue">
      <a:srgbClr val="004C97"/>
    </a:custClr>
    <a:custClr name="Azure">
      <a:srgbClr val="009CDE"/>
    </a:custClr>
    <a:custClr name="Gold">
      <a:srgbClr val="F2A900"/>
    </a:custClr>
    <a:custClr name="Purple">
      <a:srgbClr val="8031A7"/>
    </a:custClr>
    <a:custClr name="Red">
      <a:srgbClr val="DA291C"/>
    </a:custClr>
    <a:custClr name="Green">
      <a:srgbClr val="78BE20"/>
    </a:custClr>
    <a:custClr name="Orange">
      <a:srgbClr val="FF8200"/>
    </a:custClr>
    <a:custClr name="Dark Teal">
      <a:srgbClr val="00B0B9"/>
    </a:custClr>
    <a:custClr name="Dark Green">
      <a:srgbClr val="658D1B"/>
    </a:custClr>
    <a:custClr name="Dark Orange">
      <a:srgbClr val="E35205"/>
    </a:custClr>
    <a:custClr name="Plum">
      <a:srgbClr val="910048"/>
    </a:custClr>
    <a:custClr name="Slate">
      <a:srgbClr val="5E8AB4"/>
    </a:custClr>
    <a:custClr name="Lapis">
      <a:srgbClr val="407EC9"/>
    </a:custClr>
    <a:custClr name="Dark Gray">
      <a:srgbClr val="707372"/>
    </a:custClr>
    <a:custClr name="Graphite">
      <a:srgbClr val="6E6259"/>
    </a:custClr>
    <a:custClr name="Light Gray">
      <a:srgbClr val="B1B3B3"/>
    </a:custClr>
    <a:custClr name="Aubergine">
      <a:srgbClr val="001E60"/>
    </a:custClr>
  </a:custClrLst>
  <a:extLst>
    <a:ext uri="{05A4C25C-085E-4340-85A3-A5531E510DB2}">
      <thm15:themeFamily xmlns:thm15="http://schemas.microsoft.com/office/thememl/2012/main" name="IMF_PresentationTemplate-General.potx" id="{690FEF46-D631-674C-A5C5-50E70E85612A}" vid="{E36708C0-345E-2E4E-8E24-1157AE545E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1e38600-63d5-4e65-a582-7127f8355175" xsi:nil="true"/>
    <lcf76f155ced4ddcb4097134ff3c332f xmlns="c01c1d3e-a5c1-4247-90c8-8eee88b1fec1">
      <Terms xmlns="http://schemas.microsoft.com/office/infopath/2007/PartnerControls"/>
    </lcf76f155ced4ddcb4097134ff3c332f>
    <SharedWithUsers xmlns="b1e38600-63d5-4e65-a582-7127f8355175">
      <UserInfo>
        <DisplayName>Voigts, Simon</DisplayName>
        <AccountId>959</AccountId>
        <AccountType/>
      </UserInfo>
      <UserInfo>
        <DisplayName>Paret Onorato, Anne Charlotte</DisplayName>
        <AccountId>960</AccountId>
        <AccountType/>
      </UserInfo>
      <UserInfo>
        <DisplayName>Carton, Benjamin</DisplayName>
        <AccountId>404</AccountId>
        <AccountType/>
      </UserInfo>
      <UserInfo>
        <DisplayName>Parry, Ian</DisplayName>
        <AccountId>25</AccountId>
        <AccountType/>
      </UserInfo>
      <UserInfo>
        <DisplayName>Black, Simon John Newport</DisplayName>
        <AccountId>14</AccountId>
        <AccountType/>
      </UserInfo>
      <UserInfo>
        <DisplayName>Singh, Sunalika</DisplayName>
        <AccountId>653</AccountId>
        <AccountType/>
      </UserInfo>
      <UserInfo>
        <DisplayName>Vernon, Nate</DisplayName>
        <AccountId>43</AccountId>
        <AccountType/>
      </UserInfo>
      <UserInfo>
        <DisplayName>Arregui, Nicolas</DisplayName>
        <AccountId>424</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118BABD0ED6D468048C8451BAF473B" ma:contentTypeVersion="25" ma:contentTypeDescription="Create a new document." ma:contentTypeScope="" ma:versionID="bb1ab32f382b1abf60249d7a6f5467a6">
  <xsd:schema xmlns:xsd="http://www.w3.org/2001/XMLSchema" xmlns:xs="http://www.w3.org/2001/XMLSchema" xmlns:p="http://schemas.microsoft.com/office/2006/metadata/properties" xmlns:ns2="c01c1d3e-a5c1-4247-90c8-8eee88b1fec1" xmlns:ns3="b1e38600-63d5-4e65-a582-7127f8355175" targetNamespace="http://schemas.microsoft.com/office/2006/metadata/properties" ma:root="true" ma:fieldsID="40ef1cb14b7ef0df96ddca94d97548f2" ns2:_="" ns3:_="">
    <xsd:import namespace="c01c1d3e-a5c1-4247-90c8-8eee88b1fec1"/>
    <xsd:import namespace="b1e38600-63d5-4e65-a582-7127f83551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c1d3e-a5c1-4247-90c8-8eee88b1f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b0229-19ef-4425-8520-9f00e8db620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e38600-63d5-4e65-a582-7127f835517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7af06ab-951a-46c5-aa6d-afa30f1d0809}" ma:internalName="TaxCatchAll" ma:showField="CatchAllData" ma:web="b1e38600-63d5-4e65-a582-7127f83551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24F410-E4AD-4819-AB2B-8D567F4A55AB}">
  <ds:schemaRefs>
    <ds:schemaRef ds:uri="http://schemas.microsoft.com/sharepoint/v3/contenttype/forms"/>
  </ds:schemaRefs>
</ds:datastoreItem>
</file>

<file path=customXml/itemProps2.xml><?xml version="1.0" encoding="utf-8"?>
<ds:datastoreItem xmlns:ds="http://schemas.openxmlformats.org/officeDocument/2006/customXml" ds:itemID="{1CDE0FA3-93CD-4082-B4B2-9AB1FD2F519E}">
  <ds:schemaRefs>
    <ds:schemaRef ds:uri="http://schemas.microsoft.com/office/2006/metadata/properties"/>
    <ds:schemaRef ds:uri="http://schemas.microsoft.com/office/infopath/2007/PartnerControls"/>
    <ds:schemaRef ds:uri="b1e38600-63d5-4e65-a582-7127f8355175"/>
    <ds:schemaRef ds:uri="c01c1d3e-a5c1-4247-90c8-8eee88b1fec1"/>
  </ds:schemaRefs>
</ds:datastoreItem>
</file>

<file path=customXml/itemProps3.xml><?xml version="1.0" encoding="utf-8"?>
<ds:datastoreItem xmlns:ds="http://schemas.openxmlformats.org/officeDocument/2006/customXml" ds:itemID="{630CA781-C1CC-4AC2-A2F4-4A9869C24A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c1d3e-a5c1-4247-90c8-8eee88b1fec1"/>
    <ds:schemaRef ds:uri="b1e38600-63d5-4e65-a582-7127f83551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1725</TotalTime>
  <Pages>7</Pages>
  <Words>2686</Words>
  <Characters>16440</Characters>
  <Application>Microsoft Office Word</Application>
  <DocSecurity>0</DocSecurity>
  <Lines>865</Lines>
  <Paragraphs>597</Paragraphs>
  <ScaleCrop>false</ScaleCrop>
  <HeadingPairs>
    <vt:vector size="2" baseType="variant">
      <vt:variant>
        <vt:lpstr>Title</vt:lpstr>
      </vt:variant>
      <vt:variant>
        <vt:i4>1</vt:i4>
      </vt:variant>
    </vt:vector>
  </HeadingPairs>
  <TitlesOfParts>
    <vt:vector size="1" baseType="lpstr">
      <vt:lpstr/>
    </vt:vector>
  </TitlesOfParts>
  <Company>IMF</Company>
  <LinksUpToDate>false</LinksUpToDate>
  <CharactersWithSpaces>18529</CharactersWithSpaces>
  <SharedDoc>false</SharedDoc>
  <HLinks>
    <vt:vector size="144" baseType="variant">
      <vt:variant>
        <vt:i4>6422640</vt:i4>
      </vt:variant>
      <vt:variant>
        <vt:i4>63</vt:i4>
      </vt:variant>
      <vt:variant>
        <vt:i4>0</vt:i4>
      </vt:variant>
      <vt:variant>
        <vt:i4>5</vt:i4>
      </vt:variant>
      <vt:variant>
        <vt:lpwstr>https://www.rff.org/publications/reports/medium-and-heavy-duty-vehicle-electrification-challenges-policy-solutions-and-open-research-questions/</vt:lpwstr>
      </vt:variant>
      <vt:variant>
        <vt:lpwstr/>
      </vt:variant>
      <vt:variant>
        <vt:i4>6422640</vt:i4>
      </vt:variant>
      <vt:variant>
        <vt:i4>60</vt:i4>
      </vt:variant>
      <vt:variant>
        <vt:i4>0</vt:i4>
      </vt:variant>
      <vt:variant>
        <vt:i4>5</vt:i4>
      </vt:variant>
      <vt:variant>
        <vt:lpwstr>https://www.rff.org/publications/reports/medium-and-heavy-duty-vehicle-electrification-challenges-policy-solutions-and-open-research-questions/</vt:lpwstr>
      </vt:variant>
      <vt:variant>
        <vt:lpwstr/>
      </vt:variant>
      <vt:variant>
        <vt:i4>5898297</vt:i4>
      </vt:variant>
      <vt:variant>
        <vt:i4>57</vt:i4>
      </vt:variant>
      <vt:variant>
        <vt:i4>0</vt:i4>
      </vt:variant>
      <vt:variant>
        <vt:i4>5</vt:i4>
      </vt:variant>
      <vt:variant>
        <vt:lpwstr>https://www-personal.umich.edu/~twod/oil-ns/articles/research-oil/d_gately-Vehicle_Ownership_Income_Growth_jul06.pdf</vt:lpwstr>
      </vt:variant>
      <vt:variant>
        <vt:lpwstr/>
      </vt:variant>
      <vt:variant>
        <vt:i4>1441799</vt:i4>
      </vt:variant>
      <vt:variant>
        <vt:i4>54</vt:i4>
      </vt:variant>
      <vt:variant>
        <vt:i4>0</vt:i4>
      </vt:variant>
      <vt:variant>
        <vt:i4>5</vt:i4>
      </vt:variant>
      <vt:variant>
        <vt:lpwstr>https://www.worldbank.org/en/programs/icp</vt:lpwstr>
      </vt:variant>
      <vt:variant>
        <vt:lpwstr/>
      </vt:variant>
      <vt:variant>
        <vt:i4>8061042</vt:i4>
      </vt:variant>
      <vt:variant>
        <vt:i4>51</vt:i4>
      </vt:variant>
      <vt:variant>
        <vt:i4>0</vt:i4>
      </vt:variant>
      <vt:variant>
        <vt:i4>5</vt:i4>
      </vt:variant>
      <vt:variant>
        <vt:lpwstr>https://publications.anl.gov/anlpubs/2021/05/167399.pdf</vt:lpwstr>
      </vt:variant>
      <vt:variant>
        <vt:lpwstr/>
      </vt:variant>
      <vt:variant>
        <vt:i4>7405626</vt:i4>
      </vt:variant>
      <vt:variant>
        <vt:i4>48</vt:i4>
      </vt:variant>
      <vt:variant>
        <vt:i4>0</vt:i4>
      </vt:variant>
      <vt:variant>
        <vt:i4>5</vt:i4>
      </vt:variant>
      <vt:variant>
        <vt:lpwstr>https://theicct.org/wp-content/uploads/2022/02/purchase-cost-ze-trucks-feb22-1.pdf</vt:lpwstr>
      </vt:variant>
      <vt:variant>
        <vt:lpwstr/>
      </vt:variant>
      <vt:variant>
        <vt:i4>3866686</vt:i4>
      </vt:variant>
      <vt:variant>
        <vt:i4>45</vt:i4>
      </vt:variant>
      <vt:variant>
        <vt:i4>0</vt:i4>
      </vt:variant>
      <vt:variant>
        <vt:i4>5</vt:i4>
      </vt:variant>
      <vt:variant>
        <vt:lpwstr>https://theicct.org/wp-content/uploads/2023/04/tco-alt-powertrain-long-haul-trucks-us-apr23.pdf</vt:lpwstr>
      </vt:variant>
      <vt:variant>
        <vt:lpwstr/>
      </vt:variant>
      <vt:variant>
        <vt:i4>5177365</vt:i4>
      </vt:variant>
      <vt:variant>
        <vt:i4>42</vt:i4>
      </vt:variant>
      <vt:variant>
        <vt:i4>0</vt:i4>
      </vt:variant>
      <vt:variant>
        <vt:i4>5</vt:i4>
      </vt:variant>
      <vt:variant>
        <vt:lpwstr>https://theicct.org/sites/default/files/publications/TCO-BETs-Europe-white-paper-v4-nov21.pdf</vt:lpwstr>
      </vt:variant>
      <vt:variant>
        <vt:lpwstr/>
      </vt:variant>
      <vt:variant>
        <vt:i4>3801206</vt:i4>
      </vt:variant>
      <vt:variant>
        <vt:i4>39</vt:i4>
      </vt:variant>
      <vt:variant>
        <vt:i4>0</vt:i4>
      </vt:variant>
      <vt:variant>
        <vt:i4>5</vt:i4>
      </vt:variant>
      <vt:variant>
        <vt:lpwstr>https://theicct.org/sites/default/files/publications/ze-hdvs-china-tco-EN-nov21.pdf</vt:lpwstr>
      </vt:variant>
      <vt:variant>
        <vt:lpwstr/>
      </vt:variant>
      <vt:variant>
        <vt:i4>6750319</vt:i4>
      </vt:variant>
      <vt:variant>
        <vt:i4>36</vt:i4>
      </vt:variant>
      <vt:variant>
        <vt:i4>0</vt:i4>
      </vt:variant>
      <vt:variant>
        <vt:i4>5</vt:i4>
      </vt:variant>
      <vt:variant>
        <vt:lpwstr>https://www.imf.org/en/Publications/WP/Issues/2023/08/22/IMF-Fossil-Fuel-Subsidies-Data-2023-Update-537281</vt:lpwstr>
      </vt:variant>
      <vt:variant>
        <vt:lpwstr/>
      </vt:variant>
      <vt:variant>
        <vt:i4>1310813</vt:i4>
      </vt:variant>
      <vt:variant>
        <vt:i4>33</vt:i4>
      </vt:variant>
      <vt:variant>
        <vt:i4>0</vt:i4>
      </vt:variant>
      <vt:variant>
        <vt:i4>5</vt:i4>
      </vt:variant>
      <vt:variant>
        <vt:lpwstr>https://www.iea.org/data-and-statistics/data-tools/electric-vehicles-total-cost-of-ownership-tool</vt:lpwstr>
      </vt:variant>
      <vt:variant>
        <vt:lpwstr/>
      </vt:variant>
      <vt:variant>
        <vt:i4>1310813</vt:i4>
      </vt:variant>
      <vt:variant>
        <vt:i4>30</vt:i4>
      </vt:variant>
      <vt:variant>
        <vt:i4>0</vt:i4>
      </vt:variant>
      <vt:variant>
        <vt:i4>5</vt:i4>
      </vt:variant>
      <vt:variant>
        <vt:lpwstr>https://www.iea.org/data-and-statistics/data-tools/electric-vehicles-total-cost-of-ownership-tool</vt:lpwstr>
      </vt:variant>
      <vt:variant>
        <vt:lpwstr/>
      </vt:variant>
      <vt:variant>
        <vt:i4>5505049</vt:i4>
      </vt:variant>
      <vt:variant>
        <vt:i4>24</vt:i4>
      </vt:variant>
      <vt:variant>
        <vt:i4>0</vt:i4>
      </vt:variant>
      <vt:variant>
        <vt:i4>5</vt:i4>
      </vt:variant>
      <vt:variant>
        <vt:lpwstr>https://www.imf.org/en/Publications/WP/Issues/2023/06/22/The-IMF-World-Bank-Climate-Policy-Assessment-Tool-CPAT-A-Model-to-Help-Countries-Mitigate-535096</vt:lpwstr>
      </vt:variant>
      <vt:variant>
        <vt:lpwstr/>
      </vt:variant>
      <vt:variant>
        <vt:i4>3604538</vt:i4>
      </vt:variant>
      <vt:variant>
        <vt:i4>18</vt:i4>
      </vt:variant>
      <vt:variant>
        <vt:i4>0</vt:i4>
      </vt:variant>
      <vt:variant>
        <vt:i4>5</vt:i4>
      </vt:variant>
      <vt:variant>
        <vt:lpwstr>https://www.oica.net/category/sales-statistics/</vt:lpwstr>
      </vt:variant>
      <vt:variant>
        <vt:lpwstr/>
      </vt:variant>
      <vt:variant>
        <vt:i4>3670074</vt:i4>
      </vt:variant>
      <vt:variant>
        <vt:i4>15</vt:i4>
      </vt:variant>
      <vt:variant>
        <vt:i4>0</vt:i4>
      </vt:variant>
      <vt:variant>
        <vt:i4>5</vt:i4>
      </vt:variant>
      <vt:variant>
        <vt:lpwstr>https://www.eea.europa.eu/en/analysis/indicators/new-registrations-of-electric-vehicles</vt:lpwstr>
      </vt:variant>
      <vt:variant>
        <vt:lpwstr/>
      </vt:variant>
      <vt:variant>
        <vt:i4>4259853</vt:i4>
      </vt:variant>
      <vt:variant>
        <vt:i4>12</vt:i4>
      </vt:variant>
      <vt:variant>
        <vt:i4>0</vt:i4>
      </vt:variant>
      <vt:variant>
        <vt:i4>5</vt:i4>
      </vt:variant>
      <vt:variant>
        <vt:lpwstr>https://www.statista.com/topics/1487/automotive-industry/</vt:lpwstr>
      </vt:variant>
      <vt:variant>
        <vt:lpwstr>topicOverview</vt:lpwstr>
      </vt:variant>
      <vt:variant>
        <vt:i4>5570583</vt:i4>
      </vt:variant>
      <vt:variant>
        <vt:i4>9</vt:i4>
      </vt:variant>
      <vt:variant>
        <vt:i4>0</vt:i4>
      </vt:variant>
      <vt:variant>
        <vt:i4>5</vt:i4>
      </vt:variant>
      <vt:variant>
        <vt:lpwstr>https://www.iea.org/data-and-statistics/data-product/energy-efficiency-indicators</vt:lpwstr>
      </vt:variant>
      <vt:variant>
        <vt:lpwstr/>
      </vt:variant>
      <vt:variant>
        <vt:i4>3997796</vt:i4>
      </vt:variant>
      <vt:variant>
        <vt:i4>6</vt:i4>
      </vt:variant>
      <vt:variant>
        <vt:i4>0</vt:i4>
      </vt:variant>
      <vt:variant>
        <vt:i4>5</vt:i4>
      </vt:variant>
      <vt:variant>
        <vt:lpwstr>http://www.iea.org/programmes/electric-vehicles-initiative</vt:lpwstr>
      </vt:variant>
      <vt:variant>
        <vt:lpwstr/>
      </vt:variant>
      <vt:variant>
        <vt:i4>1966155</vt:i4>
      </vt:variant>
      <vt:variant>
        <vt:i4>3</vt:i4>
      </vt:variant>
      <vt:variant>
        <vt:i4>0</vt:i4>
      </vt:variant>
      <vt:variant>
        <vt:i4>5</vt:i4>
      </vt:variant>
      <vt:variant>
        <vt:lpwstr>https://worldroadstatistics.org/</vt:lpwstr>
      </vt:variant>
      <vt:variant>
        <vt:lpwstr/>
      </vt:variant>
      <vt:variant>
        <vt:i4>5963776</vt:i4>
      </vt:variant>
      <vt:variant>
        <vt:i4>0</vt:i4>
      </vt:variant>
      <vt:variant>
        <vt:i4>0</vt:i4>
      </vt:variant>
      <vt:variant>
        <vt:i4>5</vt:i4>
      </vt:variant>
      <vt:variant>
        <vt:lpwstr>http://www.itf-oecd.org/</vt:lpwstr>
      </vt:variant>
      <vt:variant>
        <vt:lpwstr/>
      </vt:variant>
      <vt:variant>
        <vt:i4>3801206</vt:i4>
      </vt:variant>
      <vt:variant>
        <vt:i4>9</vt:i4>
      </vt:variant>
      <vt:variant>
        <vt:i4>0</vt:i4>
      </vt:variant>
      <vt:variant>
        <vt:i4>5</vt:i4>
      </vt:variant>
      <vt:variant>
        <vt:lpwstr>https://theicct.org/sites/default/files/publications/ze-hdvs-china-tco-EN-nov21.pdf</vt:lpwstr>
      </vt:variant>
      <vt:variant>
        <vt:lpwstr/>
      </vt:variant>
      <vt:variant>
        <vt:i4>4259906</vt:i4>
      </vt:variant>
      <vt:variant>
        <vt:i4>6</vt:i4>
      </vt:variant>
      <vt:variant>
        <vt:i4>0</vt:i4>
      </vt:variant>
      <vt:variant>
        <vt:i4>5</vt:i4>
      </vt:variant>
      <vt:variant>
        <vt:lpwstr>https://theicct.org/wp-content/uploads/2023/11/ID-54-%E2%80%93-EU-HDV-TCO-paper-working-paper-28-A4-50145-v2.pdf</vt:lpwstr>
      </vt:variant>
      <vt:variant>
        <vt:lpwstr/>
      </vt:variant>
      <vt:variant>
        <vt:i4>852047</vt:i4>
      </vt:variant>
      <vt:variant>
        <vt:i4>3</vt:i4>
      </vt:variant>
      <vt:variant>
        <vt:i4>0</vt:i4>
      </vt:variant>
      <vt:variant>
        <vt:i4>5</vt:i4>
      </vt:variant>
      <vt:variant>
        <vt:lpwstr>https://scholar.harvard.edu/files/stock/files/policies_for_electrifying_the_light-duty_vehicle_fleet_in_the_united_states.pdf</vt:lpwstr>
      </vt:variant>
      <vt:variant>
        <vt:lpwstr/>
      </vt:variant>
      <vt:variant>
        <vt:i4>852047</vt:i4>
      </vt:variant>
      <vt:variant>
        <vt:i4>0</vt:i4>
      </vt:variant>
      <vt:variant>
        <vt:i4>0</vt:i4>
      </vt:variant>
      <vt:variant>
        <vt:i4>5</vt:i4>
      </vt:variant>
      <vt:variant>
        <vt:lpwstr>https://scholar.harvard.edu/files/stock/files/policies_for_electrifying_the_light-duty_vehicle_fleet_in_the_united_states.pdf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Vernon, Nate</dc:creator>
  <cp:keywords/>
  <dc:description/>
  <cp:lastModifiedBy>Vernon, Nate</cp:lastModifiedBy>
  <cp:revision>85</cp:revision>
  <dcterms:created xsi:type="dcterms:W3CDTF">2024-06-18T10:15:00Z</dcterms:created>
  <dcterms:modified xsi:type="dcterms:W3CDTF">2026-03-17T00:24:00Z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2024-01-16T22:41:43Z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0cb1b281-891f-417f-a9df-4144c5d8fbe3</vt:lpwstr>
  </property>
  <property fmtid="{D5CDD505-2E9C-101B-9397-08002B2CF9AE}" pid="8" name="MSIP_Label_0c07ed86-5dc5-4593-ad03-a8684b843815_ContentBits">
    <vt:lpwstr>0</vt:lpwstr>
  </property>
  <property fmtid="{D5CDD505-2E9C-101B-9397-08002B2CF9AE}" pid="9" name="ContentTypeId">
    <vt:lpwstr>0x01010058118BABD0ED6D468048C8451BAF473B</vt:lpwstr>
  </property>
  <property fmtid="{D5CDD505-2E9C-101B-9397-08002B2CF9AE}" pid="10" name="MediaServiceImageTags">
    <vt:lpwstr/>
  </property>
  <property fmtid="{D5CDD505-2E9C-101B-9397-08002B2CF9AE}" pid="11" name="docLang">
    <vt:lpwstr>en</vt:lpwstr>
  </property>
</Properties>
</file>