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CPAT-AI-Mitigation-Prototype: bugs, issues and upgrades, with the bug-fixing procedure for legacy CPAT</w:t>
      </w:r>
    </w:p>
    <w:p>
      <w:pPr>
        <w:spacing w:after="80"/>
      </w:pPr>
      <w:r>
        <w:rPr>
          <w:sz w:val="18"/>
        </w:rPr>
        <w:t>Register version 8.3, 2026-10-23. Generated from the CPAT-AI repository for CPAT-AI-Mitigation-Prototype v8.3 (make_bugfix_book.py). Legacy workbook: CPAT 1.0pre_465 - No Prop Data.xlsb (cell references; the bugs were found in CPAT 1.0pre_456_NoPropData.xlsb).</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Summary</w:t>
      </w:r>
    </w:p>
    <w:p>
      <w:pPr>
        <w:spacing w:after="80"/>
      </w:pPr>
      <w:r>
        <w:rPr>
          <w:sz w:val="20"/>
        </w:rPr>
        <w:t>One register of everything that is wrong, questionable, simplified or still to do, in legacy CPAT and in the prototype. Every item has a code that the other documents use. The register is kept in issues_register.py and the workbook sheet LegacyDiff; the full check tests that both agree.</w:t>
      </w:r>
    </w:p>
    <w:tbl>
      <w:tblPr>
        <w:tblStyle w:val="TableGrid"/>
        <w:tblW w:type="dxa" w:w="9070"/>
        <w:jc w:val="left"/>
        <w:tblLayout w:type="fixed"/>
        <w:tblLook w:firstColumn="1" w:firstRow="1" w:lastColumn="0" w:lastRow="0" w:noHBand="0" w:noVBand="1" w:val="04A0"/>
      </w:tblPr>
      <w:tblGrid>
        <w:gridCol w:w="2041"/>
        <w:gridCol w:w="794"/>
        <w:gridCol w:w="907"/>
        <w:gridCol w:w="5329"/>
      </w:tblGrid>
      <w:tr>
        <w:trPr>
          <w:tblHeader w:val="true"/>
        </w:trPr>
        <w:tc>
          <w:tcPr>
            <w:tcW w:type="dxa" w:w="2041"/>
            <w:shd w:val="clear" w:color="auto" w:fill="D9E8C4"/>
          </w:tcPr>
          <w:p>
            <w:pPr>
              <w:spacing w:after="20"/>
            </w:pPr>
            <w:r>
              <w:rPr>
                <w:rFonts w:ascii="Arial" w:hAnsi="Arial"/>
                <w:b/>
                <w:sz w:val="16"/>
              </w:rPr>
              <w:t>Part</w:t>
            </w:r>
          </w:p>
        </w:tc>
        <w:tc>
          <w:tcPr>
            <w:tcW w:type="dxa" w:w="794"/>
            <w:shd w:val="clear" w:color="auto" w:fill="D9E8C4"/>
          </w:tcPr>
          <w:p>
            <w:pPr>
              <w:spacing w:after="20"/>
            </w:pPr>
            <w:r>
              <w:rPr>
                <w:rFonts w:ascii="Arial" w:hAnsi="Arial"/>
                <w:b/>
                <w:sz w:val="16"/>
              </w:rPr>
              <w:t>Codes</w:t>
            </w:r>
          </w:p>
        </w:tc>
        <w:tc>
          <w:tcPr>
            <w:tcW w:type="dxa" w:w="907"/>
            <w:shd w:val="clear" w:color="auto" w:fill="D9E8C4"/>
          </w:tcPr>
          <w:p>
            <w:pPr>
              <w:spacing w:after="20"/>
            </w:pPr>
            <w:r>
              <w:rPr>
                <w:rFonts w:ascii="Arial" w:hAnsi="Arial"/>
                <w:b/>
                <w:sz w:val="16"/>
              </w:rPr>
              <w:t>Items</w:t>
            </w:r>
          </w:p>
        </w:tc>
        <w:tc>
          <w:tcPr>
            <w:tcW w:type="dxa" w:w="5329"/>
            <w:shd w:val="clear" w:color="auto" w:fill="D9E8C4"/>
          </w:tcPr>
          <w:p>
            <w:pPr>
              <w:spacing w:after="20"/>
            </w:pPr>
            <w:r>
              <w:rPr>
                <w:rFonts w:ascii="Arial" w:hAnsi="Arial"/>
                <w:b/>
                <w:sz w:val="16"/>
              </w:rPr>
              <w:t>What it lists</w:t>
            </w:r>
          </w:p>
        </w:tc>
      </w:tr>
      <w:tr>
        <w:tc>
          <w:tcPr>
            <w:tcW w:type="dxa" w:w="2041"/>
          </w:tcPr>
          <w:p>
            <w:pPr>
              <w:spacing w:after="20"/>
            </w:pPr>
            <w:r>
              <w:rPr>
                <w:rFonts w:ascii="Arial" w:hAnsi="Arial"/>
                <w:b w:val="0"/>
                <w:sz w:val="16"/>
              </w:rPr>
              <w:t>3. Legacy bugs by type</w:t>
            </w:r>
          </w:p>
        </w:tc>
        <w:tc>
          <w:tcPr>
            <w:tcW w:type="dxa" w:w="794"/>
          </w:tcPr>
          <w:p>
            <w:pPr>
              <w:spacing w:after="20"/>
            </w:pPr>
            <w:r>
              <w:rPr>
                <w:rFonts w:ascii="Arial" w:hAnsi="Arial"/>
                <w:b w:val="0"/>
                <w:sz w:val="16"/>
              </w:rPr>
              <w:t>L, D</w:t>
            </w:r>
          </w:p>
        </w:tc>
        <w:tc>
          <w:tcPr>
            <w:tcW w:type="dxa" w:w="907"/>
          </w:tcPr>
          <w:p>
            <w:pPr>
              <w:spacing w:after="20"/>
            </w:pPr>
            <w:r>
              <w:rPr>
                <w:rFonts w:ascii="Arial" w:hAnsi="Arial"/>
                <w:b w:val="0"/>
                <w:sz w:val="16"/>
              </w:rPr>
              <w:t>132, 31</w:t>
            </w:r>
          </w:p>
        </w:tc>
        <w:tc>
          <w:tcPr>
            <w:tcW w:type="dxa" w:w="5329"/>
          </w:tcPr>
          <w:p>
            <w:pPr>
              <w:spacing w:after="20"/>
            </w:pPr>
            <w:r>
              <w:rPr>
                <w:rFonts w:ascii="Arial" w:hAnsi="Arial"/>
                <w:b w:val="0"/>
                <w:sz w:val="16"/>
              </w:rPr>
              <w:t>Defects of the legacy workbook (mitigation, distribution), with cell-level fix plans; all fixed in the prototype</w:t>
            </w:r>
          </w:p>
        </w:tc>
      </w:tr>
      <w:tr>
        <w:tc>
          <w:tcPr>
            <w:tcW w:type="dxa" w:w="2041"/>
          </w:tcPr>
          <w:p>
            <w:pPr>
              <w:spacing w:after="20"/>
            </w:pPr>
            <w:r>
              <w:rPr>
                <w:rFonts w:ascii="Arial" w:hAnsi="Arial"/>
                <w:b w:val="0"/>
                <w:sz w:val="16"/>
              </w:rPr>
              <w:t>3.5 Bugs of the prototype</w:t>
            </w:r>
          </w:p>
        </w:tc>
        <w:tc>
          <w:tcPr>
            <w:tcW w:type="dxa" w:w="794"/>
          </w:tcPr>
          <w:p>
            <w:pPr>
              <w:spacing w:after="20"/>
            </w:pPr>
            <w:r>
              <w:rPr>
                <w:rFonts w:ascii="Arial" w:hAnsi="Arial"/>
                <w:b w:val="0"/>
                <w:sz w:val="16"/>
              </w:rPr>
              <w:t>M</w:t>
            </w:r>
          </w:p>
        </w:tc>
        <w:tc>
          <w:tcPr>
            <w:tcW w:type="dxa" w:w="907"/>
          </w:tcPr>
          <w:p>
            <w:pPr>
              <w:spacing w:after="20"/>
            </w:pPr>
            <w:r>
              <w:rPr>
                <w:rFonts w:ascii="Arial" w:hAnsi="Arial"/>
                <w:b w:val="0"/>
                <w:sz w:val="16"/>
              </w:rPr>
              <w:t>14</w:t>
            </w:r>
          </w:p>
        </w:tc>
        <w:tc>
          <w:tcPr>
            <w:tcW w:type="dxa" w:w="5329"/>
          </w:tcPr>
          <w:p>
            <w:pPr>
              <w:spacing w:after="20"/>
            </w:pPr>
            <w:r>
              <w:rPr>
                <w:rFonts w:ascii="Arial" w:hAnsi="Arial"/>
                <w:b w:val="0"/>
                <w:sz w:val="16"/>
              </w:rPr>
              <w:t>Defects of earlier prototype versions, all fixed</w:t>
            </w:r>
          </w:p>
        </w:tc>
      </w:tr>
      <w:tr>
        <w:tc>
          <w:tcPr>
            <w:tcW w:type="dxa" w:w="2041"/>
          </w:tcPr>
          <w:p>
            <w:pPr>
              <w:spacing w:after="20"/>
            </w:pPr>
            <w:r>
              <w:rPr>
                <w:rFonts w:ascii="Arial" w:hAnsi="Arial"/>
                <w:b w:val="0"/>
                <w:sz w:val="16"/>
              </w:rPr>
              <w:t>4. Issues</w:t>
            </w:r>
          </w:p>
        </w:tc>
        <w:tc>
          <w:tcPr>
            <w:tcW w:type="dxa" w:w="794"/>
          </w:tcPr>
          <w:p>
            <w:pPr>
              <w:spacing w:after="20"/>
            </w:pPr>
            <w:r>
              <w:rPr>
                <w:rFonts w:ascii="Arial" w:hAnsi="Arial"/>
                <w:b w:val="0"/>
                <w:sz w:val="16"/>
              </w:rPr>
              <w:t>I, DI</w:t>
            </w:r>
          </w:p>
        </w:tc>
        <w:tc>
          <w:tcPr>
            <w:tcW w:type="dxa" w:w="907"/>
          </w:tcPr>
          <w:p>
            <w:pPr>
              <w:spacing w:after="20"/>
            </w:pPr>
            <w:r>
              <w:rPr>
                <w:rFonts w:ascii="Arial" w:hAnsi="Arial"/>
                <w:b w:val="0"/>
                <w:sz w:val="16"/>
              </w:rPr>
              <w:t>69, 10</w:t>
            </w:r>
          </w:p>
        </w:tc>
        <w:tc>
          <w:tcPr>
            <w:tcW w:type="dxa" w:w="5329"/>
          </w:tcPr>
          <w:p>
            <w:pPr>
              <w:spacing w:after="20"/>
            </w:pPr>
            <w:r>
              <w:rPr>
                <w:rFonts w:ascii="Arial" w:hAnsi="Arial"/>
                <w:b w:val="0"/>
                <w:sz w:val="16"/>
              </w:rPr>
              <w:t>Questionable intended behaviours: replicated from legacy, departures, or issues of the prototype (status Open, Accepted, Resolved, Dropped)</w:t>
            </w:r>
          </w:p>
        </w:tc>
      </w:tr>
      <w:tr>
        <w:tc>
          <w:tcPr>
            <w:tcW w:type="dxa" w:w="2041"/>
          </w:tcPr>
          <w:p>
            <w:pPr>
              <w:spacing w:after="20"/>
            </w:pPr>
            <w:r>
              <w:rPr>
                <w:rFonts w:ascii="Arial" w:hAnsi="Arial"/>
                <w:b w:val="0"/>
                <w:sz w:val="16"/>
              </w:rPr>
              <w:t>4.3 LegacyDiff departures</w:t>
            </w:r>
          </w:p>
        </w:tc>
        <w:tc>
          <w:tcPr>
            <w:tcW w:type="dxa" w:w="794"/>
          </w:tcPr>
          <w:p>
            <w:pPr>
              <w:spacing w:after="20"/>
            </w:pPr>
            <w:r>
              <w:rPr>
                <w:rFonts w:ascii="Arial" w:hAnsi="Arial"/>
                <w:b w:val="0"/>
                <w:sz w:val="16"/>
              </w:rPr>
              <w:t>LD</w:t>
            </w:r>
          </w:p>
        </w:tc>
        <w:tc>
          <w:tcPr>
            <w:tcW w:type="dxa" w:w="907"/>
          </w:tcPr>
          <w:p>
            <w:pPr>
              <w:spacing w:after="20"/>
            </w:pPr>
            <w:r>
              <w:rPr>
                <w:rFonts w:ascii="Arial" w:hAnsi="Arial"/>
                <w:b w:val="0"/>
                <w:sz w:val="16"/>
              </w:rPr>
              <w:t>41</w:t>
            </w:r>
          </w:p>
        </w:tc>
        <w:tc>
          <w:tcPr>
            <w:tcW w:type="dxa" w:w="5329"/>
          </w:tcPr>
          <w:p>
            <w:pPr>
              <w:spacing w:after="20"/>
            </w:pPr>
            <w:r>
              <w:rPr>
                <w:rFonts w:ascii="Arial" w:hAnsi="Arial"/>
                <w:b w:val="0"/>
                <w:sz w:val="16"/>
              </w:rPr>
              <w:t>Every difference with legacy that is not "Same" (7 of them simplifications, not yet built or to check)</w:t>
            </w:r>
          </w:p>
        </w:tc>
      </w:tr>
      <w:tr>
        <w:tc>
          <w:tcPr>
            <w:tcW w:type="dxa" w:w="2041"/>
          </w:tcPr>
          <w:p>
            <w:pPr>
              <w:spacing w:after="20"/>
            </w:pPr>
            <w:r>
              <w:rPr>
                <w:rFonts w:ascii="Arial" w:hAnsi="Arial"/>
                <w:b w:val="0"/>
                <w:sz w:val="16"/>
              </w:rPr>
              <w:t>5. Potential upgrades</w:t>
            </w:r>
          </w:p>
        </w:tc>
        <w:tc>
          <w:tcPr>
            <w:tcW w:type="dxa" w:w="794"/>
          </w:tcPr>
          <w:p>
            <w:pPr>
              <w:spacing w:after="20"/>
            </w:pPr>
            <w:r>
              <w:rPr>
                <w:rFonts w:ascii="Arial" w:hAnsi="Arial"/>
                <w:b w:val="0"/>
                <w:sz w:val="16"/>
              </w:rPr>
              <w:t>U</w:t>
            </w:r>
          </w:p>
        </w:tc>
        <w:tc>
          <w:tcPr>
            <w:tcW w:type="dxa" w:w="907"/>
          </w:tcPr>
          <w:p>
            <w:pPr>
              <w:spacing w:after="20"/>
            </w:pPr>
            <w:r>
              <w:rPr>
                <w:rFonts w:ascii="Arial" w:hAnsi="Arial"/>
                <w:b w:val="0"/>
                <w:sz w:val="16"/>
              </w:rPr>
              <w:t>9</w:t>
            </w:r>
          </w:p>
        </w:tc>
        <w:tc>
          <w:tcPr>
            <w:tcW w:type="dxa" w:w="5329"/>
          </w:tcPr>
          <w:p>
            <w:pPr>
              <w:spacing w:after="20"/>
            </w:pPr>
            <w:r>
              <w:rPr>
                <w:rFonts w:ascii="Arial" w:hAnsi="Arial"/>
                <w:b w:val="0"/>
                <w:sz w:val="16"/>
              </w:rPr>
              <w:t>3 high, 4 medium, 2 low priority</w:t>
            </w:r>
          </w:p>
        </w:tc>
      </w:tr>
    </w:tbl>
    <w:p/>
    <w:p>
      <w:pPr>
        <w:pStyle w:val="ListBullet"/>
      </w:pPr>
      <w:r>
        <w:rPr>
          <w:sz w:val="18"/>
        </w:rPr>
        <w:t>Rule (user 2026-10-15): legacy bugs are fixed, legacy issues are replicated and tracked.</w:t>
      </w:r>
    </w:p>
    <w:p>
      <w:pPr>
        <w:pStyle w:val="ListBullet"/>
      </w:pPr>
      <w:r>
        <w:rPr>
          <w:sz w:val="18"/>
        </w:rPr>
        <w:t>Priorities: the Excel 365 review by the user (I1), the ETS goal seek tested by the user (I30), the data requests (I64, I65, I13, I68). I62 and I71 are legacy issues, high priority for the CPAT team but not for the prototype.</w:t>
      </w:r>
    </w:p>
    <w:p>
      <w:r>
        <w:br w:type="page"/>
      </w:r>
    </w:p>
    <w:p>
      <w:pPr>
        <w:pStyle w:val="Heading1"/>
      </w:pPr>
      <w:r>
        <w:t>1. Purpose, scope and the rule for bugs and issues</w:t>
      </w:r>
    </w:p>
    <w:p>
      <w:pPr>
        <w:spacing w:after="80"/>
      </w:pPr>
      <w:r>
        <w:rPr>
          <w:sz w:val="20"/>
        </w:rPr>
        <w:t>This document collects every defect found in the legacy CPAT workbook while it was rebuilt as the CPAT-AI-Mitigation-Prototype prototype, and the procedure to fix a defect in the legacy workbook and confirm that everything still works. The register is generated from the repository (excel_ai/mitigation/issues_register.py), so this document and the prototype v8.3 say the same thing.</w:t>
      </w:r>
    </w:p>
    <w:p>
      <w:pPr>
        <w:spacing w:after="80"/>
      </w:pPr>
      <w:r>
        <w:rPr>
          <w:b/>
          <w:sz w:val="20"/>
        </w:rPr>
        <w:t xml:space="preserve">Bugs and issues. </w:t>
      </w:r>
      <w:r>
        <w:rPr>
          <w:sz w:val="20"/>
        </w:rPr>
        <w:t>A bug is something legacy CPAT computes that it plainly does not intend: a reference to the wrong row, a copied formula that points to another sector, a unit applied twice. An issue is something legacy does on purpose that is questionable (a method, a default, a data convention).</w:t>
      </w:r>
    </w:p>
    <w:p>
      <w:pPr>
        <w:spacing w:after="80"/>
      </w:pPr>
      <w:r>
        <w:rPr>
          <w:b/>
          <w:sz w:val="20"/>
        </w:rPr>
        <w:t xml:space="preserve">The rule. </w:t>
      </w:r>
      <w:r>
        <w:rPr>
          <w:sz w:val="20"/>
        </w:rPr>
        <w:t>Bugs are never replicated in the prototype: each is fixed and recorded here with the legacy cells and the fix legacy needs. Issues are replicated (the prototype does what legacy does) and tracked, unless the user decided otherwise; the decision is recorded with the issue (repository rule NORMS 0, 2026-10-15).</w:t>
      </w:r>
    </w:p>
    <w:p>
      <w:pPr>
        <w:spacing w:after="80"/>
      </w:pPr>
      <w:r>
        <w:rPr>
          <w:b/>
          <w:sz w:val="20"/>
        </w:rPr>
        <w:t xml:space="preserve">Legacy version. </w:t>
      </w:r>
      <w:r>
        <w:rPr>
          <w:sz w:val="20"/>
        </w:rPr>
        <w:t>The bugs were found in CPAT 1.0pre_456_NoPropData.xlsb; every cell reference here is a row of the latest file from the CPAT team, CPAT 1.0pre_465 - No Prop Data.xlsb (sheet Mitigation unless stated), moved from 456 by matching the rows of both files on their labels and codes (legacy/bugfixes/data/rowmap_456_465.json). Mitigation: rows up to 5666 unchanged; rows 5667-5677, 5727-5728, 5856, 5880 and 8404 deleted; later rows 11 to 15 higher; the policy block sits +6,316 rows below the baseline. MTInputs: rows 329-330 deleted, later rows 2 higher. Other sheets keep their rows. The CPAT team fixed part of the bugs in 465 (Appendices B and C; every bug says its status in legacy). Before applying a fix, run the preflight (section 2.3): it tells whether the cell still holds the bug.</w:t>
      </w:r>
    </w:p>
    <w:tbl>
      <w:tblPr>
        <w:tblStyle w:val="TableGrid"/>
        <w:tblW w:type="dxa" w:w="9070"/>
        <w:jc w:val="left"/>
        <w:tblLayout w:type="fixed"/>
        <w:tblLook w:firstColumn="1" w:firstRow="1" w:lastColumn="0" w:lastRow="0" w:noHBand="0" w:noVBand="1" w:val="04A0"/>
      </w:tblPr>
      <w:tblGrid>
        <w:gridCol w:w="1417"/>
        <w:gridCol w:w="7654"/>
      </w:tblGrid>
      <w:tr>
        <w:trPr>
          <w:tblHeader w:val="true"/>
        </w:trPr>
        <w:tc>
          <w:tcPr>
            <w:tcW w:type="dxa" w:w="1417"/>
            <w:shd w:val="clear" w:color="auto" w:fill="D9E8C4"/>
          </w:tcPr>
          <w:p>
            <w:pPr>
              <w:spacing w:after="20"/>
            </w:pPr>
            <w:r>
              <w:rPr>
                <w:rFonts w:ascii="Arial" w:hAnsi="Arial"/>
                <w:b/>
                <w:sz w:val="17"/>
              </w:rPr>
              <w:t>Code</w:t>
            </w:r>
          </w:p>
        </w:tc>
        <w:tc>
          <w:tcPr>
            <w:tcW w:type="dxa" w:w="7654"/>
            <w:shd w:val="clear" w:color="auto" w:fill="D9E8C4"/>
          </w:tcPr>
          <w:p>
            <w:pPr>
              <w:spacing w:after="20"/>
            </w:pPr>
            <w:r>
              <w:rPr>
                <w:rFonts w:ascii="Arial" w:hAnsi="Arial"/>
                <w:b/>
                <w:sz w:val="17"/>
              </w:rPr>
              <w:t>Meaning</w:t>
            </w:r>
          </w:p>
        </w:tc>
      </w:tr>
      <w:tr>
        <w:tc>
          <w:tcPr>
            <w:tcW w:type="dxa" w:w="1417"/>
          </w:tcPr>
          <w:p>
            <w:pPr>
              <w:spacing w:after="20"/>
            </w:pPr>
            <w:r>
              <w:rPr>
                <w:rFonts w:ascii="Arial" w:hAnsi="Arial"/>
                <w:b w:val="0"/>
                <w:sz w:val="17"/>
              </w:rPr>
              <w:t>L1-L134</w:t>
            </w:r>
          </w:p>
        </w:tc>
        <w:tc>
          <w:tcPr>
            <w:tcW w:type="dxa" w:w="7654"/>
          </w:tcPr>
          <w:p>
            <w:pPr>
              <w:spacing w:after="20"/>
            </w:pPr>
            <w:r>
              <w:rPr>
                <w:rFonts w:ascii="Arial" w:hAnsi="Arial"/>
                <w:b w:val="0"/>
                <w:sz w:val="17"/>
              </w:rPr>
              <w:t>Legacy bugs of the mitigation sheets (L17 was a prototype bug, L74 not used)</w:t>
            </w:r>
          </w:p>
        </w:tc>
      </w:tr>
      <w:tr>
        <w:tc>
          <w:tcPr>
            <w:tcW w:type="dxa" w:w="1417"/>
          </w:tcPr>
          <w:p>
            <w:pPr>
              <w:spacing w:after="20"/>
            </w:pPr>
            <w:r>
              <w:rPr>
                <w:rFonts w:ascii="Arial" w:hAnsi="Arial"/>
                <w:b w:val="0"/>
                <w:sz w:val="17"/>
              </w:rPr>
              <w:t>D1-D31</w:t>
            </w:r>
          </w:p>
        </w:tc>
        <w:tc>
          <w:tcPr>
            <w:tcW w:type="dxa" w:w="7654"/>
          </w:tcPr>
          <w:p>
            <w:pPr>
              <w:spacing w:after="20"/>
            </w:pPr>
            <w:r>
              <w:rPr>
                <w:rFonts w:ascii="Arial" w:hAnsi="Arial"/>
                <w:b w:val="0"/>
                <w:sz w:val="17"/>
              </w:rPr>
              <w:t>Legacy bugs of the distribution sheet</w:t>
            </w:r>
          </w:p>
        </w:tc>
      </w:tr>
      <w:tr>
        <w:tc>
          <w:tcPr>
            <w:tcW w:type="dxa" w:w="1417"/>
          </w:tcPr>
          <w:p>
            <w:pPr>
              <w:spacing w:after="20"/>
            </w:pPr>
            <w:r>
              <w:rPr>
                <w:rFonts w:ascii="Arial" w:hAnsi="Arial"/>
                <w:b w:val="0"/>
                <w:sz w:val="17"/>
              </w:rPr>
              <w:t>N1, N2</w:t>
            </w:r>
          </w:p>
        </w:tc>
        <w:tc>
          <w:tcPr>
            <w:tcW w:type="dxa" w:w="7654"/>
          </w:tcPr>
          <w:p>
            <w:pPr>
              <w:spacing w:after="20"/>
            </w:pPr>
            <w:r>
              <w:rPr>
                <w:rFonts w:ascii="Arial" w:hAnsi="Arial"/>
                <w:b w:val="0"/>
                <w:sz w:val="17"/>
              </w:rPr>
              <w:t>Defects found while writing the cell plans, not yet confirmed in the register</w:t>
            </w:r>
          </w:p>
        </w:tc>
      </w:tr>
      <w:tr>
        <w:tc>
          <w:tcPr>
            <w:tcW w:type="dxa" w:w="1417"/>
          </w:tcPr>
          <w:p>
            <w:pPr>
              <w:spacing w:after="20"/>
            </w:pPr>
            <w:r>
              <w:rPr>
                <w:rFonts w:ascii="Arial" w:hAnsi="Arial"/>
                <w:b w:val="0"/>
                <w:sz w:val="17"/>
              </w:rPr>
              <w:t>M1-M14</w:t>
            </w:r>
          </w:p>
        </w:tc>
        <w:tc>
          <w:tcPr>
            <w:tcW w:type="dxa" w:w="7654"/>
          </w:tcPr>
          <w:p>
            <w:pPr>
              <w:spacing w:after="20"/>
            </w:pPr>
            <w:r>
              <w:rPr>
                <w:rFonts w:ascii="Arial" w:hAnsi="Arial"/>
                <w:b w:val="0"/>
                <w:sz w:val="17"/>
              </w:rPr>
              <w:t>Bugs of the prototype itself (fixed), kept for the record</w:t>
            </w:r>
          </w:p>
        </w:tc>
      </w:tr>
      <w:tr>
        <w:tc>
          <w:tcPr>
            <w:tcW w:type="dxa" w:w="1417"/>
          </w:tcPr>
          <w:p>
            <w:pPr>
              <w:spacing w:after="20"/>
            </w:pPr>
            <w:r>
              <w:rPr>
                <w:rFonts w:ascii="Arial" w:hAnsi="Arial"/>
                <w:b w:val="0"/>
                <w:sz w:val="17"/>
              </w:rPr>
              <w:t>I1-I75</w:t>
            </w:r>
          </w:p>
        </w:tc>
        <w:tc>
          <w:tcPr>
            <w:tcW w:type="dxa" w:w="7654"/>
          </w:tcPr>
          <w:p>
            <w:pPr>
              <w:spacing w:after="20"/>
            </w:pPr>
            <w:r>
              <w:rPr>
                <w:rFonts w:ascii="Arial" w:hAnsi="Arial"/>
                <w:b w:val="0"/>
                <w:sz w:val="17"/>
              </w:rPr>
              <w:t>Issues of the mitigation module (replicated, not replicated by decision, or of the prototype)</w:t>
            </w:r>
          </w:p>
        </w:tc>
      </w:tr>
      <w:tr>
        <w:tc>
          <w:tcPr>
            <w:tcW w:type="dxa" w:w="1417"/>
          </w:tcPr>
          <w:p>
            <w:pPr>
              <w:spacing w:after="20"/>
            </w:pPr>
            <w:r>
              <w:rPr>
                <w:rFonts w:ascii="Arial" w:hAnsi="Arial"/>
                <w:b w:val="0"/>
                <w:sz w:val="17"/>
              </w:rPr>
              <w:t>DI1-DI10</w:t>
            </w:r>
          </w:p>
        </w:tc>
        <w:tc>
          <w:tcPr>
            <w:tcW w:type="dxa" w:w="7654"/>
          </w:tcPr>
          <w:p>
            <w:pPr>
              <w:spacing w:after="20"/>
            </w:pPr>
            <w:r>
              <w:rPr>
                <w:rFonts w:ascii="Arial" w:hAnsi="Arial"/>
                <w:b w:val="0"/>
                <w:sz w:val="17"/>
              </w:rPr>
              <w:t>Issues of the distribution module</w:t>
            </w:r>
          </w:p>
        </w:tc>
      </w:tr>
      <w:tr>
        <w:tc>
          <w:tcPr>
            <w:tcW w:type="dxa" w:w="1417"/>
          </w:tcPr>
          <w:p>
            <w:pPr>
              <w:spacing w:after="20"/>
            </w:pPr>
            <w:r>
              <w:rPr>
                <w:rFonts w:ascii="Arial" w:hAnsi="Arial"/>
                <w:b w:val="0"/>
                <w:sz w:val="17"/>
              </w:rPr>
              <w:t>LD1-LD79</w:t>
            </w:r>
          </w:p>
        </w:tc>
        <w:tc>
          <w:tcPr>
            <w:tcW w:type="dxa" w:w="7654"/>
          </w:tcPr>
          <w:p>
            <w:pPr>
              <w:spacing w:after="20"/>
            </w:pPr>
            <w:r>
              <w:rPr>
                <w:rFonts w:ascii="Arial" w:hAnsi="Arial"/>
                <w:b w:val="0"/>
                <w:sz w:val="17"/>
              </w:rPr>
              <w:t>Rows of the LegacyDiff sheet of the prototype: where it departs from legacy, and why</w:t>
            </w:r>
          </w:p>
        </w:tc>
      </w:tr>
    </w:tbl>
    <w:p/>
    <w:p>
      <w:pPr>
        <w:pStyle w:val="Heading1"/>
      </w:pPr>
      <w:r>
        <w:t>2. The bug-fixing procedure</w:t>
      </w:r>
    </w:p>
    <w:p>
      <w:pPr>
        <w:pStyle w:val="Heading2"/>
      </w:pPr>
      <w:r>
        <w:t>2.1 The two protocols of the legacy workbook</w:t>
      </w:r>
    </w:p>
    <w:p>
      <w:pPr>
        <w:spacing w:after="80"/>
      </w:pPr>
      <w:r>
        <w:rPr>
          <w:sz w:val="20"/>
        </w:rPr>
        <w:t>Legacy CPAT relies on two conventions that a fix must keep, and that many bugs break:</w:t>
      </w:r>
    </w:p>
    <w:tbl>
      <w:tblPr>
        <w:tblStyle w:val="TableGrid"/>
        <w:tblW w:type="dxa" w:w="9070"/>
        <w:jc w:val="left"/>
        <w:tblLayout w:type="fixed"/>
        <w:tblLook w:firstColumn="1" w:firstRow="1" w:lastColumn="0" w:lastRow="0" w:noHBand="0" w:noVBand="1" w:val="04A0"/>
      </w:tblPr>
      <w:tblGrid>
        <w:gridCol w:w="1984"/>
        <w:gridCol w:w="4535"/>
        <w:gridCol w:w="2551"/>
      </w:tblGrid>
      <w:tr>
        <w:trPr>
          <w:tblHeader w:val="true"/>
        </w:trPr>
        <w:tc>
          <w:tcPr>
            <w:tcW w:type="dxa" w:w="1984"/>
            <w:shd w:val="clear" w:color="auto" w:fill="D9E8C4"/>
          </w:tcPr>
          <w:p>
            <w:pPr>
              <w:spacing w:after="20"/>
            </w:pPr>
            <w:r>
              <w:rPr>
                <w:rFonts w:ascii="Arial" w:hAnsi="Arial"/>
                <w:b/>
                <w:sz w:val="17"/>
              </w:rPr>
              <w:t>Protocol</w:t>
            </w:r>
          </w:p>
        </w:tc>
        <w:tc>
          <w:tcPr>
            <w:tcW w:type="dxa" w:w="4535"/>
            <w:shd w:val="clear" w:color="auto" w:fill="D9E8C4"/>
          </w:tcPr>
          <w:p>
            <w:pPr>
              <w:spacing w:after="20"/>
            </w:pPr>
            <w:r>
              <w:rPr>
                <w:rFonts w:ascii="Arial" w:hAnsi="Arial"/>
                <w:b/>
                <w:sz w:val="17"/>
              </w:rPr>
              <w:t>What it means</w:t>
            </w:r>
          </w:p>
        </w:tc>
        <w:tc>
          <w:tcPr>
            <w:tcW w:type="dxa" w:w="2551"/>
            <w:shd w:val="clear" w:color="auto" w:fill="D9E8C4"/>
          </w:tcPr>
          <w:p>
            <w:pPr>
              <w:spacing w:after="20"/>
            </w:pPr>
            <w:r>
              <w:rPr>
                <w:rFonts w:ascii="Arial" w:hAnsi="Arial"/>
                <w:b/>
                <w:sz w:val="17"/>
              </w:rPr>
              <w:t>Test</w:t>
            </w:r>
          </w:p>
        </w:tc>
      </w:tr>
      <w:tr>
        <w:tc>
          <w:tcPr>
            <w:tcW w:type="dxa" w:w="1984"/>
          </w:tcPr>
          <w:p>
            <w:pPr>
              <w:spacing w:after="20"/>
            </w:pPr>
            <w:r>
              <w:rPr>
                <w:rFonts w:ascii="Arial" w:hAnsi="Arial"/>
                <w:b w:val="0"/>
                <w:sz w:val="17"/>
              </w:rPr>
              <w:t>Drag left to right</w:t>
            </w:r>
          </w:p>
        </w:tc>
        <w:tc>
          <w:tcPr>
            <w:tcW w:type="dxa" w:w="4535"/>
          </w:tcPr>
          <w:p>
            <w:pPr>
              <w:spacing w:after="20"/>
            </w:pPr>
            <w:r>
              <w:rPr>
                <w:rFonts w:ascii="Arial" w:hAnsi="Arial"/>
                <w:b w:val="0"/>
                <w:sz w:val="17"/>
              </w:rPr>
              <w:t>Every year cell of a row holds the same formula in relative (R1C1) form, so a row can be dragged from its first year to the last.</w:t>
            </w:r>
          </w:p>
        </w:tc>
        <w:tc>
          <w:tcPr>
            <w:tcW w:type="dxa" w:w="2551"/>
          </w:tcPr>
          <w:p>
            <w:pPr>
              <w:spacing w:after="20"/>
            </w:pPr>
            <w:r>
              <w:rPr>
                <w:rFonts w:ascii="Arial" w:hAnsi="Arial"/>
                <w:b w:val="0"/>
                <w:sz w:val="17"/>
              </w:rPr>
              <w:t>One R1C1 formula per row from the first projected year to the last.</w:t>
            </w:r>
          </w:p>
        </w:tc>
      </w:tr>
      <w:tr>
        <w:tc>
          <w:tcPr>
            <w:tcW w:type="dxa" w:w="1984"/>
          </w:tcPr>
          <w:p>
            <w:pPr>
              <w:spacing w:after="20"/>
            </w:pPr>
            <w:r>
              <w:rPr>
                <w:rFonts w:ascii="Arial" w:hAnsi="Arial"/>
                <w:b w:val="0"/>
                <w:sz w:val="17"/>
              </w:rPr>
              <w:t>Copy-paste baseline to policy</w:t>
            </w:r>
          </w:p>
        </w:tc>
        <w:tc>
          <w:tcPr>
            <w:tcW w:type="dxa" w:w="4535"/>
          </w:tcPr>
          <w:p>
            <w:pPr>
              <w:spacing w:after="20"/>
            </w:pPr>
            <w:r>
              <w:rPr>
                <w:rFonts w:ascii="Arial" w:hAnsi="Arial"/>
                <w:b w:val="0"/>
                <w:sz w:val="17"/>
              </w:rPr>
              <w:t>The policy block repeats the baseline block a fixed number of rows down: in legacy 465, +6,316 rows throughout, from row 2173 (names BaselineFirstRow, PolicyScenarioFirstRow; policy row 8489) to the end of the results sub-blocks (row 8403 maps to 14719). In 456 it was +6,331 to about row 6070 and +6,317 after it.</w:t>
            </w:r>
          </w:p>
        </w:tc>
        <w:tc>
          <w:tcPr>
            <w:tcW w:type="dxa" w:w="2551"/>
          </w:tcPr>
          <w:p>
            <w:pPr>
              <w:spacing w:after="20"/>
            </w:pPr>
            <w:r>
              <w:rPr>
                <w:rFonts w:ascii="Arial" w:hAnsi="Arial"/>
                <w:b w:val="0"/>
                <w:sz w:val="17"/>
              </w:rPr>
              <w:t>The policy row equals the baseline row in R1C1 form.</w:t>
            </w:r>
          </w:p>
        </w:tc>
      </w:tr>
    </w:tbl>
    <w:p/>
    <w:p>
      <w:pPr>
        <w:pStyle w:val="Heading2"/>
      </w:pPr>
      <w:r>
        <w:t>2.2 Before you start</w:t>
      </w:r>
    </w:p>
    <w:p>
      <w:pPr>
        <w:pStyle w:val="ListBullet"/>
      </w:pPr>
      <w:r>
        <w:rPr>
          <w:sz w:val="20"/>
        </w:rPr>
        <w:t>Work on a copy of the workbook; never fix the only copy, and save each fixed file as a new version.</w:t>
      </w:r>
    </w:p>
    <w:p>
      <w:pPr>
        <w:pStyle w:val="ListBullet"/>
      </w:pPr>
      <w:r>
        <w:rPr>
          <w:sz w:val="20"/>
        </w:rPr>
        <w:t>Find the cells by label and code (column D labels, column B/C codes), never by a typed row number: rows move between legacy versions.</w:t>
      </w:r>
    </w:p>
    <w:p>
      <w:pPr>
        <w:pStyle w:val="ListBullet"/>
      </w:pPr>
      <w:r>
        <w:rPr>
          <w:sz w:val="20"/>
        </w:rPr>
        <w:t>Check the register entry still matches the file: the cell must hold the formula the register describes. If it does not, stop and report (the bug may already be fixed, as many are in the 465 file).</w:t>
      </w:r>
    </w:p>
    <w:p>
      <w:pPr>
        <w:pStyle w:val="ListBullet"/>
      </w:pPr>
      <w:r>
        <w:rPr>
          <w:sz w:val="20"/>
        </w:rPr>
        <w:t>Fix in order of priority (High first): High changes the results of the standard Egypt runs; Medium changes some runs, countries or reported numbers; Low is latent or cosmetic.</w:t>
      </w:r>
    </w:p>
    <w:p>
      <w:pPr>
        <w:pStyle w:val="ListBullet"/>
      </w:pPr>
      <w:r>
        <w:rPr>
          <w:sz w:val="20"/>
        </w:rPr>
        <w:t>A fix in the baseline block is pasted into the policy block (section 2.1); rows above 2173 are shared and have no policy copy.</w:t>
      </w:r>
    </w:p>
    <w:p>
      <w:pPr>
        <w:pStyle w:val="Heading2"/>
      </w:pPr>
      <w:r>
        <w:t>2.3 Stages of a fix</w:t>
      </w:r>
    </w:p>
    <w:p>
      <w:pPr>
        <w:spacing w:after="80"/>
      </w:pPr>
      <w:r>
        <w:rPr>
          <w:sz w:val="20"/>
        </w:rPr>
        <w:t>The macro bugfix_procedure/FixL1_ServicesElectricity.bas runs these stages for bug L1; the same stages apply to every bug, by macro or by hand.</w:t>
      </w:r>
    </w:p>
    <w:tbl>
      <w:tblPr>
        <w:tblStyle w:val="TableGrid"/>
        <w:tblW w:type="dxa" w:w="9070"/>
        <w:jc w:val="left"/>
        <w:tblLayout w:type="fixed"/>
        <w:tblLook w:firstColumn="1" w:firstRow="1" w:lastColumn="0" w:lastRow="0" w:noHBand="0" w:noVBand="1" w:val="04A0"/>
      </w:tblPr>
      <w:tblGrid>
        <w:gridCol w:w="1701"/>
        <w:gridCol w:w="5102"/>
        <w:gridCol w:w="2268"/>
      </w:tblGrid>
      <w:tr>
        <w:trPr>
          <w:tblHeader w:val="true"/>
        </w:trPr>
        <w:tc>
          <w:tcPr>
            <w:tcW w:type="dxa" w:w="1701"/>
            <w:shd w:val="clear" w:color="auto" w:fill="D9E8C4"/>
          </w:tcPr>
          <w:p>
            <w:pPr>
              <w:spacing w:after="20"/>
            </w:pPr>
            <w:r>
              <w:rPr>
                <w:rFonts w:ascii="Arial" w:hAnsi="Arial"/>
                <w:b/>
                <w:sz w:val="17"/>
              </w:rPr>
              <w:t>Stage</w:t>
            </w:r>
          </w:p>
        </w:tc>
        <w:tc>
          <w:tcPr>
            <w:tcW w:type="dxa" w:w="5102"/>
            <w:shd w:val="clear" w:color="auto" w:fill="D9E8C4"/>
          </w:tcPr>
          <w:p>
            <w:pPr>
              <w:spacing w:after="20"/>
            </w:pPr>
            <w:r>
              <w:rPr>
                <w:rFonts w:ascii="Arial" w:hAnsi="Arial"/>
                <w:b/>
                <w:sz w:val="17"/>
              </w:rPr>
              <w:t>Step</w:t>
            </w:r>
          </w:p>
        </w:tc>
        <w:tc>
          <w:tcPr>
            <w:tcW w:type="dxa" w:w="2268"/>
            <w:shd w:val="clear" w:color="auto" w:fill="D9E8C4"/>
          </w:tcPr>
          <w:p>
            <w:pPr>
              <w:spacing w:after="20"/>
            </w:pPr>
            <w:r>
              <w:rPr>
                <w:rFonts w:ascii="Arial" w:hAnsi="Arial"/>
                <w:b/>
                <w:sz w:val="17"/>
              </w:rPr>
              <w:t>Pass rule</w:t>
            </w:r>
          </w:p>
        </w:tc>
      </w:tr>
      <w:tr>
        <w:tc>
          <w:tcPr>
            <w:tcW w:type="dxa" w:w="1701"/>
          </w:tcPr>
          <w:p>
            <w:pPr>
              <w:spacing w:after="20"/>
            </w:pPr>
            <w:r>
              <w:rPr>
                <w:rFonts w:ascii="Arial" w:hAnsi="Arial"/>
                <w:b w:val="0"/>
                <w:sz w:val="17"/>
              </w:rPr>
              <w:t>P Preflight</w:t>
            </w:r>
          </w:p>
        </w:tc>
        <w:tc>
          <w:tcPr>
            <w:tcW w:type="dxa" w:w="5102"/>
          </w:tcPr>
          <w:p>
            <w:pPr>
              <w:spacing w:after="20"/>
            </w:pPr>
            <w:r>
              <w:rPr>
                <w:rFonts w:ascii="Arial" w:hAnsi="Arial"/>
                <w:b w:val="0"/>
                <w:sz w:val="17"/>
              </w:rPr>
              <w:t>Locate the rows by label and code; find the year columns from row 1; check the block offset (PolicyScenarioFirstRow - BaselineFirstRow); check the row holds exactly the bug formula in every year of both blocks.</w:t>
            </w:r>
          </w:p>
        </w:tc>
        <w:tc>
          <w:tcPr>
            <w:tcW w:type="dxa" w:w="2268"/>
          </w:tcPr>
          <w:p>
            <w:pPr>
              <w:spacing w:after="20"/>
            </w:pPr>
            <w:r>
              <w:rPr>
                <w:rFonts w:ascii="Arial" w:hAnsi="Arial"/>
                <w:b w:val="0"/>
                <w:sz w:val="17"/>
              </w:rPr>
              <w:t>Every item passes; if the formulas are already fixed or differ from the register, stop before changing anything.</w:t>
            </w:r>
          </w:p>
        </w:tc>
      </w:tr>
      <w:tr>
        <w:tc>
          <w:tcPr>
            <w:tcW w:type="dxa" w:w="1701"/>
          </w:tcPr>
          <w:p>
            <w:pPr>
              <w:spacing w:after="20"/>
            </w:pPr>
            <w:r>
              <w:rPr>
                <w:rFonts w:ascii="Arial" w:hAnsi="Arial"/>
                <w:b w:val="0"/>
                <w:sz w:val="17"/>
              </w:rPr>
              <w:t>S Snapshot</w:t>
            </w:r>
          </w:p>
        </w:tc>
        <w:tc>
          <w:tcPr>
            <w:tcW w:type="dxa" w:w="5102"/>
          </w:tcPr>
          <w:p>
            <w:pPr>
              <w:spacing w:after="20"/>
            </w:pPr>
            <w:r>
              <w:rPr>
                <w:rFonts w:ascii="Arial" w:hAnsi="Arial"/>
                <w:b w:val="0"/>
                <w:sz w:val="17"/>
              </w:rPr>
              <w:t>Full recalculation, then keep every formula (R1C1) and value of the sheet.</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F Fix</w:t>
            </w:r>
          </w:p>
        </w:tc>
        <w:tc>
          <w:tcPr>
            <w:tcW w:type="dxa" w:w="5102"/>
          </w:tcPr>
          <w:p>
            <w:pPr>
              <w:spacing w:after="20"/>
            </w:pPr>
            <w:r>
              <w:rPr>
                <w:rFonts w:ascii="Arial" w:hAnsi="Arial"/>
                <w:b w:val="0"/>
                <w:sz w:val="17"/>
              </w:rPr>
              <w:t>Baseline: write the new formula in the first wrong year and fill right (a real drag). Policy: copy the baseline cells and paste formulas (a real copy-paste). Recalculate fully.</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T1 Drag</w:t>
            </w:r>
          </w:p>
        </w:tc>
        <w:tc>
          <w:tcPr>
            <w:tcW w:type="dxa" w:w="5102"/>
          </w:tcPr>
          <w:p>
            <w:pPr>
              <w:spacing w:after="20"/>
            </w:pPr>
            <w:r>
              <w:rPr>
                <w:rFonts w:ascii="Arial" w:hAnsi="Arial"/>
                <w:b w:val="0"/>
                <w:sz w:val="17"/>
              </w:rPr>
              <w:t>The row has one R1C1 formula from the first projected year to the last, in both blocks.</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T2 Copy-paste</w:t>
            </w:r>
          </w:p>
        </w:tc>
        <w:tc>
          <w:tcPr>
            <w:tcW w:type="dxa" w:w="5102"/>
          </w:tcPr>
          <w:p>
            <w:pPr>
              <w:spacing w:after="20"/>
            </w:pPr>
            <w:r>
              <w:rPr>
                <w:rFonts w:ascii="Arial" w:hAnsi="Arial"/>
                <w:b w:val="0"/>
                <w:sz w:val="17"/>
              </w:rPr>
              <w:t>Policy row R1C1 = baseline row R1C1.</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T3 Nothing else moved</w:t>
            </w:r>
          </w:p>
        </w:tc>
        <w:tc>
          <w:tcPr>
            <w:tcW w:type="dxa" w:w="5102"/>
          </w:tcPr>
          <w:p>
            <w:pPr>
              <w:spacing w:after="20"/>
            </w:pPr>
            <w:r>
              <w:rPr>
                <w:rFonts w:ascii="Arial" w:hAnsi="Arial"/>
                <w:b w:val="0"/>
                <w:sz w:val="17"/>
              </w:rPr>
              <w:t>Whole sheet, formulas before against after: exactly the intended cells changed.</w:t>
            </w:r>
          </w:p>
        </w:tc>
        <w:tc>
          <w:tcPr>
            <w:tcW w:type="dxa" w:w="2268"/>
          </w:tcPr>
          <w:p>
            <w:pPr>
              <w:spacing w:after="20"/>
            </w:pPr>
            <w:r>
              <w:rPr>
                <w:rFonts w:ascii="Arial" w:hAnsi="Arial"/>
                <w:b w:val="0"/>
                <w:sz w:val="17"/>
              </w:rPr>
              <w:t>intended cells only</w:t>
            </w:r>
          </w:p>
        </w:tc>
      </w:tr>
      <w:tr>
        <w:tc>
          <w:tcPr>
            <w:tcW w:type="dxa" w:w="1701"/>
          </w:tcPr>
          <w:p>
            <w:pPr>
              <w:spacing w:after="20"/>
            </w:pPr>
            <w:r>
              <w:rPr>
                <w:rFonts w:ascii="Arial" w:hAnsi="Arial"/>
                <w:b w:val="0"/>
                <w:sz w:val="17"/>
              </w:rPr>
              <w:t>T4 Independent calculation</w:t>
            </w:r>
          </w:p>
        </w:tc>
        <w:tc>
          <w:tcPr>
            <w:tcW w:type="dxa" w:w="5102"/>
          </w:tcPr>
          <w:p>
            <w:pPr>
              <w:spacing w:after="20"/>
            </w:pPr>
            <w:r>
              <w:rPr>
                <w:rFonts w:ascii="Arial" w:hAnsi="Arial"/>
                <w:b w:val="0"/>
                <w:sz w:val="17"/>
              </w:rPr>
              <w:t>Recompute the fixed row from the recalculated values outside Excel (VBA or Python) and compare.</w:t>
            </w:r>
          </w:p>
        </w:tc>
        <w:tc>
          <w:tcPr>
            <w:tcW w:type="dxa" w:w="2268"/>
          </w:tcPr>
          <w:p>
            <w:pPr>
              <w:spacing w:after="20"/>
            </w:pPr>
            <w:r>
              <w:rPr>
                <w:rFonts w:ascii="Arial" w:hAnsi="Arial"/>
                <w:b w:val="0"/>
                <w:sz w:val="17"/>
              </w:rPr>
              <w:t>0 years differ</w:t>
            </w:r>
          </w:p>
        </w:tc>
      </w:tr>
      <w:tr>
        <w:tc>
          <w:tcPr>
            <w:tcW w:type="dxa" w:w="1701"/>
          </w:tcPr>
          <w:p>
            <w:pPr>
              <w:spacing w:after="20"/>
            </w:pPr>
            <w:r>
              <w:rPr>
                <w:rFonts w:ascii="Arial" w:hAnsi="Arial"/>
                <w:b w:val="0"/>
                <w:sz w:val="17"/>
              </w:rPr>
              <w:t>T5 Past unchanged</w:t>
            </w:r>
          </w:p>
        </w:tc>
        <w:tc>
          <w:tcPr>
            <w:tcW w:type="dxa" w:w="5102"/>
          </w:tcPr>
          <w:p>
            <w:pPr>
              <w:spacing w:after="20"/>
            </w:pPr>
            <w:r>
              <w:rPr>
                <w:rFonts w:ascii="Arial" w:hAnsi="Arial"/>
                <w:b w:val="0"/>
                <w:sz w:val="17"/>
              </w:rPr>
              <w:t>Years before the first fixed year unchanged everywhere (columns that are lags, not years, are reported, not failed).</w:t>
            </w:r>
          </w:p>
        </w:tc>
        <w:tc>
          <w:tcPr>
            <w:tcW w:type="dxa" w:w="2268"/>
          </w:tcPr>
          <w:p>
            <w:pPr>
              <w:spacing w:after="20"/>
            </w:pPr>
            <w:r>
              <w:rPr>
                <w:rFonts w:ascii="Arial" w:hAnsi="Arial"/>
                <w:b w:val="0"/>
                <w:sz w:val="17"/>
              </w:rPr>
              <w:t>0 changed, else review</w:t>
            </w:r>
          </w:p>
        </w:tc>
      </w:tr>
      <w:tr>
        <w:tc>
          <w:tcPr>
            <w:tcW w:type="dxa" w:w="1701"/>
          </w:tcPr>
          <w:p>
            <w:pPr>
              <w:spacing w:after="20"/>
            </w:pPr>
            <w:r>
              <w:rPr>
                <w:rFonts w:ascii="Arial" w:hAnsi="Arial"/>
                <w:b w:val="0"/>
                <w:sz w:val="17"/>
              </w:rPr>
              <w:t>T6 No new errors</w:t>
            </w:r>
          </w:p>
        </w:tc>
        <w:tc>
          <w:tcPr>
            <w:tcW w:type="dxa" w:w="5102"/>
          </w:tcPr>
          <w:p>
            <w:pPr>
              <w:spacing w:after="20"/>
            </w:pPr>
            <w:r>
              <w:rPr>
                <w:rFonts w:ascii="Arial" w:hAnsi="Arial"/>
                <w:b w:val="0"/>
                <w:sz w:val="17"/>
              </w:rPr>
              <w:t>The count of error cells does not increase.</w:t>
            </w:r>
          </w:p>
        </w:tc>
        <w:tc>
          <w:tcPr>
            <w:tcW w:type="dxa" w:w="2268"/>
          </w:tcPr>
          <w:p>
            <w:pPr>
              <w:spacing w:after="20"/>
            </w:pPr>
            <w:r>
              <w:rPr>
                <w:rFonts w:ascii="Arial" w:hAnsi="Arial"/>
                <w:b w:val="0"/>
                <w:sz w:val="17"/>
              </w:rPr>
              <w:t>after &lt;= before</w:t>
            </w:r>
          </w:p>
        </w:tc>
      </w:tr>
      <w:tr>
        <w:tc>
          <w:tcPr>
            <w:tcW w:type="dxa" w:w="1701"/>
          </w:tcPr>
          <w:p>
            <w:pPr>
              <w:spacing w:after="20"/>
            </w:pPr>
            <w:r>
              <w:rPr>
                <w:rFonts w:ascii="Arial" w:hAnsi="Arial"/>
                <w:b w:val="0"/>
                <w:sz w:val="17"/>
              </w:rPr>
              <w:t>T7 Reconciliation</w:t>
            </w:r>
          </w:p>
        </w:tc>
        <w:tc>
          <w:tcPr>
            <w:tcW w:type="dxa" w:w="5102"/>
          </w:tcPr>
          <w:p>
            <w:pPr>
              <w:spacing w:after="20"/>
            </w:pPr>
            <w:r>
              <w:rPr>
                <w:rFonts w:ascii="Arial" w:hAnsi="Arial"/>
                <w:b w:val="0"/>
                <w:sz w:val="17"/>
              </w:rPr>
              <w:t>The change of the total that the row feeds equals the change of the row (within 5%; the rest is price feedback).</w:t>
            </w:r>
          </w:p>
        </w:tc>
        <w:tc>
          <w:tcPr>
            <w:tcW w:type="dxa" w:w="2268"/>
          </w:tcPr>
          <w:p>
            <w:pPr>
              <w:spacing w:after="20"/>
            </w:pPr>
            <w:r>
              <w:rPr>
                <w:rFonts w:ascii="Arial" w:hAnsi="Arial"/>
                <w:b w:val="0"/>
                <w:sz w:val="17"/>
              </w:rPr>
              <w:t>review if &gt; 5%</w:t>
            </w:r>
          </w:p>
        </w:tc>
      </w:tr>
      <w:tr>
        <w:tc>
          <w:tcPr>
            <w:tcW w:type="dxa" w:w="1701"/>
          </w:tcPr>
          <w:p>
            <w:pPr>
              <w:spacing w:after="20"/>
            </w:pPr>
            <w:r>
              <w:rPr>
                <w:rFonts w:ascii="Arial" w:hAnsi="Arial"/>
                <w:b w:val="0"/>
                <w:sz w:val="17"/>
              </w:rPr>
              <w:t>R Report</w:t>
            </w:r>
          </w:p>
        </w:tc>
        <w:tc>
          <w:tcPr>
            <w:tcW w:type="dxa" w:w="5102"/>
          </w:tcPr>
          <w:p>
            <w:pPr>
              <w:spacing w:after="20"/>
            </w:pPr>
            <w:r>
              <w:rPr>
                <w:rFonts w:ascii="Arial" w:hAnsi="Arial"/>
                <w:b w:val="0"/>
                <w:sz w:val="17"/>
              </w:rPr>
              <w:t>Number of changed rows; the rows with the largest change as a share of their size.</w:t>
            </w:r>
          </w:p>
        </w:tc>
        <w:tc>
          <w:tcPr>
            <w:tcW w:type="dxa" w:w="2268"/>
          </w:tcPr>
          <w:p>
            <w:pPr>
              <w:spacing w:after="20"/>
            </w:pPr>
            <w:r>
              <w:rPr>
                <w:rFonts w:ascii="Arial" w:hAnsi="Arial"/>
                <w:b w:val="0"/>
                <w:sz w:val="17"/>
              </w:rPr>
              <w:t>judgement</w:t>
            </w:r>
          </w:p>
        </w:tc>
      </w:tr>
    </w:tbl>
    <w:p/>
    <w:p>
      <w:pPr>
        <w:pStyle w:val="Heading2"/>
      </w:pPr>
      <w:r>
        <w:t>2.4 Applying a cell-level plan</w:t>
      </w:r>
    </w:p>
    <w:p>
      <w:pPr>
        <w:spacing w:after="80"/>
      </w:pPr>
      <w:r>
        <w:rPr>
          <w:sz w:val="20"/>
        </w:rPr>
        <w:t>For almost every bug (the "Cell plan" column says which) the repository holds a cell-level plan (excel_ai/legacy/bugfixes/data,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section 3.</w:t>
      </w:r>
    </w:p>
    <w:p>
      <w:pPr>
        <w:spacing w:after="80"/>
      </w:pPr>
      <w:r>
        <w:rPr>
          <w:sz w:val="20"/>
        </w:rPr>
        <w:t>For bugs without a cell plan yet the bug entry gives the legacy rows, what legacy does and the fix it needs. Write the plan as the existing ones were made (excel_ai/legacy/bugfixes/tools: build the new formula by exact text substitution of the legacy formula, stop if the legacy text is not found, check the brackets), add it to the JSON and regenerate this document.</w:t>
      </w:r>
    </w:p>
    <w:p>
      <w:pPr>
        <w:pStyle w:val="Heading2"/>
      </w:pPr>
      <w:r>
        <w:t>2.5 Worked example: bug L1</w:t>
      </w:r>
    </w:p>
    <w:p>
      <w:pPr>
        <w:spacing w:after="80"/>
      </w:pPr>
      <w:r>
        <w:rPr>
          <w:sz w:val="20"/>
        </w:rPr>
        <w:t>L1 (services electricity demand grows with the industrial multiple after 2023) breaks both protocols, so one fix exercises every test: row 3731 holds =RC[-1]*R[-18]C in 2023 and =RC[-1]*R[-24]C from 2024 (the row cannot be dragged), and policy row 10062 has the same wrong formula (456 rows: the run below was on the 456 file; in 465 L1 is fixed and the rows are 3713/10029, 3707/10023, 3731/10047, offset 6,316).</w:t>
      </w:r>
    </w:p>
    <w:tbl>
      <w:tblPr>
        <w:tblStyle w:val="TableGrid"/>
        <w:tblW w:type="dxa" w:w="9070"/>
        <w:jc w:val="left"/>
        <w:tblLayout w:type="fixed"/>
        <w:tblLook w:firstColumn="1" w:firstRow="1" w:lastColumn="0" w:lastRow="0" w:noHBand="0" w:noVBand="1" w:val="04A0"/>
      </w:tblPr>
      <w:tblGrid>
        <w:gridCol w:w="1984"/>
        <w:gridCol w:w="7087"/>
      </w:tblGrid>
      <w:tr>
        <w:trPr>
          <w:tblHeader w:val="true"/>
        </w:trPr>
        <w:tc>
          <w:tcPr>
            <w:tcW w:type="dxa" w:w="1984"/>
            <w:shd w:val="clear" w:color="auto" w:fill="D9E8C4"/>
          </w:tcPr>
          <w:p>
            <w:pPr>
              <w:spacing w:after="20"/>
            </w:pPr>
            <w:r>
              <w:rPr>
                <w:rFonts w:ascii="Arial" w:hAnsi="Arial"/>
                <w:b/>
                <w:sz w:val="17"/>
              </w:rPr>
              <w:t>Check</w:t>
            </w:r>
          </w:p>
        </w:tc>
        <w:tc>
          <w:tcPr>
            <w:tcW w:type="dxa" w:w="7087"/>
            <w:shd w:val="clear" w:color="auto" w:fill="D9E8C4"/>
          </w:tcPr>
          <w:p>
            <w:pPr>
              <w:spacing w:after="20"/>
            </w:pPr>
            <w:r>
              <w:rPr>
                <w:rFonts w:ascii="Arial" w:hAnsi="Arial"/>
                <w:b/>
                <w:sz w:val="17"/>
              </w:rPr>
              <w:t>Result (scratch copy of the 456 NoPropData file, Excel 365, 2026-10-15)</w:t>
            </w:r>
          </w:p>
        </w:tc>
      </w:tr>
      <w:tr>
        <w:tc>
          <w:tcPr>
            <w:tcW w:type="dxa" w:w="1984"/>
          </w:tcPr>
          <w:p>
            <w:pPr>
              <w:spacing w:after="20"/>
            </w:pPr>
            <w:r>
              <w:rPr>
                <w:rFonts w:ascii="Arial" w:hAnsi="Arial"/>
                <w:b w:val="0"/>
                <w:sz w:val="17"/>
              </w:rPr>
              <w:t>Preflight P1-P6</w:t>
            </w:r>
          </w:p>
        </w:tc>
        <w:tc>
          <w:tcPr>
            <w:tcW w:type="dxa" w:w="7087"/>
          </w:tcPr>
          <w:p>
            <w:pPr>
              <w:spacing w:after="20"/>
            </w:pPr>
            <w:r>
              <w:rPr>
                <w:rFonts w:ascii="Arial" w:hAnsi="Arial"/>
                <w:b w:val="0"/>
                <w:sz w:val="17"/>
              </w:rPr>
              <w:t>PASS: rows 3713/10044, 3707/10038, 3731/10062; offset 6,331; bug formula in all 18 years of both blocks</w:t>
            </w:r>
          </w:p>
        </w:tc>
      </w:tr>
      <w:tr>
        <w:tc>
          <w:tcPr>
            <w:tcW w:type="dxa" w:w="1984"/>
          </w:tcPr>
          <w:p>
            <w:pPr>
              <w:spacing w:after="20"/>
            </w:pPr>
            <w:r>
              <w:rPr>
                <w:rFonts w:ascii="Arial" w:hAnsi="Arial"/>
                <w:b w:val="0"/>
                <w:sz w:val="17"/>
              </w:rPr>
              <w:t>Run on a fixed file</w:t>
            </w:r>
          </w:p>
        </w:tc>
        <w:tc>
          <w:tcPr>
            <w:tcW w:type="dxa" w:w="7087"/>
          </w:tcPr>
          <w:p>
            <w:pPr>
              <w:spacing w:after="20"/>
            </w:pPr>
            <w:r>
              <w:rPr>
                <w:rFonts w:ascii="Arial" w:hAnsi="Arial"/>
                <w:b w:val="0"/>
                <w:sz w:val="17"/>
              </w:rPr>
              <w:t>stops at P5/P6 with FAIL "state = FIXED", nothing changed</w:t>
            </w:r>
          </w:p>
        </w:tc>
      </w:tr>
      <w:tr>
        <w:tc>
          <w:tcPr>
            <w:tcW w:type="dxa" w:w="1984"/>
          </w:tcPr>
          <w:p>
            <w:pPr>
              <w:spacing w:after="20"/>
            </w:pPr>
            <w:r>
              <w:rPr>
                <w:rFonts w:ascii="Arial" w:hAnsi="Arial"/>
                <w:b w:val="0"/>
                <w:sz w:val="17"/>
              </w:rPr>
              <w:t>T1, T2</w:t>
            </w:r>
          </w:p>
        </w:tc>
        <w:tc>
          <w:tcPr>
            <w:tcW w:type="dxa" w:w="7087"/>
          </w:tcPr>
          <w:p>
            <w:pPr>
              <w:spacing w:after="20"/>
            </w:pPr>
            <w:r>
              <w:rPr>
                <w:rFonts w:ascii="Arial" w:hAnsi="Arial"/>
                <w:b w:val="0"/>
                <w:sz w:val="17"/>
              </w:rPr>
              <w:t>PASS (=RC[-1]*R[-18]C in M:AE, both blocks)</w:t>
            </w:r>
          </w:p>
        </w:tc>
      </w:tr>
      <w:tr>
        <w:tc>
          <w:tcPr>
            <w:tcW w:type="dxa" w:w="1984"/>
          </w:tcPr>
          <w:p>
            <w:pPr>
              <w:spacing w:after="20"/>
            </w:pPr>
            <w:r>
              <w:rPr>
                <w:rFonts w:ascii="Arial" w:hAnsi="Arial"/>
                <w:b w:val="0"/>
                <w:sz w:val="17"/>
              </w:rPr>
              <w:t>T3</w:t>
            </w:r>
          </w:p>
        </w:tc>
        <w:tc>
          <w:tcPr>
            <w:tcW w:type="dxa" w:w="7087"/>
          </w:tcPr>
          <w:p>
            <w:pPr>
              <w:spacing w:after="20"/>
            </w:pPr>
            <w:r>
              <w:rPr>
                <w:rFonts w:ascii="Arial" w:hAnsi="Arial"/>
                <w:b w:val="0"/>
                <w:sz w:val="17"/>
              </w:rPr>
              <w:t>PASS: 36 of 36 formula cells changed, 0 others</w:t>
            </w:r>
          </w:p>
        </w:tc>
      </w:tr>
      <w:tr>
        <w:tc>
          <w:tcPr>
            <w:tcW w:type="dxa" w:w="1984"/>
          </w:tcPr>
          <w:p>
            <w:pPr>
              <w:spacing w:after="20"/>
            </w:pPr>
            <w:r>
              <w:rPr>
                <w:rFonts w:ascii="Arial" w:hAnsi="Arial"/>
                <w:b w:val="0"/>
                <w:sz w:val="17"/>
              </w:rPr>
              <w:t>T4, T6</w:t>
            </w:r>
          </w:p>
        </w:tc>
        <w:tc>
          <w:tcPr>
            <w:tcW w:type="dxa" w:w="7087"/>
          </w:tcPr>
          <w:p>
            <w:pPr>
              <w:spacing w:after="20"/>
            </w:pPr>
            <w:r>
              <w:rPr>
                <w:rFonts w:ascii="Arial" w:hAnsi="Arial"/>
                <w:b w:val="0"/>
                <w:sz w:val="17"/>
              </w:rPr>
              <w:t>PASS (2,160 error cells before and after, inherited from the stripped file)</w:t>
            </w:r>
          </w:p>
        </w:tc>
      </w:tr>
      <w:tr>
        <w:tc>
          <w:tcPr>
            <w:tcW w:type="dxa" w:w="1984"/>
          </w:tcPr>
          <w:p>
            <w:pPr>
              <w:spacing w:after="20"/>
            </w:pPr>
            <w:r>
              <w:rPr>
                <w:rFonts w:ascii="Arial" w:hAnsi="Arial"/>
                <w:b w:val="0"/>
                <w:sz w:val="17"/>
              </w:rPr>
              <w:t>T7</w:t>
            </w:r>
          </w:p>
        </w:tc>
        <w:tc>
          <w:tcPr>
            <w:tcW w:type="dxa" w:w="7087"/>
          </w:tcPr>
          <w:p>
            <w:pPr>
              <w:spacing w:after="20"/>
            </w:pPr>
            <w:r>
              <w:rPr>
                <w:rFonts w:ascii="Arial" w:hAnsi="Arial"/>
                <w:b w:val="0"/>
                <w:sz w:val="17"/>
              </w:rPr>
              <w:t>PASS: other sectors add at most 2.4% (baseline) and 4.1% (policy) of the services change</w:t>
            </w:r>
          </w:p>
        </w:tc>
      </w:tr>
      <w:tr>
        <w:tc>
          <w:tcPr>
            <w:tcW w:type="dxa" w:w="1984"/>
          </w:tcPr>
          <w:p>
            <w:pPr>
              <w:spacing w:after="20"/>
            </w:pPr>
            <w:r>
              <w:rPr>
                <w:rFonts w:ascii="Arial" w:hAnsi="Arial"/>
                <w:b w:val="0"/>
                <w:sz w:val="17"/>
              </w:rPr>
              <w:t>T5</w:t>
            </w:r>
          </w:p>
        </w:tc>
        <w:tc>
          <w:tcPr>
            <w:tcW w:type="dxa" w:w="7087"/>
          </w:tcPr>
          <w:p>
            <w:pPr>
              <w:spacing w:after="20"/>
            </w:pPr>
            <w:r>
              <w:rPr>
                <w:rFonts w:ascii="Arial" w:hAnsi="Arial"/>
                <w:b w:val="0"/>
                <w:sz w:val="17"/>
              </w:rPr>
              <w:t>REVIEW: 72 cells in column M of the fiscal-multiplier tables, whose columns are lags, not years</w:t>
            </w:r>
          </w:p>
        </w:tc>
      </w:tr>
      <w:tr>
        <w:tc>
          <w:tcPr>
            <w:tcW w:type="dxa" w:w="1984"/>
          </w:tcPr>
          <w:p>
            <w:pPr>
              <w:spacing w:after="20"/>
            </w:pPr>
            <w:r>
              <w:rPr>
                <w:rFonts w:ascii="Arial" w:hAnsi="Arial"/>
                <w:b w:val="0"/>
                <w:sz w:val="17"/>
              </w:rPr>
              <w:t>Effect</w:t>
            </w:r>
          </w:p>
        </w:tc>
        <w:tc>
          <w:tcPr>
            <w:tcW w:type="dxa" w:w="7087"/>
          </w:tcPr>
          <w:p>
            <w:pPr>
              <w:spacing w:after="20"/>
            </w:pPr>
            <w:r>
              <w:rPr>
                <w:rFonts w:ascii="Arial" w:hAnsi="Arial"/>
                <w:b w:val="0"/>
                <w:sz w:val="17"/>
              </w:rPr>
              <w:t>2041 services electricity demand: baseline 6,685 to 8,743 ktoe (+30.8%), policy 5,508 to 6,397 (+16.1%); 3,979 rows change</w:t>
            </w:r>
          </w:p>
        </w:tc>
      </w:tr>
    </w:tbl>
    <w:p/>
    <w:p>
      <w:pPr>
        <w:pStyle w:val="Heading2"/>
      </w:pPr>
      <w:r>
        <w:t>2.6 Reusing the harness for the next bug</w:t>
      </w:r>
    </w:p>
    <w:tbl>
      <w:tblPr>
        <w:tblStyle w:val="TableGrid"/>
        <w:tblW w:type="dxa" w:w="9070"/>
        <w:jc w:val="left"/>
        <w:tblLayout w:type="fixed"/>
        <w:tblLook w:firstColumn="1" w:firstRow="1" w:lastColumn="0" w:lastRow="0" w:noHBand="0" w:noVBand="1" w:val="04A0"/>
      </w:tblPr>
      <w:tblGrid>
        <w:gridCol w:w="2835"/>
        <w:gridCol w:w="6236"/>
      </w:tblGrid>
      <w:tr>
        <w:trPr>
          <w:tblHeader w:val="true"/>
        </w:trPr>
        <w:tc>
          <w:tcPr>
            <w:tcW w:type="dxa" w:w="2835"/>
            <w:shd w:val="clear" w:color="auto" w:fill="D9E8C4"/>
          </w:tcPr>
          <w:p>
            <w:pPr>
              <w:spacing w:after="20"/>
            </w:pPr>
            <w:r>
              <w:rPr>
                <w:rFonts w:ascii="Arial" w:hAnsi="Arial"/>
                <w:b/>
                <w:sz w:val="17"/>
              </w:rPr>
              <w:t>Part of the macro</w:t>
            </w:r>
          </w:p>
        </w:tc>
        <w:tc>
          <w:tcPr>
            <w:tcW w:type="dxa" w:w="6236"/>
            <w:shd w:val="clear" w:color="auto" w:fill="D9E8C4"/>
          </w:tcPr>
          <w:p>
            <w:pPr>
              <w:spacing w:after="20"/>
            </w:pPr>
            <w:r>
              <w:rPr>
                <w:rFonts w:ascii="Arial" w:hAnsi="Arial"/>
                <w:b/>
                <w:sz w:val="17"/>
              </w:rPr>
              <w:t>What to change</w:t>
            </w:r>
          </w:p>
        </w:tc>
      </w:tr>
      <w:tr>
        <w:tc>
          <w:tcPr>
            <w:tcW w:type="dxa" w:w="2835"/>
          </w:tcPr>
          <w:p>
            <w:pPr>
              <w:spacing w:after="20"/>
            </w:pPr>
            <w:r>
              <w:rPr>
                <w:rFonts w:ascii="Arial" w:hAnsi="Arial"/>
                <w:b w:val="0"/>
                <w:sz w:val="17"/>
              </w:rPr>
              <w:t>Constants (labels, codes, first year)</w:t>
            </w:r>
          </w:p>
        </w:tc>
        <w:tc>
          <w:tcPr>
            <w:tcW w:type="dxa" w:w="6236"/>
          </w:tcPr>
          <w:p>
            <w:pPr>
              <w:spacing w:after="20"/>
            </w:pPr>
            <w:r>
              <w:rPr>
                <w:rFonts w:ascii="Arial" w:hAnsi="Arial"/>
                <w:b w:val="0"/>
                <w:sz w:val="17"/>
              </w:rPr>
              <w:t>Labels and codes that locate the rows; first year of the wrong formula</w:t>
            </w:r>
          </w:p>
        </w:tc>
      </w:tr>
      <w:tr>
        <w:tc>
          <w:tcPr>
            <w:tcW w:type="dxa" w:w="2835"/>
          </w:tcPr>
          <w:p>
            <w:pPr>
              <w:spacing w:after="20"/>
            </w:pPr>
            <w:r>
              <w:rPr>
                <w:rFonts w:ascii="Arial" w:hAnsi="Arial"/>
                <w:b w:val="0"/>
                <w:sz w:val="17"/>
              </w:rPr>
              <w:t>Locate</w:t>
            </w:r>
          </w:p>
        </w:tc>
        <w:tc>
          <w:tcPr>
            <w:tcW w:type="dxa" w:w="6236"/>
          </w:tcPr>
          <w:p>
            <w:pPr>
              <w:spacing w:after="20"/>
            </w:pPr>
            <w:r>
              <w:rPr>
                <w:rFonts w:ascii="Arial" w:hAnsi="Arial"/>
                <w:b w:val="0"/>
                <w:sz w:val="17"/>
              </w:rPr>
              <w:t>How the row is found (by label and code, never a typed row number)</w:t>
            </w:r>
          </w:p>
        </w:tc>
      </w:tr>
      <w:tr>
        <w:tc>
          <w:tcPr>
            <w:tcW w:type="dxa" w:w="2835"/>
          </w:tcPr>
          <w:p>
            <w:pPr>
              <w:spacing w:after="20"/>
            </w:pPr>
            <w:r>
              <w:rPr>
                <w:rFonts w:ascii="Arial" w:hAnsi="Arial"/>
                <w:b w:val="0"/>
                <w:sz w:val="17"/>
              </w:rPr>
              <w:t>RowState</w:t>
            </w:r>
          </w:p>
        </w:tc>
        <w:tc>
          <w:tcPr>
            <w:tcW w:type="dxa" w:w="6236"/>
          </w:tcPr>
          <w:p>
            <w:pPr>
              <w:spacing w:after="20"/>
            </w:pPr>
            <w:r>
              <w:rPr>
                <w:rFonts w:ascii="Arial" w:hAnsi="Arial"/>
                <w:b w:val="0"/>
                <w:sz w:val="17"/>
              </w:rPr>
              <w:t>The wrong and the right R1C1 formula (the "has CPAT changed" test)</w:t>
            </w:r>
          </w:p>
        </w:tc>
      </w:tr>
      <w:tr>
        <w:tc>
          <w:tcPr>
            <w:tcW w:type="dxa" w:w="2835"/>
          </w:tcPr>
          <w:p>
            <w:pPr>
              <w:spacing w:after="20"/>
            </w:pPr>
            <w:r>
              <w:rPr>
                <w:rFonts w:ascii="Arial" w:hAnsi="Arial"/>
                <w:b w:val="0"/>
                <w:sz w:val="17"/>
              </w:rPr>
              <w:t>ApplyFix</w:t>
            </w:r>
          </w:p>
        </w:tc>
        <w:tc>
          <w:tcPr>
            <w:tcW w:type="dxa" w:w="6236"/>
          </w:tcPr>
          <w:p>
            <w:pPr>
              <w:spacing w:after="20"/>
            </w:pPr>
            <w:r>
              <w:rPr>
                <w:rFonts w:ascii="Arial" w:hAnsi="Arial"/>
                <w:b w:val="0"/>
                <w:sz w:val="17"/>
              </w:rPr>
              <w:t>The new formula; keep "drag in the baseline, paste into the policy"</w:t>
            </w:r>
          </w:p>
        </w:tc>
      </w:tr>
      <w:tr>
        <w:tc>
          <w:tcPr>
            <w:tcW w:type="dxa" w:w="2835"/>
          </w:tcPr>
          <w:p>
            <w:pPr>
              <w:spacing w:after="20"/>
            </w:pPr>
            <w:r>
              <w:rPr>
                <w:rFonts w:ascii="Arial" w:hAnsi="Arial"/>
                <w:b w:val="0"/>
                <w:sz w:val="17"/>
              </w:rPr>
              <w:t>TestIndependent, TestTotals</w:t>
            </w:r>
          </w:p>
        </w:tc>
        <w:tc>
          <w:tcPr>
            <w:tcW w:type="dxa" w:w="6236"/>
          </w:tcPr>
          <w:p>
            <w:pPr>
              <w:spacing w:after="20"/>
            </w:pPr>
            <w:r>
              <w:rPr>
                <w:rFonts w:ascii="Arial" w:hAnsi="Arial"/>
                <w:b w:val="0"/>
                <w:sz w:val="17"/>
              </w:rPr>
              <w:t>The independent recomputation and reconciliation of the new bug</w:t>
            </w:r>
          </w:p>
        </w:tc>
      </w:tr>
    </w:tbl>
    <w:p/>
    <w:p>
      <w:pPr>
        <w:spacing w:after="80"/>
      </w:pPr>
      <w:r>
        <w:rPr>
          <w:sz w:val="20"/>
        </w:rPr>
        <w:t>Keep the whole-sheet formula diff (T3), the past-unchanged test (T5), the error count (T6), the FixLog sheet and "never saves".</w:t>
      </w:r>
    </w:p>
    <w:p>
      <w:pPr>
        <w:pStyle w:val="Heading2"/>
      </w:pPr>
      <w:r>
        <w:t>2.7 After the fix</w:t>
      </w:r>
    </w:p>
    <w:p>
      <w:pPr>
        <w:pStyle w:val="ListBullet"/>
      </w:pPr>
      <w:r>
        <w:rPr>
          <w:sz w:val="20"/>
        </w:rPr>
        <w:t>Record it: the register entry gets "fixed in legacy version x", and the workbook's version log a row.</w:t>
      </w:r>
    </w:p>
    <w:p>
      <w:pPr>
        <w:pStyle w:val="ListBullet"/>
      </w:pPr>
      <w:r>
        <w:rPr>
          <w:sz w:val="20"/>
        </w:rPr>
        <w:t>Compare with the prototype: the prototype already computes the fixed behaviour, so a fixed legacy file should move toward it. The prototype's LegacyDiff sheet lists every remaining departure.</w:t>
      </w:r>
    </w:p>
    <w:p>
      <w:pPr>
        <w:pStyle w:val="ListBullet"/>
      </w:pPr>
      <w:r>
        <w:rPr>
          <w:sz w:val="20"/>
        </w:rPr>
        <w:t>Run a policy scenario as well as the baseline (switch MTInputs D6, _ScenarioToRun): T1-T4 must still pass.</w:t>
      </w:r>
    </w:p>
    <w:p>
      <w:pPr>
        <w:pStyle w:val="Heading2"/>
      </w:pPr>
      <w:r>
        <w:t>2.8 Limits</w:t>
      </w:r>
    </w:p>
    <w:p>
      <w:pPr>
        <w:pStyle w:val="ListBullet"/>
      </w:pPr>
      <w:r>
        <w:rPr>
          <w:sz w:val="20"/>
        </w:rPr>
        <w:t>Tested on the NoPropData file only; the preflight is there to detect a different file and stops without changing anything.</w:t>
      </w:r>
    </w:p>
    <w:p>
      <w:pPr>
        <w:pStyle w:val="ListBullet"/>
      </w:pPr>
      <w:r>
        <w:rPr>
          <w:sz w:val="20"/>
        </w:rPr>
        <w:t>The macro checks sheet Mitigation only; effects on other sheets (Dashboard, Transport, Distribution) are not compared.</w:t>
      </w:r>
    </w:p>
    <w:p>
      <w:pPr>
        <w:pStyle w:val="ListBullet"/>
      </w:pPr>
      <w:r>
        <w:rPr>
          <w:sz w:val="20"/>
        </w:rPr>
        <w:t>The report ranks changed rows; it cannot say whether a change is right. The independent check covers the fixed row; everything downstream is judged by reading the report.</w:t>
      </w:r>
    </w:p>
    <w:p>
      <w:pPr>
        <w:pStyle w:val="ListBullet"/>
      </w:pPr>
      <w:r>
        <w:rPr>
          <w:sz w:val="20"/>
        </w:rPr>
        <w:t>Needs macros enabled and the file kept as .xlsb or .xlsm.</w:t>
      </w:r>
    </w:p>
    <w:p>
      <w:r>
        <w:br w:type="page"/>
      </w:r>
    </w:p>
    <w:p>
      <w:pPr>
        <w:pStyle w:val="Heading1"/>
      </w:pPr>
      <w:r>
        <w:t>3. Legacy bugs by type</w:t>
      </w:r>
    </w:p>
    <w:p>
      <w:pPr>
        <w:spacing w:after="80"/>
      </w:pPr>
      <w:r>
        <w:rPr>
          <w:sz w:val="20"/>
        </w:rPr>
        <w:t>132 legacy bugs of the mitigation sheets (29 engineer power, 17 engineer transport, 86 other), 31 of the distribution sheet. Every one is fixed in the prototype; none is replicated. Within each type, the order is by priority, then by code.</w:t>
      </w:r>
    </w:p>
    <w:p>
      <w:pPr>
        <w:spacing w:after="80"/>
      </w:pPr>
      <w:r>
        <w:rPr>
          <w:color w:val="C00000"/>
          <w:sz w:val="20"/>
        </w:rPr>
        <w:t>Legacy 465: the CPAT team marked 62 of these bugs fixed in CPAT 1.0pre_465 - No Prop Data.xlsb; each fix was checked cell by cell against its plan (2026-10-22): 52 confirmed (Appendix C), 8 fixed with caveats and 2 not fixed (Appendix B). This section holds the bugs still open in legacy. Every bug says its status in legacy.</w:t>
      </w:r>
    </w:p>
    <w:p>
      <w:pPr>
        <w:pStyle w:val="Heading2"/>
      </w:pPr>
      <w:r>
        <w:t>3.1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3.2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3.3 Other mitigation (prices, policies, ETS, emissions, revenue, GDP, results)</w:t>
      </w:r>
    </w:p>
    <w:p>
      <w:pPr>
        <w:spacing w:after="80"/>
      </w:pPr>
      <w:r>
        <w:rPr>
          <w:sz w:val="20"/>
        </w:rPr>
        <w:t>54 bugs in 11 sections by model area, ordered roughly by priority (sections holding High bugs first); within a section High, Medium, Low. Each section has its own table, then the cell plans. N1 and N2 were found by the cell plans and are not in the register: confirm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L13, L14, L77, L129, L60, L81, L82, L114, N2, L134</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N1</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L119, L122, L123, L120, L121, L130</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3.3.1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3.3.2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N2</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prototype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N2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3"/>
      </w:pPr>
      <w:r>
        <w:t>3.3.3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N1</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N1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15885-16685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N1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3.3.4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3.3.5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3.3.6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3.3.7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3"/>
      </w:pPr>
      <w:r>
        <w:t>3.3.8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3.3.9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3.3.10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3.3.11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2"/>
      </w:pPr>
      <w:r>
        <w:t>3.4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D1</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D4</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D5</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D6</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D7</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D8</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D9</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D10</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D11</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D12</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D13</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D14</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D15</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D16</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D17</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D18</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D19</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D20</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D21</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D22</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D23</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D24</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D25</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D26</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D27</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D28</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D29</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D30</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D31</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D1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D2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D3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D4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D5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D6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D7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D8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D9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D10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D11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D12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D13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D4 (the IF on coverage and percentile is dropped too): apply these formulas instead of D4's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D14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D15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D15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DI4).</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D16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D17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D18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D7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D19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D20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D21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D21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D22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D25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D23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D22 and D25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D24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D22, D23 and D25. Inserting inside each range widens every reference ($3285:$3296 -&gt; $3285:$3298, the totals row 3297 -&gt; 3299, the chart 19/20 series) and the ROWS() counters of the last rows, so the copied rows rank 12 and 13 and the last row 14. MTOutputs ppic and outpriin (D27)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D23)</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D23)</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D25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(D22)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D26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D27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D28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D29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D30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D31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3.5 Bugs of the prototype (fixed, for the record)</w:t>
      </w:r>
    </w:p>
    <w:tbl>
      <w:tblPr>
        <w:tblStyle w:val="TableGrid"/>
        <w:tblW w:type="dxa" w:w="9070"/>
        <w:jc w:val="left"/>
        <w:tblLayout w:type="fixed"/>
        <w:tblLook w:firstColumn="1" w:firstRow="1" w:lastColumn="0" w:lastRow="0" w:noHBand="0" w:noVBand="1" w:val="04A0"/>
      </w:tblPr>
      <w:tblGrid>
        <w:gridCol w:w="680"/>
        <w:gridCol w:w="2041"/>
        <w:gridCol w:w="1247"/>
        <w:gridCol w:w="2835"/>
        <w:gridCol w:w="2268"/>
      </w:tblGrid>
      <w:tr>
        <w:trPr>
          <w:tblHeader w:val="true"/>
        </w:trPr>
        <w:tc>
          <w:tcPr>
            <w:tcW w:type="dxa" w:w="680"/>
            <w:shd w:val="clear" w:color="auto" w:fill="D9E8C4"/>
          </w:tcPr>
          <w:p>
            <w:pPr>
              <w:spacing w:after="20"/>
            </w:pPr>
            <w:r>
              <w:rPr>
                <w:rFonts w:ascii="Arial" w:hAnsi="Arial"/>
                <w:b/>
                <w:sz w:val="15"/>
              </w:rPr>
              <w:t>Code</w:t>
            </w:r>
          </w:p>
        </w:tc>
        <w:tc>
          <w:tcPr>
            <w:tcW w:type="dxa" w:w="2041"/>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Found / fixed</w:t>
            </w:r>
          </w:p>
        </w:tc>
        <w:tc>
          <w:tcPr>
            <w:tcW w:type="dxa" w:w="2835"/>
            <w:shd w:val="clear" w:color="auto" w:fill="D9E8C4"/>
          </w:tcPr>
          <w:p>
            <w:pPr>
              <w:spacing w:after="20"/>
            </w:pPr>
            <w:r>
              <w:rPr>
                <w:rFonts w:ascii="Arial" w:hAnsi="Arial"/>
                <w:b/>
                <w:sz w:val="15"/>
              </w:rPr>
              <w:t>What happened</w:t>
            </w:r>
          </w:p>
        </w:tc>
        <w:tc>
          <w:tcPr>
            <w:tcW w:type="dxa" w:w="2268"/>
            <w:shd w:val="clear" w:color="auto" w:fill="D9E8C4"/>
          </w:tcPr>
          <w:p>
            <w:pPr>
              <w:spacing w:after="20"/>
            </w:pPr>
            <w:r>
              <w:rPr>
                <w:rFonts w:ascii="Arial" w:hAnsi="Arial"/>
                <w:b/>
                <w:sz w:val="15"/>
              </w:rPr>
              <w:t>Fix</w:t>
            </w:r>
          </w:p>
        </w:tc>
      </w:tr>
      <w:tr>
        <w:tc>
          <w:tcPr>
            <w:tcW w:type="dxa" w:w="680"/>
          </w:tcPr>
          <w:p>
            <w:pPr>
              <w:spacing w:after="20"/>
            </w:pPr>
            <w:r>
              <w:rPr>
                <w:rFonts w:ascii="Arial" w:hAnsi="Arial"/>
                <w:b w:val="0"/>
                <w:sz w:val="15"/>
              </w:rPr>
              <w:t>M1</w:t>
            </w:r>
          </w:p>
        </w:tc>
        <w:tc>
          <w:tcPr>
            <w:tcW w:type="dxa" w:w="2041"/>
          </w:tcPr>
          <w:p>
            <w:pPr>
              <w:spacing w:after="20"/>
            </w:pPr>
            <w:r>
              <w:rPr>
                <w:rFonts w:ascii="Arial" w:hAnsi="Arial"/>
                <w:b w:val="0"/>
                <w:sz w:val="15"/>
              </w:rPr>
              <w:t>Version-log rows rewritten with the current version</w:t>
            </w:r>
          </w:p>
        </w:tc>
        <w:tc>
          <w:tcPr>
            <w:tcW w:type="dxa" w:w="1247"/>
          </w:tcPr>
          <w:p>
            <w:pPr>
              <w:spacing w:after="20"/>
            </w:pPr>
            <w:r>
              <w:rPr>
                <w:rFonts w:ascii="Arial" w:hAnsi="Arial"/>
                <w:b w:val="0"/>
                <w:sz w:val="15"/>
              </w:rPr>
              <w:t>v0.3-v0.4 / v0.5</w:t>
            </w:r>
          </w:p>
        </w:tc>
        <w:tc>
          <w:tcPr>
            <w:tcW w:type="dxa" w:w="2835"/>
          </w:tcPr>
          <w:p>
            <w:pPr>
              <w:spacing w:after="20"/>
            </w:pPr>
            <w:r>
              <w:rPr>
                <w:rFonts w:ascii="Arial" w:hAnsi="Arial"/>
                <w:b w:val="0"/>
                <w:sz w:val="15"/>
              </w:rPr>
              <w:t>The builders wrote earlier version-log rows with the current version number.</w:t>
            </w:r>
          </w:p>
        </w:tc>
        <w:tc>
          <w:tcPr>
            <w:tcW w:type="dxa" w:w="2268"/>
          </w:tcPr>
          <w:p>
            <w:pPr>
              <w:spacing w:after="20"/>
            </w:pPr>
            <w:r>
              <w:rPr>
                <w:rFonts w:ascii="Arial" w:hAnsi="Arial"/>
                <w:b w:val="0"/>
                <w:sz w:val="15"/>
              </w:rPr>
              <w:t>Each row has its own version; old workbooks left as shipped.</w:t>
            </w:r>
          </w:p>
        </w:tc>
      </w:tr>
      <w:tr>
        <w:tc>
          <w:tcPr>
            <w:tcW w:type="dxa" w:w="680"/>
          </w:tcPr>
          <w:p>
            <w:pPr>
              <w:spacing w:after="20"/>
            </w:pPr>
            <w:r>
              <w:rPr>
                <w:rFonts w:ascii="Arial" w:hAnsi="Arial"/>
                <w:b w:val="0"/>
                <w:sz w:val="15"/>
              </w:rPr>
              <w:t>M2</w:t>
            </w:r>
          </w:p>
        </w:tc>
        <w:tc>
          <w:tcPr>
            <w:tcW w:type="dxa" w:w="2041"/>
          </w:tcPr>
          <w:p>
            <w:pPr>
              <w:spacing w:after="20"/>
            </w:pPr>
            <w:r>
              <w:rPr>
                <w:rFonts w:ascii="Arial" w:hAnsi="Arial"/>
                <w:b w:val="0"/>
                <w:sz w:val="15"/>
              </w:rPr>
              <w:t>Power: VAT left out on the policy term</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end-user price added the policy cost without VAT; legacy row 3614 charges VAT.</w:t>
            </w:r>
          </w:p>
        </w:tc>
        <w:tc>
          <w:tcPr>
            <w:tcW w:type="dxa" w:w="2268"/>
          </w:tcPr>
          <w:p>
            <w:pPr>
              <w:spacing w:after="20"/>
            </w:pPr>
            <w:r>
              <w:rPr>
                <w:rFonts w:ascii="Arial" w:hAnsi="Arial"/>
                <w:b w:val="0"/>
                <w:sz w:val="15"/>
              </w:rPr>
              <w:t>VAT on the policy term as legacy (no effect for Egypt, VAT 0).</w:t>
            </w:r>
          </w:p>
        </w:tc>
      </w:tr>
      <w:tr>
        <w:tc>
          <w:tcPr>
            <w:tcW w:type="dxa" w:w="680"/>
          </w:tcPr>
          <w:p>
            <w:pPr>
              <w:spacing w:after="20"/>
            </w:pPr>
            <w:r>
              <w:rPr>
                <w:rFonts w:ascii="Arial" w:hAnsi="Arial"/>
                <w:b w:val="0"/>
                <w:sz w:val="15"/>
              </w:rPr>
              <w:t>M3</w:t>
            </w:r>
          </w:p>
        </w:tc>
        <w:tc>
          <w:tcPr>
            <w:tcW w:type="dxa" w:w="2041"/>
          </w:tcPr>
          <w:p>
            <w:pPr>
              <w:spacing w:after="20"/>
            </w:pPr>
            <w:r>
              <w:rPr>
                <w:rFonts w:ascii="Arial" w:hAnsi="Arial"/>
                <w:b w:val="0"/>
                <w:sz w:val="15"/>
              </w:rPr>
              <w:t>Power: long-term storage allocation left out</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legacy note "incomplete" was read as "not applied".</w:t>
            </w:r>
          </w:p>
        </w:tc>
        <w:tc>
          <w:tcPr>
            <w:tcW w:type="dxa" w:w="2268"/>
          </w:tcPr>
          <w:p>
            <w:pPr>
              <w:spacing w:after="20"/>
            </w:pPr>
            <w:r>
              <w:rPr>
                <w:rFonts w:ascii="Arial" w:hAnsi="Arial"/>
                <w:b w:val="0"/>
                <w:sz w:val="15"/>
              </w:rPr>
              <w:t>The 33% allocation is applied once.</w:t>
            </w:r>
          </w:p>
        </w:tc>
      </w:tr>
      <w:tr>
        <w:tc>
          <w:tcPr>
            <w:tcW w:type="dxa" w:w="680"/>
          </w:tcPr>
          <w:p>
            <w:pPr>
              <w:spacing w:after="20"/>
            </w:pPr>
            <w:r>
              <w:rPr>
                <w:rFonts w:ascii="Arial" w:hAnsi="Arial"/>
                <w:b w:val="0"/>
                <w:sz w:val="15"/>
              </w:rPr>
              <w:t>M4</w:t>
            </w:r>
          </w:p>
        </w:tc>
        <w:tc>
          <w:tcPr>
            <w:tcW w:type="dxa" w:w="2041"/>
          </w:tcPr>
          <w:p>
            <w:pPr>
              <w:spacing w:after="20"/>
            </w:pPr>
            <w:r>
              <w:rPr>
                <w:rFonts w:ascii="Arial" w:hAnsi="Arial"/>
                <w:b w:val="0"/>
                <w:sz w:val="15"/>
              </w:rPr>
              <w:t>Power: VRE share without other renewables</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Legacy row 3851 also counts other renewables.</w:t>
            </w:r>
          </w:p>
        </w:tc>
        <w:tc>
          <w:tcPr>
            <w:tcW w:type="dxa" w:w="2268"/>
          </w:tcPr>
          <w:p>
            <w:pPr>
              <w:spacing w:after="20"/>
            </w:pPr>
            <w:r>
              <w:rPr>
                <w:rFonts w:ascii="Arial" w:hAnsi="Arial"/>
                <w:b w:val="0"/>
                <w:sz w:val="15"/>
              </w:rPr>
              <w:t>Follows legacy (other renewables 0 for Egypt).</w:t>
            </w:r>
          </w:p>
        </w:tc>
      </w:tr>
      <w:tr>
        <w:tc>
          <w:tcPr>
            <w:tcW w:type="dxa" w:w="680"/>
          </w:tcPr>
          <w:p>
            <w:pPr>
              <w:spacing w:after="20"/>
            </w:pPr>
            <w:r>
              <w:rPr>
                <w:rFonts w:ascii="Arial" w:hAnsi="Arial"/>
                <w:b w:val="0"/>
                <w:sz w:val="15"/>
              </w:rPr>
              <w:t>M5</w:t>
            </w:r>
          </w:p>
        </w:tc>
        <w:tc>
          <w:tcPr>
            <w:tcW w:type="dxa" w:w="2041"/>
          </w:tcPr>
          <w:p>
            <w:pPr>
              <w:spacing w:after="20"/>
            </w:pPr>
            <w:r>
              <w:rPr>
                <w:rFonts w:ascii="Arial" w:hAnsi="Arial"/>
                <w:b w:val="0"/>
                <w:sz w:val="15"/>
              </w:rPr>
              <w:t>Defined name clashed with a LAMBDA name</w:t>
            </w:r>
          </w:p>
        </w:tc>
        <w:tc>
          <w:tcPr>
            <w:tcW w:type="dxa" w:w="1247"/>
          </w:tcPr>
          <w:p>
            <w:pPr>
              <w:spacing w:after="20"/>
            </w:pPr>
            <w:r>
              <w:rPr>
                <w:rFonts w:ascii="Arial" w:hAnsi="Arial"/>
                <w:b w:val="0"/>
                <w:sz w:val="15"/>
              </w:rPr>
              <w:t>v1.07 build / v1.07</w:t>
            </w:r>
          </w:p>
        </w:tc>
        <w:tc>
          <w:tcPr>
            <w:tcW w:type="dxa" w:w="2835"/>
          </w:tcPr>
          <w:p>
            <w:pPr>
              <w:spacing w:after="20"/>
            </w:pPr>
            <w:r>
              <w:rPr>
                <w:rFonts w:ascii="Arial" w:hAnsi="Arial"/>
                <w:b w:val="0"/>
                <w:sz w:val="15"/>
              </w:rPr>
              <w:t>The defined name ETSSemi equals the LAMBDA ETSSEMI ignoring case and gave #NAME?; the ETS goal seek stopped converging.</w:t>
            </w:r>
          </w:p>
        </w:tc>
        <w:tc>
          <w:tcPr>
            <w:tcW w:type="dxa" w:w="2268"/>
          </w:tcPr>
          <w:p>
            <w:pPr>
              <w:spacing w:after="20"/>
            </w:pPr>
            <w:r>
              <w:rPr>
                <w:rFonts w:ascii="Arial" w:hAnsi="Arial"/>
                <w:b w:val="0"/>
                <w:sz w:val="15"/>
              </w:rPr>
              <w:t>Renamed SemiEl; the builder asserts that no defined name equals a LAMBDA name.</w:t>
            </w:r>
          </w:p>
        </w:tc>
      </w:tr>
      <w:tr>
        <w:tc>
          <w:tcPr>
            <w:tcW w:type="dxa" w:w="680"/>
          </w:tcPr>
          <w:p>
            <w:pPr>
              <w:spacing w:after="20"/>
            </w:pPr>
            <w:r>
              <w:rPr>
                <w:rFonts w:ascii="Arial" w:hAnsi="Arial"/>
                <w:b w:val="0"/>
                <w:sz w:val="15"/>
              </w:rPr>
              <w:t>M6</w:t>
            </w:r>
          </w:p>
        </w:tc>
        <w:tc>
          <w:tcPr>
            <w:tcW w:type="dxa" w:w="2041"/>
          </w:tcPr>
          <w:p>
            <w:pPr>
              <w:spacing w:after="20"/>
            </w:pPr>
            <w:r>
              <w:rPr>
                <w:rFonts w:ascii="Arial" w:hAnsi="Arial"/>
                <w:b w:val="0"/>
                <w:sz w:val="15"/>
              </w:rPr>
              <w:t>Power ETS revenue valued at the tax-equivalent price</w:t>
            </w:r>
          </w:p>
        </w:tc>
        <w:tc>
          <w:tcPr>
            <w:tcW w:type="dxa" w:w="1247"/>
          </w:tcPr>
          <w:p>
            <w:pPr>
              <w:spacing w:after="20"/>
            </w:pPr>
            <w:r>
              <w:rPr>
                <w:rFonts w:ascii="Arial" w:hAnsi="Arial"/>
                <w:b w:val="0"/>
                <w:sz w:val="15"/>
              </w:rPr>
              <w:t>v1.05 / v1.09</w:t>
            </w:r>
          </w:p>
        </w:tc>
        <w:tc>
          <w:tcPr>
            <w:tcW w:type="dxa" w:w="2835"/>
          </w:tcPr>
          <w:p>
            <w:pPr>
              <w:spacing w:after="20"/>
            </w:pPr>
            <w:r>
              <w:rPr>
                <w:rFonts w:ascii="Arial" w:hAnsi="Arial"/>
                <w:b w:val="0"/>
                <w:sz w:val="15"/>
              </w:rPr>
              <w:t>Power new-policy revenue (ccpav x consumption) valued the ETS at the tax-equivalent price, about 10% high at Medium volatility.</w:t>
            </w:r>
          </w:p>
        </w:tc>
        <w:tc>
          <w:tcPr>
            <w:tcW w:type="dxa" w:w="2268"/>
          </w:tcPr>
          <w:p>
            <w:pPr>
              <w:spacing w:after="20"/>
            </w:pPr>
            <w:r>
              <w:rPr>
                <w:rFonts w:ascii="Arial" w:hAnsi="Arial"/>
                <w:b w:val="0"/>
                <w:sz w:val="15"/>
              </w:rPr>
              <w:t>Revenue by generation type (prnew) with the ETS at the permit price; rcarb kept as a memo.</w:t>
            </w:r>
          </w:p>
        </w:tc>
      </w:tr>
      <w:tr>
        <w:tc>
          <w:tcPr>
            <w:tcW w:type="dxa" w:w="680"/>
          </w:tcPr>
          <w:p>
            <w:pPr>
              <w:spacing w:after="20"/>
            </w:pPr>
            <w:r>
              <w:rPr>
                <w:rFonts w:ascii="Arial" w:hAnsi="Arial"/>
                <w:b w:val="0"/>
                <w:sz w:val="15"/>
              </w:rPr>
              <w:t>M7</w:t>
            </w:r>
          </w:p>
        </w:tc>
        <w:tc>
          <w:tcPr>
            <w:tcW w:type="dxa" w:w="2041"/>
          </w:tcPr>
          <w:p>
            <w:pPr>
              <w:spacing w:after="20"/>
            </w:pPr>
            <w:r>
              <w:rPr>
                <w:rFonts w:ascii="Arial" w:hAnsi="Arial"/>
                <w:b w:val="0"/>
                <w:sz w:val="15"/>
              </w:rPr>
              <w:t>Stale texts in the workbook and notes</w:t>
            </w:r>
          </w:p>
        </w:tc>
        <w:tc>
          <w:tcPr>
            <w:tcW w:type="dxa" w:w="1247"/>
          </w:tcPr>
          <w:p>
            <w:pPr>
              <w:spacing w:after="20"/>
            </w:pPr>
            <w:r>
              <w:rPr>
                <w:rFonts w:ascii="Arial" w:hAnsi="Arial"/>
                <w:b w:val="0"/>
                <w:sz w:val="15"/>
              </w:rPr>
              <w:t>v1.08 / v1.09</w:t>
            </w:r>
          </w:p>
        </w:tc>
        <w:tc>
          <w:tcPr>
            <w:tcW w:type="dxa" w:w="2835"/>
          </w:tcPr>
          <w:p>
            <w:pPr>
              <w:spacing w:after="20"/>
            </w:pPr>
            <w:r>
              <w:rPr>
                <w:rFonts w:ascii="Arial" w:hAnsi="Arial"/>
                <w:b w:val="0"/>
                <w:sz w:val="15"/>
              </w:rPr>
              <w:t>Section 12 and 13 notes said power was not included; PowerPaths said interim data; data sheets named old extractors; method notes described earlier versions.</w:t>
            </w:r>
          </w:p>
        </w:tc>
        <w:tc>
          <w:tcPr>
            <w:tcW w:type="dxa" w:w="2268"/>
          </w:tcPr>
          <w:p>
            <w:pPr>
              <w:spacing w:after="20"/>
            </w:pPr>
            <w:r>
              <w:rPr>
                <w:rFonts w:ascii="Arial" w:hAnsi="Arial"/>
                <w:b w:val="0"/>
                <w:sz w:val="15"/>
              </w:rPr>
              <w:t>Texts updated; the check now scans the workbook texts for stale statements and missing file references.</w:t>
            </w:r>
          </w:p>
        </w:tc>
      </w:tr>
      <w:tr>
        <w:tc>
          <w:tcPr>
            <w:tcW w:type="dxa" w:w="680"/>
          </w:tcPr>
          <w:p>
            <w:pPr>
              <w:spacing w:after="20"/>
            </w:pPr>
            <w:r>
              <w:rPr>
                <w:rFonts w:ascii="Arial" w:hAnsi="Arial"/>
                <w:b w:val="0"/>
                <w:sz w:val="15"/>
              </w:rPr>
              <w:t>M8</w:t>
            </w:r>
          </w:p>
        </w:tc>
        <w:tc>
          <w:tcPr>
            <w:tcW w:type="dxa" w:w="2041"/>
          </w:tcPr>
          <w:p>
            <w:pPr>
              <w:spacing w:after="20"/>
            </w:pPr>
            <w:r>
              <w:rPr>
                <w:rFonts w:ascii="Arial" w:hAnsi="Arial"/>
                <w:b w:val="0"/>
                <w:sz w:val="15"/>
              </w:rPr>
              <w:t>LegacyDiff rows out of date</w:t>
            </w:r>
          </w:p>
        </w:tc>
        <w:tc>
          <w:tcPr>
            <w:tcW w:type="dxa" w:w="1247"/>
          </w:tcPr>
          <w:p>
            <w:pPr>
              <w:spacing w:after="20"/>
            </w:pPr>
            <w:r>
              <w:rPr>
                <w:rFonts w:ascii="Arial" w:hAnsi="Arial"/>
                <w:b w:val="0"/>
                <w:sz w:val="15"/>
              </w:rPr>
              <w:t>v1.09 / v2.2</w:t>
            </w:r>
          </w:p>
        </w:tc>
        <w:tc>
          <w:tcPr>
            <w:tcW w:type="dxa" w:w="2835"/>
          </w:tcPr>
          <w:p>
            <w:pPr>
              <w:spacing w:after="20"/>
            </w:pPr>
            <w:r>
              <w:rPr>
                <w:rFonts w:ascii="Arial" w:hAnsi="Arial"/>
                <w:b w:val="0"/>
                <w:sz w:val="15"/>
              </w:rPr>
              <w:t>Existing carbon pricing was still listed as "Not modelled"; the formula-structure row described the LAMBDA right column of v1.07.</w:t>
            </w:r>
          </w:p>
        </w:tc>
        <w:tc>
          <w:tcPr>
            <w:tcW w:type="dxa" w:w="2268"/>
          </w:tcPr>
          <w:p>
            <w:pPr>
              <w:spacing w:after="20"/>
            </w:pPr>
            <w:r>
              <w:rPr>
                <w:rFonts w:ascii="Arial" w:hAnsi="Arial"/>
                <w:b w:val="0"/>
                <w:sz w:val="15"/>
              </w:rPr>
              <w:t>Rows updated; the check scans for these phrases.</w:t>
            </w:r>
          </w:p>
        </w:tc>
      </w:tr>
      <w:tr>
        <w:tc>
          <w:tcPr>
            <w:tcW w:type="dxa" w:w="680"/>
          </w:tcPr>
          <w:p>
            <w:pPr>
              <w:spacing w:after="20"/>
            </w:pPr>
            <w:r>
              <w:rPr>
                <w:rFonts w:ascii="Arial" w:hAnsi="Arial"/>
                <w:b w:val="0"/>
                <w:sz w:val="15"/>
              </w:rPr>
              <w:t>M9</w:t>
            </w:r>
          </w:p>
        </w:tc>
        <w:tc>
          <w:tcPr>
            <w:tcW w:type="dxa" w:w="2041"/>
          </w:tcPr>
          <w:p>
            <w:pPr>
              <w:spacing w:after="20"/>
            </w:pPr>
            <w:r>
              <w:rPr>
                <w:rFonts w:ascii="Arial" w:hAnsi="Arial"/>
                <w:b w:val="0"/>
                <w:sz w:val="15"/>
              </w:rPr>
              <w:t>Legacy comparison note from v1.01</w:t>
            </w:r>
          </w:p>
        </w:tc>
        <w:tc>
          <w:tcPr>
            <w:tcW w:type="dxa" w:w="1247"/>
          </w:tcPr>
          <w:p>
            <w:pPr>
              <w:spacing w:after="20"/>
            </w:pPr>
            <w:r>
              <w:rPr>
                <w:rFonts w:ascii="Arial" w:hAnsi="Arial"/>
                <w:b w:val="0"/>
                <w:sz w:val="15"/>
              </w:rPr>
              <w:t>v1.02-v1.09 / v2.2</w:t>
            </w:r>
          </w:p>
        </w:tc>
        <w:tc>
          <w:tcPr>
            <w:tcW w:type="dxa" w:w="2835"/>
          </w:tcPr>
          <w:p>
            <w:pPr>
              <w:spacing w:after="20"/>
            </w:pPr>
            <w:r>
              <w:rPr>
                <w:rFonts w:ascii="Arial" w:hAnsi="Arial"/>
                <w:b w:val="0"/>
                <w:sz w:val="15"/>
              </w:rPr>
              <w:t>legacy_comparison described the v1.01 baseline and its script wrote a different file name.</w:t>
            </w:r>
          </w:p>
        </w:tc>
        <w:tc>
          <w:tcPr>
            <w:tcW w:type="dxa" w:w="2268"/>
          </w:tcPr>
          <w:p>
            <w:pPr>
              <w:spacing w:after="20"/>
            </w:pPr>
            <w:r>
              <w:rPr>
                <w:rFonts w:ascii="Arial" w:hAnsi="Arial"/>
                <w:b w:val="0"/>
                <w:sz w:val="15"/>
              </w:rPr>
              <w:t>Re-run on v2.2 (legacy_comparison_v6_4.md).</w:t>
            </w:r>
          </w:p>
        </w:tc>
      </w:tr>
      <w:tr>
        <w:tc>
          <w:tcPr>
            <w:tcW w:type="dxa" w:w="680"/>
          </w:tcPr>
          <w:p>
            <w:pPr>
              <w:spacing w:after="20"/>
            </w:pPr>
            <w:r>
              <w:rPr>
                <w:rFonts w:ascii="Arial" w:hAnsi="Arial"/>
                <w:b w:val="0"/>
                <w:sz w:val="15"/>
              </w:rPr>
              <w:t>M10</w:t>
            </w:r>
          </w:p>
        </w:tc>
        <w:tc>
          <w:tcPr>
            <w:tcW w:type="dxa" w:w="2041"/>
          </w:tcPr>
          <w:p>
            <w:pPr>
              <w:spacing w:after="20"/>
            </w:pPr>
            <w:r>
              <w:rPr>
                <w:rFonts w:ascii="Arial" w:hAnsi="Arial"/>
                <w:b w:val="0"/>
                <w:sz w:val="15"/>
              </w:rPr>
              <w:t>Total rows labelled "All subsectors"</w:t>
            </w:r>
          </w:p>
        </w:tc>
        <w:tc>
          <w:tcPr>
            <w:tcW w:type="dxa" w:w="1247"/>
          </w:tcPr>
          <w:p>
            <w:pPr>
              <w:spacing w:after="20"/>
            </w:pPr>
            <w:r>
              <w:rPr>
                <w:rFonts w:ascii="Arial" w:hAnsi="Arial"/>
                <w:b w:val="0"/>
                <w:sz w:val="15"/>
              </w:rPr>
              <w:t>v1.09 / v2.3</w:t>
            </w:r>
          </w:p>
        </w:tc>
        <w:tc>
          <w:tcPr>
            <w:tcW w:type="dxa" w:w="2835"/>
          </w:tcPr>
          <w:p>
            <w:pPr>
              <w:spacing w:after="20"/>
            </w:pPr>
            <w:r>
              <w:rPr>
                <w:rFonts w:ascii="Arial" w:hAnsi="Arial"/>
                <w:b w:val="0"/>
                <w:sz w:val="15"/>
              </w:rPr>
              <w:t>Since v1.09 the totals (fuel use, CO2, revenues) include power, but the label of the sector code all still said "All subsectors".</w:t>
            </w:r>
          </w:p>
        </w:tc>
        <w:tc>
          <w:tcPr>
            <w:tcW w:type="dxa" w:w="2268"/>
          </w:tcPr>
          <w:p>
            <w:pPr>
              <w:spacing w:after="20"/>
            </w:pPr>
            <w:r>
              <w:rPr>
                <w:rFonts w:ascii="Arial" w:hAnsi="Arial"/>
                <w:b w:val="0"/>
                <w:sz w:val="15"/>
              </w:rPr>
              <w:t>Label "All sectors".</w:t>
            </w:r>
          </w:p>
        </w:tc>
      </w:tr>
      <w:tr>
        <w:tc>
          <w:tcPr>
            <w:tcW w:type="dxa" w:w="680"/>
          </w:tcPr>
          <w:p>
            <w:pPr>
              <w:spacing w:after="20"/>
            </w:pPr>
            <w:r>
              <w:rPr>
                <w:rFonts w:ascii="Arial" w:hAnsi="Arial"/>
                <w:b w:val="0"/>
                <w:sz w:val="15"/>
              </w:rPr>
              <w:t>M11</w:t>
            </w:r>
          </w:p>
        </w:tc>
        <w:tc>
          <w:tcPr>
            <w:tcW w:type="dxa" w:w="2041"/>
          </w:tcPr>
          <w:p>
            <w:pPr>
              <w:spacing w:after="20"/>
            </w:pPr>
            <w:r>
              <w:rPr>
                <w:rFonts w:ascii="Arial" w:hAnsi="Arial"/>
                <w:b w:val="0"/>
                <w:sz w:val="15"/>
              </w:rPr>
              <w:t>Macros read 19 year columns</w:t>
            </w:r>
          </w:p>
        </w:tc>
        <w:tc>
          <w:tcPr>
            <w:tcW w:type="dxa" w:w="1247"/>
          </w:tcPr>
          <w:p>
            <w:pPr>
              <w:spacing w:after="20"/>
            </w:pPr>
            <w:r>
              <w:rPr>
                <w:rFonts w:ascii="Arial" w:hAnsi="Arial"/>
                <w:b w:val="0"/>
                <w:sz w:val="15"/>
              </w:rPr>
              <w:t>v2.3 build / v2.3</w:t>
            </w:r>
          </w:p>
        </w:tc>
        <w:tc>
          <w:tcPr>
            <w:tcW w:type="dxa" w:w="2835"/>
          </w:tcPr>
          <w:p>
            <w:pPr>
              <w:spacing w:after="20"/>
            </w:pPr>
            <w:r>
              <w:rPr>
                <w:rFonts w:ascii="Arial" w:hAnsi="Arial"/>
                <w:b w:val="0"/>
                <w:sz w:val="15"/>
              </w:rPr>
              <w:t>The VBA module had the number of years (NYEARS = 19, 2022-2040) as a constant; with the horizon to 2041 the batch run and CheckBatchRun would have stored and compared one year too few (found by the check).</w:t>
            </w:r>
          </w:p>
        </w:tc>
        <w:tc>
          <w:tcPr>
            <w:tcW w:type="dxa" w:w="2268"/>
          </w:tcPr>
          <w:p>
            <w:pPr>
              <w:spacing w:after="20"/>
            </w:pPr>
            <w:r>
              <w:rPr>
                <w:rFonts w:ascii="Arial" w:hAnsi="Arial"/>
                <w:b w:val="0"/>
                <w:sz w:val="15"/>
              </w:rPr>
              <w:t>NYEARS = 20; the builder now asserts that it equals the number of model years.</w:t>
            </w:r>
          </w:p>
        </w:tc>
      </w:tr>
      <w:tr>
        <w:tc>
          <w:tcPr>
            <w:tcW w:type="dxa" w:w="680"/>
          </w:tcPr>
          <w:p>
            <w:pPr>
              <w:spacing w:after="20"/>
            </w:pPr>
            <w:r>
              <w:rPr>
                <w:rFonts w:ascii="Arial" w:hAnsi="Arial"/>
                <w:b w:val="0"/>
                <w:sz w:val="15"/>
              </w:rPr>
              <w:t>M12</w:t>
            </w:r>
          </w:p>
        </w:tc>
        <w:tc>
          <w:tcPr>
            <w:tcW w:type="dxa" w:w="2041"/>
          </w:tcPr>
          <w:p>
            <w:pPr>
              <w:spacing w:after="20"/>
            </w:pPr>
            <w:r>
              <w:rPr>
                <w:rFonts w:ascii="Arial" w:hAnsi="Arial"/>
                <w:b w:val="0"/>
                <w:sz w:val="15"/>
              </w:rPr>
              <w:t>Sheet Lambdas: formula texts named merged sheets</w:t>
            </w:r>
          </w:p>
        </w:tc>
        <w:tc>
          <w:tcPr>
            <w:tcW w:type="dxa" w:w="1247"/>
          </w:tcPr>
          <w:p>
            <w:pPr>
              <w:spacing w:after="20"/>
            </w:pPr>
            <w:r>
              <w:rPr>
                <w:rFonts w:ascii="Arial" w:hAnsi="Arial"/>
                <w:b w:val="0"/>
                <w:sz w:val="15"/>
              </w:rPr>
              <w:t>v3.6 / v3.13</w:t>
            </w:r>
          </w:p>
        </w:tc>
        <w:tc>
          <w:tcPr>
            <w:tcW w:type="dxa" w:w="2835"/>
          </w:tcPr>
          <w:p>
            <w:pPr>
              <w:spacing w:after="20"/>
            </w:pPr>
            <w:r>
              <w:rPr>
                <w:rFonts w:ascii="Arial" w:hAnsi="Arial"/>
                <w:b w:val="0"/>
                <w:sz w:val="15"/>
              </w:rPr>
              <w:t>The tab merge of v3.6 re-pointed every formula but not the formula texts of sheet Lambdas (column F), so the rows reading the power and price inputs named Inputs_power / Inputs_prices, which no longer exist; copied into Mitigation they gave #REF! (found by the full check, variant B).</w:t>
            </w:r>
          </w:p>
        </w:tc>
        <w:tc>
          <w:tcPr>
            <w:tcW w:type="dxa" w:w="2268"/>
          </w:tcPr>
          <w:p>
            <w:pPr>
              <w:spacing w:after="20"/>
            </w:pPr>
            <w:r>
              <w:rPr>
                <w:rFonts w:ascii="Arial" w:hAnsi="Arial"/>
                <w:b w:val="0"/>
                <w:sz w:val="15"/>
              </w:rPr>
              <w:t>merge_tabs re-points the texts too; the full check copies them over every row (variant B).</w:t>
            </w:r>
          </w:p>
        </w:tc>
      </w:tr>
      <w:tr>
        <w:tc>
          <w:tcPr>
            <w:tcW w:type="dxa" w:w="680"/>
          </w:tcPr>
          <w:p>
            <w:pPr>
              <w:spacing w:after="20"/>
            </w:pPr>
            <w:r>
              <w:rPr>
                <w:rFonts w:ascii="Arial" w:hAnsi="Arial"/>
                <w:b w:val="0"/>
                <w:sz w:val="15"/>
              </w:rPr>
              <w:t>M13</w:t>
            </w:r>
          </w:p>
        </w:tc>
        <w:tc>
          <w:tcPr>
            <w:tcW w:type="dxa" w:w="2041"/>
          </w:tcPr>
          <w:p>
            <w:pPr>
              <w:spacing w:after="20"/>
            </w:pPr>
            <w:r>
              <w:rPr>
                <w:rFonts w:ascii="Arial" w:hAnsi="Arial"/>
                <w:b w:val="0"/>
                <w:sz w:val="15"/>
              </w:rPr>
              <w:t>Road vehicle feebate counted the carbon price twice</w:t>
            </w:r>
          </w:p>
        </w:tc>
        <w:tc>
          <w:tcPr>
            <w:tcW w:type="dxa" w:w="1247"/>
          </w:tcPr>
          <w:p>
            <w:pPr>
              <w:spacing w:after="20"/>
            </w:pPr>
            <w:r>
              <w:rPr>
                <w:rFonts w:ascii="Arial" w:hAnsi="Arial"/>
                <w:b w:val="0"/>
                <w:sz w:val="15"/>
              </w:rPr>
              <w:t>v3.5 / v4.16</w:t>
            </w:r>
          </w:p>
        </w:tc>
        <w:tc>
          <w:tcPr>
            <w:tcW w:type="dxa" w:w="2835"/>
          </w:tcPr>
          <w:p>
            <w:pPr>
              <w:spacing w:after="20"/>
            </w:pPr>
            <w:r>
              <w:rPr>
                <w:rFonts w:ascii="Arial" w:hAnsi="Arial"/>
                <w:b w:val="0"/>
                <w:sz w:val="15"/>
              </w:rPr>
              <w:t>The vehicle feebate rate of the engineer road model added the carbon price x road feebate share in every policy scenario, although the carbon tax is in the fuel price already (legacy adds the shadow carbon price, 0 under explicit pricing).</w:t>
            </w:r>
          </w:p>
        </w:tc>
        <w:tc>
          <w:tcPr>
            <w:tcW w:type="dxa" w:w="2268"/>
          </w:tcPr>
          <w:p>
            <w:pPr>
              <w:spacing w:after="20"/>
            </w:pPr>
            <w:r>
              <w:rPr>
                <w:rFonts w:ascii="Arial" w:hAnsi="Arial"/>
                <w:b w:val="0"/>
                <w:sz w:val="15"/>
              </w:rPr>
              <w:t>The road regulation shadow price (reg.rod) replaces it; 0 under explicit pricing.</w:t>
            </w:r>
          </w:p>
        </w:tc>
      </w:tr>
      <w:tr>
        <w:tc>
          <w:tcPr>
            <w:tcW w:type="dxa" w:w="680"/>
          </w:tcPr>
          <w:p>
            <w:pPr>
              <w:spacing w:after="20"/>
            </w:pPr>
            <w:r>
              <w:rPr>
                <w:rFonts w:ascii="Arial" w:hAnsi="Arial"/>
                <w:b w:val="0"/>
                <w:sz w:val="15"/>
              </w:rPr>
              <w:t>M14</w:t>
            </w:r>
          </w:p>
        </w:tc>
        <w:tc>
          <w:tcPr>
            <w:tcW w:type="dxa" w:w="2041"/>
          </w:tcPr>
          <w:p>
            <w:pPr>
              <w:spacing w:after="20"/>
            </w:pPr>
            <w:r>
              <w:rPr>
                <w:rFonts w:ascii="Arial" w:hAnsi="Arial"/>
                <w:b w:val="0"/>
                <w:sz w:val="15"/>
              </w:rPr>
              <w:t>LAMBDA library texts named a merged-away sheet</w:t>
            </w:r>
          </w:p>
        </w:tc>
        <w:tc>
          <w:tcPr>
            <w:tcW w:type="dxa" w:w="1247"/>
          </w:tcPr>
          <w:p>
            <w:pPr>
              <w:spacing w:after="20"/>
            </w:pPr>
            <w:r>
              <w:rPr>
                <w:rFonts w:ascii="Arial" w:hAnsi="Arial"/>
                <w:b w:val="0"/>
                <w:sz w:val="15"/>
              </w:rPr>
              <w:t>v4.2 / v5.3</w:t>
            </w:r>
          </w:p>
        </w:tc>
        <w:tc>
          <w:tcPr>
            <w:tcW w:type="dxa" w:w="2835"/>
          </w:tcPr>
          <w:p>
            <w:pPr>
              <w:spacing w:after="20"/>
            </w:pPr>
            <w:r>
              <w:rPr>
                <w:rFonts w:ascii="Arial" w:hAnsi="Arial"/>
                <w:b w:val="0"/>
                <w:sz w:val="15"/>
              </w:rPr>
              <w:t>The 21 LAMBDA-library texts of the power pollutant rows (sheet Lambdas, column C) still named the sheet Inputs_power: the v3.13 fix (M12) re-pointed the texts only on sheets that stay in place, and Lambdas is an appended block since v4.2; pasted, they gave #NAME?.</w:t>
            </w:r>
          </w:p>
        </w:tc>
        <w:tc>
          <w:tcPr>
            <w:tcW w:type="dxa" w:w="2268"/>
          </w:tcPr>
          <w:p>
            <w:pPr>
              <w:spacing w:after="20"/>
            </w:pPr>
            <w:r>
              <w:rPr>
                <w:rFonts w:ascii="Arial" w:hAnsi="Arial"/>
                <w:b w:val="0"/>
                <w:sz w:val="15"/>
              </w:rPr>
              <w:t>merge_tabs re-points the Lambdas texts of an appended block too (host Mitigation); the full check lists any text naming a merged-away sheet.</w:t>
            </w:r>
          </w:p>
        </w:tc>
      </w:tr>
    </w:tbl>
    <w:p/>
    <w:p>
      <w:r>
        <w:br w:type="page"/>
      </w:r>
    </w:p>
    <w:p>
      <w:pPr>
        <w:pStyle w:val="Heading1"/>
      </w:pPr>
      <w:r>
        <w:t>4. Issues</w:t>
      </w:r>
    </w:p>
    <w:p>
      <w:pPr>
        <w:spacing w:after="80"/>
      </w:pPr>
      <w:r>
        <w:rPr>
          <w:sz w:val="20"/>
        </w:rPr>
        <w:t>Issues are intended behaviours of legacy (or of the prototype) that are questionable. Legacy side: replicated = the prototype does what legacy does; not replicated = a departure by user decision or still queued; mvp = an issue of the prototype with no legacy counterpart.</w:t>
      </w:r>
    </w:p>
    <w:p>
      <w:pPr>
        <w:pStyle w:val="Heading2"/>
      </w:pPr>
      <w:r>
        <w:t>4.1 Mitigation module</w:t>
      </w:r>
    </w:p>
    <w:tbl>
      <w:tblPr>
        <w:tblStyle w:val="TableGrid"/>
        <w:tblW w:type="dxa" w:w="9070"/>
        <w:jc w:val="left"/>
        <w:tblLayout w:type="fixed"/>
        <w:tblLook w:firstColumn="1" w:firstRow="1" w:lastColumn="0" w:lastRow="0" w:noHBand="0" w:noVBand="1" w:val="04A0"/>
      </w:tblPr>
      <w:tblGrid>
        <w:gridCol w:w="680"/>
        <w:gridCol w:w="2948"/>
        <w:gridCol w:w="1247"/>
        <w:gridCol w:w="1361"/>
        <w:gridCol w:w="2835"/>
      </w:tblGrid>
      <w:tr>
        <w:trPr>
          <w:tblHeader w:val="true"/>
        </w:trPr>
        <w:tc>
          <w:tcPr>
            <w:tcW w:type="dxa" w:w="680"/>
            <w:shd w:val="clear" w:color="auto" w:fill="D9E8C4"/>
          </w:tcPr>
          <w:p>
            <w:pPr>
              <w:spacing w:after="20"/>
            </w:pPr>
            <w:r>
              <w:rPr>
                <w:rFonts w:ascii="Arial" w:hAnsi="Arial"/>
                <w:b/>
                <w:sz w:val="15"/>
              </w:rPr>
              <w:t>Code</w:t>
            </w:r>
          </w:p>
        </w:tc>
        <w:tc>
          <w:tcPr>
            <w:tcW w:type="dxa" w:w="2948"/>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Legacy side</w:t>
            </w:r>
          </w:p>
        </w:tc>
        <w:tc>
          <w:tcPr>
            <w:tcW w:type="dxa" w:w="1361"/>
            <w:shd w:val="clear" w:color="auto" w:fill="D9E8C4"/>
          </w:tcPr>
          <w:p>
            <w:pPr>
              <w:spacing w:after="20"/>
            </w:pPr>
            <w:r>
              <w:rPr>
                <w:rFonts w:ascii="Arial" w:hAnsi="Arial"/>
                <w:b/>
                <w:sz w:val="15"/>
              </w:rPr>
              <w:t>Severity / status</w:t>
            </w:r>
          </w:p>
        </w:tc>
        <w:tc>
          <w:tcPr>
            <w:tcW w:type="dxa" w:w="2835"/>
            <w:shd w:val="clear" w:color="auto" w:fill="D9E8C4"/>
          </w:tcPr>
          <w:p>
            <w:pPr>
              <w:spacing w:after="20"/>
            </w:pPr>
            <w:r>
              <w:rPr>
                <w:rFonts w:ascii="Arial" w:hAnsi="Arial"/>
                <w:b/>
                <w:sz w:val="15"/>
              </w:rPr>
              <w:t>Next step</w:t>
            </w:r>
          </w:p>
        </w:tc>
      </w:tr>
      <w:tr>
        <w:tc>
          <w:tcPr>
            <w:tcW w:type="dxa" w:w="680"/>
          </w:tcPr>
          <w:p>
            <w:pPr>
              <w:spacing w:after="20"/>
            </w:pPr>
            <w:r>
              <w:rPr>
                <w:rFonts w:ascii="Arial" w:hAnsi="Arial"/>
                <w:b w:val="0"/>
                <w:sz w:val="15"/>
              </w:rPr>
              <w:t>I1</w:t>
            </w:r>
          </w:p>
        </w:tc>
        <w:tc>
          <w:tcPr>
            <w:tcW w:type="dxa" w:w="2948"/>
          </w:tcPr>
          <w:p>
            <w:pPr>
              <w:spacing w:after="20"/>
            </w:pPr>
            <w:r>
              <w:rPr>
                <w:rFonts w:ascii="Arial" w:hAnsi="Arial"/>
                <w:b w:val="0"/>
                <w:sz w:val="15"/>
              </w:rPr>
              <w:t>Not yet run in Excel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Review in Excel 365 (TODO).</w:t>
            </w:r>
          </w:p>
        </w:tc>
      </w:tr>
      <w:tr>
        <w:tc>
          <w:tcPr>
            <w:tcW w:type="dxa" w:w="680"/>
          </w:tcPr>
          <w:p>
            <w:pPr>
              <w:spacing w:after="20"/>
            </w:pPr>
            <w:r>
              <w:rPr>
                <w:rFonts w:ascii="Arial" w:hAnsi="Arial"/>
                <w:b w:val="0"/>
                <w:sz w:val="15"/>
              </w:rPr>
              <w:t>I2</w:t>
            </w:r>
          </w:p>
        </w:tc>
        <w:tc>
          <w:tcPr>
            <w:tcW w:type="dxa" w:w="2948"/>
          </w:tcPr>
          <w:p>
            <w:pPr>
              <w:spacing w:after="20"/>
            </w:pPr>
            <w:r>
              <w:rPr>
                <w:rFonts w:ascii="Arial" w:hAnsi="Arial"/>
                <w:b w:val="0"/>
                <w:sz w:val="15"/>
              </w:rPr>
              <w:t>Excel versions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I3</w:t>
            </w:r>
          </w:p>
        </w:tc>
        <w:tc>
          <w:tcPr>
            <w:tcW w:type="dxa" w:w="2948"/>
          </w:tcPr>
          <w:p>
            <w:pPr>
              <w:spacing w:after="20"/>
            </w:pPr>
            <w:r>
              <w:rPr>
                <w:rFonts w:ascii="Arial" w:hAnsi="Arial"/>
                <w:b w:val="0"/>
                <w:sz w:val="15"/>
              </w:rPr>
              <w:t>New sector | fuel pairs need a label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I4</w:t>
            </w:r>
          </w:p>
        </w:tc>
        <w:tc>
          <w:tcPr>
            <w:tcW w:type="dxa" w:w="2948"/>
          </w:tcPr>
          <w:p>
            <w:pPr>
              <w:spacing w:after="20"/>
            </w:pPr>
            <w:r>
              <w:rPr>
                <w:rFonts w:ascii="Arial" w:hAnsi="Arial"/>
                <w:b w:val="0"/>
                <w:sz w:val="15"/>
              </w:rPr>
              <w:t>Price vintage: data prices end in 2022, as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2022 as legacy.</w:t>
            </w:r>
          </w:p>
        </w:tc>
      </w:tr>
      <w:tr>
        <w:tc>
          <w:tcPr>
            <w:tcW w:type="dxa" w:w="680"/>
          </w:tcPr>
          <w:p>
            <w:pPr>
              <w:spacing w:after="20"/>
            </w:pPr>
            <w:r>
              <w:rPr>
                <w:rFonts w:ascii="Arial" w:hAnsi="Arial"/>
                <w:b w:val="0"/>
                <w:sz w:val="15"/>
              </w:rPr>
              <w:t>I5</w:t>
            </w:r>
          </w:p>
        </w:tc>
        <w:tc>
          <w:tcPr>
            <w:tcW w:type="dxa" w:w="2948"/>
          </w:tcPr>
          <w:p>
            <w:pPr>
              <w:spacing w:after="20"/>
            </w:pPr>
            <w:r>
              <w:rPr>
                <w:rFonts w:ascii="Arial" w:hAnsi="Arial"/>
                <w:b w:val="0"/>
                <w:sz w:val="15"/>
              </w:rPr>
              <w:t>Totals include power since v1.09</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I6</w:t>
            </w:r>
          </w:p>
        </w:tc>
        <w:tc>
          <w:tcPr>
            <w:tcW w:type="dxa" w:w="2948"/>
          </w:tcPr>
          <w:p>
            <w:pPr>
              <w:spacing w:after="20"/>
            </w:pPr>
            <w:r>
              <w:rPr>
                <w:rFonts w:ascii="Arial" w:hAnsi="Arial"/>
                <w:b w:val="0"/>
                <w:sz w:val="15"/>
              </w:rPr>
              <w:t>Electricity subsidy gap is signed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Exception by decision (v2.4): sign convention only, values as legacy.</w:t>
            </w:r>
          </w:p>
        </w:tc>
      </w:tr>
      <w:tr>
        <w:tc>
          <w:tcPr>
            <w:tcW w:type="dxa" w:w="680"/>
          </w:tcPr>
          <w:p>
            <w:pPr>
              <w:spacing w:after="20"/>
            </w:pPr>
            <w:r>
              <w:rPr>
                <w:rFonts w:ascii="Arial" w:hAnsi="Arial"/>
                <w:b w:val="0"/>
                <w:sz w:val="15"/>
              </w:rPr>
              <w:t>I9</w:t>
            </w:r>
          </w:p>
        </w:tc>
        <w:tc>
          <w:tcPr>
            <w:tcW w:type="dxa" w:w="2948"/>
          </w:tcPr>
          <w:p>
            <w:pPr>
              <w:spacing w:after="20"/>
            </w:pPr>
            <w:r>
              <w:rPr>
                <w:rFonts w:ascii="Arial" w:hAnsi="Arial"/>
                <w:b w:val="0"/>
                <w:sz w:val="15"/>
              </w:rPr>
              <w:t>The LAMBDA year 2041 needs LAMBDA support</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I10</w:t>
            </w:r>
          </w:p>
        </w:tc>
        <w:tc>
          <w:tcPr>
            <w:tcW w:type="dxa" w:w="2948"/>
          </w:tcPr>
          <w:p>
            <w:pPr>
              <w:spacing w:after="20"/>
            </w:pPr>
            <w:r>
              <w:rPr>
                <w:rFonts w:ascii="Arial" w:hAnsi="Arial"/>
                <w:b w:val="0"/>
                <w:sz w:val="15"/>
              </w:rPr>
              <w:t>Without LAMBDA support the power model looks ahead without 2041</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I11</w:t>
            </w:r>
          </w:p>
        </w:tc>
        <w:tc>
          <w:tcPr>
            <w:tcW w:type="dxa" w:w="2948"/>
          </w:tcPr>
          <w:p>
            <w:pPr>
              <w:spacing w:after="20"/>
            </w:pPr>
            <w:r>
              <w:rPr>
                <w:rFonts w:ascii="Arial" w:hAnsi="Arial"/>
                <w:b w:val="0"/>
                <w:sz w:val="15"/>
              </w:rPr>
              <w:t>Changing the last historical price year</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I12</w:t>
            </w:r>
          </w:p>
        </w:tc>
        <w:tc>
          <w:tcPr>
            <w:tcW w:type="dxa" w:w="2948"/>
          </w:tcPr>
          <w:p>
            <w:pPr>
              <w:spacing w:after="20"/>
            </w:pPr>
            <w:r>
              <w:rPr>
                <w:rFonts w:ascii="Arial" w:hAnsi="Arial"/>
                <w:b w:val="0"/>
                <w:sz w:val="15"/>
              </w:rPr>
              <w:t>Values after 2030</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I13</w:t>
            </w:r>
          </w:p>
        </w:tc>
        <w:tc>
          <w:tcPr>
            <w:tcW w:type="dxa" w:w="2948"/>
          </w:tcPr>
          <w:p>
            <w:pPr>
              <w:spacing w:after="20"/>
            </w:pPr>
            <w:r>
              <w:rPr>
                <w:rFonts w:ascii="Arial" w:hAnsi="Arial"/>
                <w:b w:val="0"/>
                <w:sz w:val="15"/>
              </w:rPr>
              <w:t>Data for other countries: proprietary tables are Egypt only</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Data for other countries (TODO).</w:t>
            </w:r>
          </w:p>
        </w:tc>
      </w:tr>
      <w:tr>
        <w:tc>
          <w:tcPr>
            <w:tcW w:type="dxa" w:w="680"/>
          </w:tcPr>
          <w:p>
            <w:pPr>
              <w:spacing w:after="20"/>
            </w:pPr>
            <w:r>
              <w:rPr>
                <w:rFonts w:ascii="Arial" w:hAnsi="Arial"/>
                <w:b w:val="0"/>
                <w:sz w:val="15"/>
              </w:rPr>
              <w:t>I14</w:t>
            </w:r>
          </w:p>
        </w:tc>
        <w:tc>
          <w:tcPr>
            <w:tcW w:type="dxa" w:w="2948"/>
          </w:tcPr>
          <w:p>
            <w:pPr>
              <w:spacing w:after="20"/>
            </w:pPr>
            <w:r>
              <w:rPr>
                <w:rFonts w:ascii="Arial" w:hAnsi="Arial"/>
                <w:b w:val="0"/>
                <w:sz w:val="15"/>
              </w:rPr>
              <w:t>Distance to the legacy cached baseline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v5.7: I25 closed (v5.6); the remaining distance is the documented data and bug-fix differences (legacy_comparison, LegacyDiff).</w:t>
            </w:r>
          </w:p>
        </w:tc>
      </w:tr>
      <w:tr>
        <w:tc>
          <w:tcPr>
            <w:tcW w:type="dxa" w:w="680"/>
          </w:tcPr>
          <w:p>
            <w:pPr>
              <w:spacing w:after="20"/>
            </w:pPr>
            <w:r>
              <w:rPr>
                <w:rFonts w:ascii="Arial" w:hAnsi="Arial"/>
                <w:b w:val="0"/>
                <w:sz w:val="15"/>
              </w:rPr>
              <w:t>I15</w:t>
            </w:r>
          </w:p>
        </w:tc>
        <w:tc>
          <w:tcPr>
            <w:tcW w:type="dxa" w:w="2948"/>
          </w:tcPr>
          <w:p>
            <w:pPr>
              <w:spacing w:after="20"/>
            </w:pPr>
            <w:r>
              <w:rPr>
                <w:rFonts w:ascii="Arial" w:hAnsi="Arial"/>
                <w:b w:val="0"/>
                <w:sz w:val="15"/>
              </w:rPr>
              <w:t>Subsidy rows changed sign in v2.4</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I16</w:t>
            </w:r>
          </w:p>
        </w:tc>
        <w:tc>
          <w:tcPr>
            <w:tcW w:type="dxa" w:w="2948"/>
          </w:tcPr>
          <w:p>
            <w:pPr>
              <w:spacing w:after="20"/>
            </w:pPr>
            <w:r>
              <w:rPr>
                <w:rFonts w:ascii="Arial" w:hAnsi="Arial"/>
                <w:b w:val="0"/>
                <w:sz w:val="15"/>
              </w:rPr>
              <w:t>A new block needs its label row</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I17</w:t>
            </w:r>
          </w:p>
        </w:tc>
        <w:tc>
          <w:tcPr>
            <w:tcW w:type="dxa" w:w="2948"/>
          </w:tcPr>
          <w:p>
            <w:pPr>
              <w:spacing w:after="20"/>
            </w:pPr>
            <w:r>
              <w:rPr>
                <w:rFonts w:ascii="Arial" w:hAnsi="Arial"/>
                <w:b w:val="0"/>
                <w:sz w:val="15"/>
              </w:rPr>
              <w:t>Egypt GHG inventory: energy CH4 breaks after 2021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calibrate to 2024 as legacy.</w:t>
            </w:r>
          </w:p>
        </w:tc>
      </w:tr>
      <w:tr>
        <w:tc>
          <w:tcPr>
            <w:tcW w:type="dxa" w:w="680"/>
          </w:tcPr>
          <w:p>
            <w:pPr>
              <w:spacing w:after="20"/>
            </w:pPr>
            <w:r>
              <w:rPr>
                <w:rFonts w:ascii="Arial" w:hAnsi="Arial"/>
                <w:b w:val="0"/>
                <w:sz w:val="15"/>
              </w:rPr>
              <w:t>I18</w:t>
            </w:r>
          </w:p>
        </w:tc>
        <w:tc>
          <w:tcPr>
            <w:tcW w:type="dxa" w:w="2948"/>
          </w:tcPr>
          <w:p>
            <w:pPr>
              <w:spacing w:after="20"/>
            </w:pPr>
            <w:r>
              <w:rPr>
                <w:rFonts w:ascii="Arial" w:hAnsi="Arial"/>
                <w:b w:val="0"/>
                <w:sz w:val="15"/>
              </w:rPr>
              <w:t>GHG totals use energy CO2 without inventory adjustment (resolved v3.2)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v3.2 (switch, off by default as legacy since v3.4).</w:t>
            </w:r>
          </w:p>
        </w:tc>
      </w:tr>
      <w:tr>
        <w:tc>
          <w:tcPr>
            <w:tcW w:type="dxa" w:w="680"/>
          </w:tcPr>
          <w:p>
            <w:pPr>
              <w:spacing w:after="20"/>
            </w:pPr>
            <w:r>
              <w:rPr>
                <w:rFonts w:ascii="Arial" w:hAnsi="Arial"/>
                <w:b w:val="0"/>
                <w:sz w:val="15"/>
              </w:rPr>
              <w:t>I19</w:t>
            </w:r>
          </w:p>
        </w:tc>
        <w:tc>
          <w:tcPr>
            <w:tcW w:type="dxa" w:w="2948"/>
          </w:tcPr>
          <w:p>
            <w:pPr>
              <w:spacing w:after="20"/>
            </w:pPr>
            <w:r>
              <w:rPr>
                <w:rFonts w:ascii="Arial" w:hAnsi="Arial"/>
                <w:b w:val="0"/>
                <w:sz w:val="15"/>
              </w:rPr>
              <w:t>Jet fuel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v3.11.</w:t>
            </w:r>
          </w:p>
        </w:tc>
      </w:tr>
      <w:tr>
        <w:tc>
          <w:tcPr>
            <w:tcW w:type="dxa" w:w="680"/>
          </w:tcPr>
          <w:p>
            <w:pPr>
              <w:spacing w:after="20"/>
            </w:pPr>
            <w:r>
              <w:rPr>
                <w:rFonts w:ascii="Arial" w:hAnsi="Arial"/>
                <w:b w:val="0"/>
                <w:sz w:val="15"/>
              </w:rPr>
              <w:t>I20</w:t>
            </w:r>
          </w:p>
        </w:tc>
        <w:tc>
          <w:tcPr>
            <w:tcW w:type="dxa" w:w="2948"/>
          </w:tcPr>
          <w:p>
            <w:pPr>
              <w:spacing w:after="20"/>
            </w:pPr>
            <w:r>
              <w:rPr>
                <w:rFonts w:ascii="Arial" w:hAnsi="Arial"/>
                <w:b w:val="0"/>
                <w:sz w:val="15"/>
              </w:rPr>
              <w:t>Electricity price data differ from legacy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Exception by user decision (corrected data, 2026-10-09).</w:t>
            </w:r>
          </w:p>
        </w:tc>
      </w:tr>
      <w:tr>
        <w:tc>
          <w:tcPr>
            <w:tcW w:type="dxa" w:w="680"/>
          </w:tcPr>
          <w:p>
            <w:pPr>
              <w:spacing w:after="20"/>
            </w:pPr>
            <w:r>
              <w:rPr>
                <w:rFonts w:ascii="Arial" w:hAnsi="Arial"/>
                <w:b w:val="0"/>
                <w:sz w:val="15"/>
              </w:rPr>
              <w:t>I21</w:t>
            </w:r>
          </w:p>
        </w:tc>
        <w:tc>
          <w:tcPr>
            <w:tcW w:type="dxa" w:w="2948"/>
          </w:tcPr>
          <w:p>
            <w:pPr>
              <w:spacing w:after="20"/>
            </w:pPr>
            <w:r>
              <w:rPr>
                <w:rFonts w:ascii="Arial" w:hAnsi="Arial"/>
                <w:b w:val="0"/>
                <w:sz w:val="15"/>
              </w:rPr>
              <w:t>ETS: one auctioned share for every sector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benchmarks = 1 - the MTInputs auctioned share (rows 90-91, one share for all sectors, as legacy); benchmarks by sector later.</w:t>
            </w:r>
          </w:p>
        </w:tc>
      </w:tr>
      <w:tr>
        <w:tc>
          <w:tcPr>
            <w:tcW w:type="dxa" w:w="680"/>
          </w:tcPr>
          <w:p>
            <w:pPr>
              <w:spacing w:after="20"/>
            </w:pPr>
            <w:r>
              <w:rPr>
                <w:rFonts w:ascii="Arial" w:hAnsi="Arial"/>
                <w:b w:val="0"/>
                <w:sz w:val="15"/>
              </w:rPr>
              <w:t>I22</w:t>
            </w:r>
          </w:p>
        </w:tc>
        <w:tc>
          <w:tcPr>
            <w:tcW w:type="dxa" w:w="2948"/>
          </w:tcPr>
          <w:p>
            <w:pPr>
              <w:spacing w:after="20"/>
            </w:pPr>
            <w:r>
              <w:rPr>
                <w:rFonts w:ascii="Arial" w:hAnsi="Arial"/>
                <w:b w:val="0"/>
                <w:sz w:val="15"/>
              </w:rPr>
              <w:t>Fuel-use shock of 2023-2024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v3.11; source of the values to trace.</w:t>
            </w:r>
          </w:p>
        </w:tc>
      </w:tr>
      <w:tr>
        <w:tc>
          <w:tcPr>
            <w:tcW w:type="dxa" w:w="680"/>
          </w:tcPr>
          <w:p>
            <w:pPr>
              <w:spacing w:after="20"/>
            </w:pPr>
            <w:r>
              <w:rPr>
                <w:rFonts w:ascii="Arial" w:hAnsi="Arial"/>
                <w:b w:val="0"/>
                <w:sz w:val="15"/>
              </w:rPr>
              <w:t>I25</w:t>
            </w:r>
          </w:p>
        </w:tc>
        <w:tc>
          <w:tcPr>
            <w:tcW w:type="dxa" w:w="2948"/>
          </w:tcPr>
          <w:p>
            <w:pPr>
              <w:spacing w:after="20"/>
            </w:pPr>
            <w:r>
              <w:rPr>
                <w:rFonts w:ascii="Arial" w:hAnsi="Arial"/>
                <w:b w:val="0"/>
                <w:sz w:val="15"/>
              </w:rPr>
              <w:t>Industrial process emissions below legacy, not explained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Traced (v5.6): legacy process emissions = 2023 inventory x the year-on-year growth of industrial energy CO2 (row 6576; 2024: +16.8%, the rebound after the 2023 demand shock, so 56.9 -&gt; 66.5). The prototype floored that growth at 0 (a departure: removed in v5.6, as legacy). The remaining gap is the industrial energy CO2 path, part of the fuel-use gap (I14).</w:t>
            </w:r>
          </w:p>
        </w:tc>
      </w:tr>
      <w:tr>
        <w:tc>
          <w:tcPr>
            <w:tcW w:type="dxa" w:w="680"/>
          </w:tcPr>
          <w:p>
            <w:pPr>
              <w:spacing w:after="20"/>
            </w:pPr>
            <w:r>
              <w:rPr>
                <w:rFonts w:ascii="Arial" w:hAnsi="Arial"/>
                <w:b w:val="0"/>
                <w:sz w:val="15"/>
              </w:rPr>
              <w:t>I26</w:t>
            </w:r>
          </w:p>
        </w:tc>
        <w:tc>
          <w:tcPr>
            <w:tcW w:type="dxa" w:w="2948"/>
          </w:tcPr>
          <w:p>
            <w:pPr>
              <w:spacing w:after="20"/>
            </w:pPr>
            <w:r>
              <w:rPr>
                <w:rFonts w:ascii="Arial" w:hAnsi="Arial"/>
                <w:b w:val="0"/>
                <w:sz w:val="15"/>
              </w:rPr>
              <w:t>GHG defaults not yet checked against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Checked (v5.6): energy N2O moves with energy CO2 as legacy (row 7549 = previous x CO2 ratio). Production for fuel-supply methane differs: now issue I66.</w:t>
            </w:r>
          </w:p>
        </w:tc>
      </w:tr>
      <w:tr>
        <w:tc>
          <w:tcPr>
            <w:tcW w:type="dxa" w:w="680"/>
          </w:tcPr>
          <w:p>
            <w:pPr>
              <w:spacing w:after="20"/>
            </w:pPr>
            <w:r>
              <w:rPr>
                <w:rFonts w:ascii="Arial" w:hAnsi="Arial"/>
                <w:b w:val="0"/>
                <w:sz w:val="15"/>
              </w:rPr>
              <w:t>I28</w:t>
            </w:r>
          </w:p>
        </w:tc>
        <w:tc>
          <w:tcPr>
            <w:tcW w:type="dxa" w:w="2948"/>
          </w:tcPr>
          <w:p>
            <w:pPr>
              <w:spacing w:after="20"/>
            </w:pPr>
            <w:r>
              <w:rPr>
                <w:rFonts w:ascii="Arial" w:hAnsi="Arial"/>
                <w:b w:val="0"/>
                <w:sz w:val="15"/>
              </w:rPr>
              <w:t>Engineer road model: calibration open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I29</w:t>
            </w:r>
          </w:p>
        </w:tc>
        <w:tc>
          <w:tcPr>
            <w:tcW w:type="dxa" w:w="2948"/>
          </w:tcPr>
          <w:p>
            <w:pPr>
              <w:spacing w:after="20"/>
            </w:pPr>
            <w:r>
              <w:rPr>
                <w:rFonts w:ascii="Arial" w:hAnsi="Arial"/>
                <w:b w:val="0"/>
                <w:sz w:val="15"/>
              </w:rPr>
              <w:t>Excel repair prompt (resolved v3.7)</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v3.7: LAMBDAs renamed; confirm in Excel (quick check on Windows).</w:t>
            </w:r>
          </w:p>
        </w:tc>
      </w:tr>
      <w:tr>
        <w:tc>
          <w:tcPr>
            <w:tcW w:type="dxa" w:w="680"/>
          </w:tcPr>
          <w:p>
            <w:pPr>
              <w:spacing w:after="20"/>
            </w:pPr>
            <w:r>
              <w:rPr>
                <w:rFonts w:ascii="Arial" w:hAnsi="Arial"/>
                <w:b w:val="0"/>
                <w:sz w:val="15"/>
              </w:rPr>
              <w:t>I30</w:t>
            </w:r>
          </w:p>
        </w:tc>
        <w:tc>
          <w:tcPr>
            <w:tcW w:type="dxa" w:w="2948"/>
          </w:tcPr>
          <w:p>
            <w:pPr>
              <w:spacing w:after="20"/>
            </w:pPr>
            <w:r>
              <w:rPr>
                <w:rFonts w:ascii="Arial" w:hAnsi="Arial"/>
                <w:b w:val="0"/>
                <w:sz w:val="15"/>
              </w:rPr>
              <w:t>ETS goal seek short of the cap in definition 5</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Tested separately by the user (2026-10-19); no goal-seek runs in builds or checks (NORMS 5). Last full check (v5.3): worst gap 0.0265 after 20 iterations.</w:t>
            </w:r>
          </w:p>
        </w:tc>
      </w:tr>
      <w:tr>
        <w:tc>
          <w:tcPr>
            <w:tcW w:type="dxa" w:w="680"/>
          </w:tcPr>
          <w:p>
            <w:pPr>
              <w:spacing w:after="20"/>
            </w:pPr>
            <w:r>
              <w:rPr>
                <w:rFonts w:ascii="Arial" w:hAnsi="Arial"/>
                <w:b w:val="0"/>
                <w:sz w:val="15"/>
              </w:rPr>
              <w:t>I31</w:t>
            </w:r>
          </w:p>
        </w:tc>
        <w:tc>
          <w:tcPr>
            <w:tcW w:type="dxa" w:w="2948"/>
          </w:tcPr>
          <w:p>
            <w:pPr>
              <w:spacing w:after="20"/>
            </w:pPr>
            <w:r>
              <w:rPr>
                <w:rFonts w:ascii="Arial" w:hAnsi="Arial"/>
                <w:b w:val="0"/>
                <w:sz w:val="15"/>
              </w:rPr>
              <w:t>Average prices mix price and composition changes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legacy averages are the default (pav.leg, pav.lidx, pav.idx; Settings C54 Legacy*), the Laspeyres index kept as an option.</w:t>
            </w:r>
          </w:p>
        </w:tc>
      </w:tr>
      <w:tr>
        <w:tc>
          <w:tcPr>
            <w:tcW w:type="dxa" w:w="680"/>
          </w:tcPr>
          <w:p>
            <w:pPr>
              <w:spacing w:after="20"/>
            </w:pPr>
            <w:r>
              <w:rPr>
                <w:rFonts w:ascii="Arial" w:hAnsi="Arial"/>
                <w:b w:val="0"/>
                <w:sz w:val="15"/>
              </w:rPr>
              <w:t>I32</w:t>
            </w:r>
          </w:p>
        </w:tc>
        <w:tc>
          <w:tcPr>
            <w:tcW w:type="dxa" w:w="2948"/>
          </w:tcPr>
          <w:p>
            <w:pPr>
              <w:spacing w:after="20"/>
            </w:pPr>
            <w:r>
              <w:rPr>
                <w:rFonts w:ascii="Arial" w:hAnsi="Arial"/>
                <w:b w:val="0"/>
                <w:sz w:val="15"/>
              </w:rPr>
              <w:t>Energy CO2 calibration to the inventory: as legacy since v4.11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in v4.11 (user 2026-10-18: go with legacy); the inventory break (I17) stays in the factor, as legacy.</w:t>
            </w:r>
          </w:p>
        </w:tc>
      </w:tr>
      <w:tr>
        <w:tc>
          <w:tcPr>
            <w:tcW w:type="dxa" w:w="680"/>
          </w:tcPr>
          <w:p>
            <w:pPr>
              <w:spacing w:after="20"/>
            </w:pPr>
            <w:r>
              <w:rPr>
                <w:rFonts w:ascii="Arial" w:hAnsi="Arial"/>
                <w:b w:val="0"/>
                <w:sz w:val="15"/>
              </w:rPr>
              <w:t>I33</w:t>
            </w:r>
          </w:p>
        </w:tc>
        <w:tc>
          <w:tcPr>
            <w:tcW w:type="dxa" w:w="2948"/>
          </w:tcPr>
          <w:p>
            <w:pPr>
              <w:spacing w:after="20"/>
            </w:pPr>
            <w:r>
              <w:rPr>
                <w:rFonts w:ascii="Arial" w:hAnsi="Arial"/>
                <w:b w:val="0"/>
                <w:sz w:val="15"/>
              </w:rPr>
              <w:t>Data step overwrites the corrected Egypt prices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v5.7: extract_data writes LF line ends and runs update_prices_egypt after the price extraction, so the corrected Egypt block is kept.</w:t>
            </w:r>
          </w:p>
        </w:tc>
      </w:tr>
      <w:tr>
        <w:tc>
          <w:tcPr>
            <w:tcW w:type="dxa" w:w="680"/>
          </w:tcPr>
          <w:p>
            <w:pPr>
              <w:spacing w:after="20"/>
            </w:pPr>
            <w:r>
              <w:rPr>
                <w:rFonts w:ascii="Arial" w:hAnsi="Arial"/>
                <w:b w:val="0"/>
                <w:sz w:val="15"/>
              </w:rPr>
              <w:t>I34</w:t>
            </w:r>
          </w:p>
        </w:tc>
        <w:tc>
          <w:tcPr>
            <w:tcW w:type="dxa" w:w="2948"/>
          </w:tcPr>
          <w:p>
            <w:pPr>
              <w:spacing w:after="20"/>
            </w:pPr>
            <w:r>
              <w:rPr>
                <w:rFonts w:ascii="Arial" w:hAnsi="Arial"/>
                <w:b w:val="0"/>
                <w:sz w:val="15"/>
              </w:rPr>
              <w:t>CH4 of the air-pollution input table: methane sources by convention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(v3.12); to confirm: combustion CH4 added, all fuel supply methane under other.</w:t>
            </w:r>
          </w:p>
        </w:tc>
      </w:tr>
      <w:tr>
        <w:tc>
          <w:tcPr>
            <w:tcW w:type="dxa" w:w="680"/>
          </w:tcPr>
          <w:p>
            <w:pPr>
              <w:spacing w:after="20"/>
            </w:pPr>
            <w:r>
              <w:rPr>
                <w:rFonts w:ascii="Arial" w:hAnsi="Arial"/>
                <w:b w:val="0"/>
                <w:sz w:val="15"/>
              </w:rPr>
              <w:t>I36</w:t>
            </w:r>
          </w:p>
        </w:tc>
        <w:tc>
          <w:tcPr>
            <w:tcW w:type="dxa" w:w="2948"/>
          </w:tcPr>
          <w:p>
            <w:pPr>
              <w:spacing w:after="20"/>
            </w:pPr>
            <w:r>
              <w:rPr>
                <w:rFonts w:ascii="Arial" w:hAnsi="Arial"/>
                <w:b w:val="0"/>
                <w:sz w:val="15"/>
              </w:rPr>
              <w:t>Effective carbon rate counts VAT and subsidies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(v3.15); an OECD-style rate (carbon taxes, excises, permits) could be added as a memo.</w:t>
            </w:r>
          </w:p>
        </w:tc>
      </w:tr>
      <w:tr>
        <w:tc>
          <w:tcPr>
            <w:tcW w:type="dxa" w:w="680"/>
          </w:tcPr>
          <w:p>
            <w:pPr>
              <w:spacing w:after="20"/>
            </w:pPr>
            <w:r>
              <w:rPr>
                <w:rFonts w:ascii="Arial" w:hAnsi="Arial"/>
                <w:b w:val="0"/>
                <w:sz w:val="15"/>
              </w:rPr>
              <w:t>I37</w:t>
            </w:r>
          </w:p>
        </w:tc>
        <w:tc>
          <w:tcPr>
            <w:tcW w:type="dxa" w:w="2948"/>
          </w:tcPr>
          <w:p>
            <w:pPr>
              <w:spacing w:after="20"/>
            </w:pPr>
            <w:r>
              <w:rPr>
                <w:rFonts w:ascii="Arial" w:hAnsi="Arial"/>
                <w:b w:val="0"/>
                <w:sz w:val="15"/>
              </w:rPr>
              <w:t>Primary energy of renewables: efficiencies not exactly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(v3.18); set the renewable efficiencies to 1 if the data are confirmed.</w:t>
            </w:r>
          </w:p>
        </w:tc>
      </w:tr>
      <w:tr>
        <w:tc>
          <w:tcPr>
            <w:tcW w:type="dxa" w:w="680"/>
          </w:tcPr>
          <w:p>
            <w:pPr>
              <w:spacing w:after="20"/>
            </w:pPr>
            <w:r>
              <w:rPr>
                <w:rFonts w:ascii="Arial" w:hAnsi="Arial"/>
                <w:b w:val="0"/>
                <w:sz w:val="15"/>
              </w:rPr>
              <w:t>I38</w:t>
            </w:r>
          </w:p>
        </w:tc>
        <w:tc>
          <w:tcPr>
            <w:tcW w:type="dxa" w:w="2948"/>
          </w:tcPr>
          <w:p>
            <w:pPr>
              <w:spacing w:after="20"/>
            </w:pPr>
            <w:r>
              <w:rPr>
                <w:rFonts w:ascii="Arial" w:hAnsi="Arial"/>
                <w:b w:val="0"/>
                <w:sz w:val="15"/>
              </w:rPr>
              <w:t>Legacy's stored run: wind and solar capex time factors 2039-2041 differ from its Power tab</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v4.7: the formula follows the Power tab; recheck against a fresh legacy run.</w:t>
            </w:r>
          </w:p>
        </w:tc>
      </w:tr>
      <w:tr>
        <w:tc>
          <w:tcPr>
            <w:tcW w:type="dxa" w:w="680"/>
          </w:tcPr>
          <w:p>
            <w:pPr>
              <w:spacing w:after="20"/>
            </w:pPr>
            <w:r>
              <w:rPr>
                <w:rFonts w:ascii="Arial" w:hAnsi="Arial"/>
                <w:b w:val="0"/>
                <w:sz w:val="15"/>
              </w:rPr>
              <w:t>I39</w:t>
            </w:r>
          </w:p>
        </w:tc>
        <w:tc>
          <w:tcPr>
            <w:tcW w:type="dxa" w:w="2948"/>
          </w:tcPr>
          <w:p>
            <w:pPr>
              <w:spacing w:after="20"/>
            </w:pPr>
            <w:r>
              <w:rPr>
                <w:rFonts w:ascii="Arial" w:hAnsi="Arial"/>
                <w:b w:val="0"/>
                <w:sz w:val="15"/>
              </w:rPr>
              <w:t>VAT on oil products charged on the household share only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a share by sector would need data by sector.</w:t>
            </w:r>
          </w:p>
        </w:tc>
      </w:tr>
      <w:tr>
        <w:tc>
          <w:tcPr>
            <w:tcW w:type="dxa" w:w="680"/>
          </w:tcPr>
          <w:p>
            <w:pPr>
              <w:spacing w:after="20"/>
            </w:pPr>
            <w:r>
              <w:rPr>
                <w:rFonts w:ascii="Arial" w:hAnsi="Arial"/>
                <w:b w:val="0"/>
                <w:sz w:val="15"/>
              </w:rPr>
              <w:t>I40</w:t>
            </w:r>
          </w:p>
        </w:tc>
        <w:tc>
          <w:tcPr>
            <w:tcW w:type="dxa" w:w="2948"/>
          </w:tcPr>
          <w:p>
            <w:pPr>
              <w:spacing w:after="20"/>
            </w:pPr>
            <w:r>
              <w:rPr>
                <w:rFonts w:ascii="Arial" w:hAnsi="Arial"/>
                <w:b w:val="0"/>
                <w:sz w:val="15"/>
              </w:rPr>
              <w:t>Road biofuels: feebate CO2 per liter scaled by the fossil share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revisit if road fuels are modelled as blends.</w:t>
            </w:r>
          </w:p>
        </w:tc>
      </w:tr>
      <w:tr>
        <w:tc>
          <w:tcPr>
            <w:tcW w:type="dxa" w:w="680"/>
          </w:tcPr>
          <w:p>
            <w:pPr>
              <w:spacing w:after="20"/>
            </w:pPr>
            <w:r>
              <w:rPr>
                <w:rFonts w:ascii="Arial" w:hAnsi="Arial"/>
                <w:b w:val="0"/>
                <w:sz w:val="15"/>
              </w:rPr>
              <w:t>I41</w:t>
            </w:r>
          </w:p>
        </w:tc>
        <w:tc>
          <w:tcPr>
            <w:tcW w:type="dxa" w:w="2948"/>
          </w:tcPr>
          <w:p>
            <w:pPr>
              <w:spacing w:after="20"/>
            </w:pPr>
            <w:r>
              <w:rPr>
                <w:rFonts w:ascii="Arial" w:hAnsi="Arial"/>
                <w:b w:val="0"/>
                <w:sz w:val="15"/>
              </w:rPr>
              <w:t>GDP effects: the impulse is the change in revenue over this year's GDP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v4.15 (user 2026-10-18); the prototype form (change of the GDP share) is one line.</w:t>
            </w:r>
          </w:p>
        </w:tc>
      </w:tr>
      <w:tr>
        <w:tc>
          <w:tcPr>
            <w:tcW w:type="dxa" w:w="680"/>
          </w:tcPr>
          <w:p>
            <w:pPr>
              <w:spacing w:after="20"/>
            </w:pPr>
            <w:r>
              <w:rPr>
                <w:rFonts w:ascii="Arial" w:hAnsi="Arial"/>
                <w:b w:val="0"/>
                <w:sz w:val="15"/>
              </w:rPr>
              <w:t>I42</w:t>
            </w:r>
          </w:p>
        </w:tc>
        <w:tc>
          <w:tcPr>
            <w:tcW w:type="dxa" w:w="2948"/>
          </w:tcPr>
          <w:p>
            <w:pPr>
              <w:spacing w:after="20"/>
            </w:pPr>
            <w:r>
              <w:rPr>
                <w:rFonts w:ascii="Arial" w:hAnsi="Arial"/>
                <w:b w:val="0"/>
                <w:sz w:val="15"/>
              </w:rPr>
              <w:t>GDP effects: impulses only from GDPStartYear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I43</w:t>
            </w:r>
          </w:p>
        </w:tc>
        <w:tc>
          <w:tcPr>
            <w:tcW w:type="dxa" w:w="2948"/>
          </w:tcPr>
          <w:p>
            <w:pPr>
              <w:spacing w:after="20"/>
            </w:pPr>
            <w:r>
              <w:rPr>
                <w:rFonts w:ascii="Arial" w:hAnsi="Arial"/>
                <w:b w:val="0"/>
                <w:sz w:val="15"/>
              </w:rPr>
              <w:t>GDP effects: revenue uses 0 before the carbon price starts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v5.7: rows fis.impp and fis.lagp (impulse 0 before CPIntro) feed every revenue use but the excise drag, as legacy rows 96-100.</w:t>
            </w:r>
          </w:p>
        </w:tc>
      </w:tr>
      <w:tr>
        <w:tc>
          <w:tcPr>
            <w:tcW w:type="dxa" w:w="680"/>
          </w:tcPr>
          <w:p>
            <w:pPr>
              <w:spacing w:after="20"/>
            </w:pPr>
            <w:r>
              <w:rPr>
                <w:rFonts w:ascii="Arial" w:hAnsi="Arial"/>
                <w:b w:val="0"/>
                <w:sz w:val="15"/>
              </w:rPr>
              <w:t>I44</w:t>
            </w:r>
          </w:p>
        </w:tc>
        <w:tc>
          <w:tcPr>
            <w:tcW w:type="dxa" w:w="2948"/>
          </w:tcPr>
          <w:p>
            <w:pPr>
              <w:spacing w:after="20"/>
            </w:pPr>
            <w:r>
              <w:rPr>
                <w:rFonts w:ascii="Arial" w:hAnsi="Arial"/>
                <w:b w:val="0"/>
                <w:sz w:val="15"/>
              </w:rPr>
              <w:t>Multipliers: the income-group spread added to manual and country multipliers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I45</w:t>
            </w:r>
          </w:p>
        </w:tc>
        <w:tc>
          <w:tcPr>
            <w:tcW w:type="dxa" w:w="2948"/>
          </w:tcPr>
          <w:p>
            <w:pPr>
              <w:spacing w:after="20"/>
            </w:pPr>
            <w:r>
              <w:rPr>
                <w:rFonts w:ascii="Arial" w:hAnsi="Arial"/>
                <w:b w:val="0"/>
                <w:sz w:val="15"/>
              </w:rPr>
              <w:t>Multipliers: excise estimates from the "Excise tax" table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I46</w:t>
            </w:r>
          </w:p>
        </w:tc>
        <w:tc>
          <w:tcPr>
            <w:tcW w:type="dxa" w:w="2948"/>
          </w:tcPr>
          <w:p>
            <w:pPr>
              <w:spacing w:after="20"/>
            </w:pPr>
            <w:r>
              <w:rPr>
                <w:rFonts w:ascii="Arial" w:hAnsi="Arial"/>
                <w:b w:val="0"/>
                <w:sz w:val="15"/>
              </w:rPr>
              <w:t>Revenue by policy: transport and renewable subsidies not modelled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Renewable subsidies: in the power model since v5.4 (prrns), counted in rsub, rtot and block 12e row rpol.ren, as legacy rows 7882-7890. Transport revenues: dropped with the engineer road model (I61, user 2026-10-20); row rpol.trs stays 0.</w:t>
            </w:r>
          </w:p>
        </w:tc>
      </w:tr>
      <w:tr>
        <w:tc>
          <w:tcPr>
            <w:tcW w:type="dxa" w:w="680"/>
          </w:tcPr>
          <w:p>
            <w:pPr>
              <w:spacing w:after="20"/>
            </w:pPr>
            <w:r>
              <w:rPr>
                <w:rFonts w:ascii="Arial" w:hAnsi="Arial"/>
                <w:b w:val="0"/>
                <w:sz w:val="15"/>
              </w:rPr>
              <w:t>I47</w:t>
            </w:r>
          </w:p>
        </w:tc>
        <w:tc>
          <w:tcPr>
            <w:tcW w:type="dxa" w:w="2948"/>
          </w:tcPr>
          <w:p>
            <w:pPr>
              <w:spacing w:after="20"/>
            </w:pPr>
            <w:r>
              <w:rPr>
                <w:rFonts w:ascii="Arial" w:hAnsi="Arial"/>
                <w:b w:val="0"/>
                <w:sz w:val="15"/>
              </w:rPr>
              <w:t>GDP effects: methane fee in the fiscal space on stored scenario-1 gas and biomass activity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w:t>
            </w:r>
          </w:p>
        </w:tc>
      </w:tr>
      <w:tr>
        <w:tc>
          <w:tcPr>
            <w:tcW w:type="dxa" w:w="680"/>
          </w:tcPr>
          <w:p>
            <w:pPr>
              <w:spacing w:after="20"/>
            </w:pPr>
            <w:r>
              <w:rPr>
                <w:rFonts w:ascii="Arial" w:hAnsi="Arial"/>
                <w:b w:val="0"/>
                <w:sz w:val="15"/>
              </w:rPr>
              <w:t>I48</w:t>
            </w:r>
          </w:p>
        </w:tc>
        <w:tc>
          <w:tcPr>
            <w:tcW w:type="dxa" w:w="2948"/>
          </w:tcPr>
          <w:p>
            <w:pPr>
              <w:spacing w:after="20"/>
            </w:pPr>
            <w:r>
              <w:rPr>
                <w:rFonts w:ascii="Arial" w:hAnsi="Arial"/>
                <w:b w:val="0"/>
                <w:sz w:val="15"/>
              </w:rPr>
              <w:t>Price-control phase-out uses the consumer subsidy share (replicated v4.16)</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v4.16; a price-control share would need an MTInputs row.</w:t>
            </w:r>
          </w:p>
        </w:tc>
      </w:tr>
      <w:tr>
        <w:tc>
          <w:tcPr>
            <w:tcW w:type="dxa" w:w="680"/>
          </w:tcPr>
          <w:p>
            <w:pPr>
              <w:spacing w:after="20"/>
            </w:pPr>
            <w:r>
              <w:rPr>
                <w:rFonts w:ascii="Arial" w:hAnsi="Arial"/>
                <w:b w:val="0"/>
                <w:sz w:val="15"/>
              </w:rPr>
              <w:t>I49</w:t>
            </w:r>
          </w:p>
        </w:tc>
        <w:tc>
          <w:tcPr>
            <w:tcW w:type="dxa" w:w="2948"/>
          </w:tcPr>
          <w:p>
            <w:pPr>
              <w:spacing w:after="20"/>
            </w:pPr>
            <w:r>
              <w:rPr>
                <w:rFonts w:ascii="Arial" w:hAnsi="Arial"/>
                <w:b w:val="0"/>
                <w:sz w:val="15"/>
              </w:rPr>
              <w:t>Producer subsidies: fiscal line only, no price effect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w:t>
            </w:r>
          </w:p>
        </w:tc>
      </w:tr>
      <w:tr>
        <w:tc>
          <w:tcPr>
            <w:tcW w:type="dxa" w:w="680"/>
          </w:tcPr>
          <w:p>
            <w:pPr>
              <w:spacing w:after="20"/>
            </w:pPr>
            <w:r>
              <w:rPr>
                <w:rFonts w:ascii="Arial" w:hAnsi="Arial"/>
                <w:b w:val="0"/>
                <w:sz w:val="15"/>
              </w:rPr>
              <w:t>I50</w:t>
            </w:r>
          </w:p>
        </w:tc>
        <w:tc>
          <w:tcPr>
            <w:tcW w:type="dxa" w:w="2948"/>
          </w:tcPr>
          <w:p>
            <w:pPr>
              <w:spacing w:after="20"/>
            </w:pPr>
            <w:r>
              <w:rPr>
                <w:rFonts w:ascii="Arial" w:hAnsi="Arial"/>
                <w:b w:val="0"/>
                <w:sz w:val="15"/>
              </w:rPr>
              <w:t>Residential LPG and kerosene always exempted: all new policy removed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(as legacy).</w:t>
            </w:r>
          </w:p>
        </w:tc>
      </w:tr>
      <w:tr>
        <w:tc>
          <w:tcPr>
            <w:tcW w:type="dxa" w:w="680"/>
          </w:tcPr>
          <w:p>
            <w:pPr>
              <w:spacing w:after="20"/>
            </w:pPr>
            <w:r>
              <w:rPr>
                <w:rFonts w:ascii="Arial" w:hAnsi="Arial"/>
                <w:b w:val="0"/>
                <w:sz w:val="15"/>
              </w:rPr>
              <w:t>I51</w:t>
            </w:r>
          </w:p>
        </w:tc>
        <w:tc>
          <w:tcPr>
            <w:tcW w:type="dxa" w:w="2948"/>
          </w:tcPr>
          <w:p>
            <w:pPr>
              <w:spacing w:after="20"/>
            </w:pPr>
            <w:r>
              <w:rPr>
                <w:rFonts w:ascii="Arial" w:hAnsi="Arial"/>
                <w:b w:val="0"/>
                <w:sz w:val="15"/>
              </w:rPr>
              <w:t>Residential leakage: the fossil change is efficiency-weighted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keep the efficiency weighting, as legacy.</w:t>
            </w:r>
          </w:p>
        </w:tc>
      </w:tr>
      <w:tr>
        <w:tc>
          <w:tcPr>
            <w:tcW w:type="dxa" w:w="680"/>
          </w:tcPr>
          <w:p>
            <w:pPr>
              <w:spacing w:after="20"/>
            </w:pPr>
            <w:r>
              <w:rPr>
                <w:rFonts w:ascii="Arial" w:hAnsi="Arial"/>
                <w:b w:val="0"/>
                <w:sz w:val="15"/>
              </w:rPr>
              <w:t>I52</w:t>
            </w:r>
          </w:p>
        </w:tc>
        <w:tc>
          <w:tcPr>
            <w:tcW w:type="dxa" w:w="2948"/>
          </w:tcPr>
          <w:p>
            <w:pPr>
              <w:spacing w:after="20"/>
            </w:pPr>
            <w:r>
              <w:rPr>
                <w:rFonts w:ascii="Arial" w:hAnsi="Arial"/>
                <w:b w:val="0"/>
                <w:sz w:val="15"/>
              </w:rPr>
              <w:t>ETS inclusion: construction, fuel transformation and other energy use follow the buildings flag</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types ETS coverage per sector). Decided (user 2026-10-19): replicate the legacy grouping when ETS coverage by Dashboard groups is built.</w:t>
            </w:r>
          </w:p>
        </w:tc>
      </w:tr>
      <w:tr>
        <w:tc>
          <w:tcPr>
            <w:tcW w:type="dxa" w:w="680"/>
          </w:tcPr>
          <w:p>
            <w:pPr>
              <w:spacing w:after="20"/>
            </w:pPr>
            <w:r>
              <w:rPr>
                <w:rFonts w:ascii="Arial" w:hAnsi="Arial"/>
                <w:b w:val="0"/>
                <w:sz w:val="15"/>
              </w:rPr>
              <w:t>I53</w:t>
            </w:r>
          </w:p>
        </w:tc>
        <w:tc>
          <w:tcPr>
            <w:tcW w:type="dxa" w:w="2948"/>
          </w:tcPr>
          <w:p>
            <w:pPr>
              <w:spacing w:after="20"/>
            </w:pPr>
            <w:r>
              <w:rPr>
                <w:rFonts w:ascii="Arial" w:hAnsi="Arial"/>
                <w:b w:val="0"/>
                <w:sz w:val="15"/>
              </w:rPr>
              <w:t>Manual domestic prices switch on only with a 2021 value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prototype does not build manual domestic prices). Decided (user 2026-10-19): an issue; replicate legacy when manual domestic prices are built; ask the CPAT team about the intent.</w:t>
            </w:r>
          </w:p>
        </w:tc>
      </w:tr>
      <w:tr>
        <w:tc>
          <w:tcPr>
            <w:tcW w:type="dxa" w:w="680"/>
          </w:tcPr>
          <w:p>
            <w:pPr>
              <w:spacing w:after="20"/>
            </w:pPr>
            <w:r>
              <w:rPr>
                <w:rFonts w:ascii="Arial" w:hAnsi="Arial"/>
                <w:b w:val="0"/>
                <w:sz w:val="15"/>
              </w:rPr>
              <w:t>I54</w:t>
            </w:r>
          </w:p>
        </w:tc>
        <w:tc>
          <w:tcPr>
            <w:tcW w:type="dxa" w:w="2948"/>
          </w:tcPr>
          <w:p>
            <w:pPr>
              <w:spacing w:after="20"/>
            </w:pPr>
            <w:r>
              <w:rPr>
                <w:rFonts w:ascii="Arial" w:hAnsi="Arial"/>
                <w:b w:val="0"/>
                <w:sz w:val="15"/>
              </w:rPr>
              <w:t>PPAs: phase-out switch only on the exact text "Yes*"; share to phase out typed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2026-10-18).</w:t>
            </w:r>
          </w:p>
        </w:tc>
      </w:tr>
      <w:tr>
        <w:tc>
          <w:tcPr>
            <w:tcW w:type="dxa" w:w="680"/>
          </w:tcPr>
          <w:p>
            <w:pPr>
              <w:spacing w:after="20"/>
            </w:pPr>
            <w:r>
              <w:rPr>
                <w:rFonts w:ascii="Arial" w:hAnsi="Arial"/>
                <w:b w:val="0"/>
                <w:sz w:val="15"/>
              </w:rPr>
              <w:t>I55</w:t>
            </w:r>
          </w:p>
        </w:tc>
        <w:tc>
          <w:tcPr>
            <w:tcW w:type="dxa" w:w="2948"/>
          </w:tcPr>
          <w:p>
            <w:pPr>
              <w:spacing w:after="20"/>
            </w:pPr>
            <w:r>
              <w:rPr>
                <w:rFonts w:ascii="Arial" w:hAnsi="Arial"/>
                <w:b w:val="0"/>
                <w:sz w:val="15"/>
              </w:rPr>
              <w:t>Renewable subsidies: nominal inputs used as real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L114 (user 2026-10-19).</w:t>
            </w:r>
          </w:p>
        </w:tc>
      </w:tr>
      <w:tr>
        <w:tc>
          <w:tcPr>
            <w:tcW w:type="dxa" w:w="680"/>
          </w:tcPr>
          <w:p>
            <w:pPr>
              <w:spacing w:after="20"/>
            </w:pPr>
            <w:r>
              <w:rPr>
                <w:rFonts w:ascii="Arial" w:hAnsi="Arial"/>
                <w:b w:val="0"/>
                <w:sz w:val="15"/>
              </w:rPr>
              <w:t>I56</w:t>
            </w:r>
          </w:p>
        </w:tc>
        <w:tc>
          <w:tcPr>
            <w:tcW w:type="dxa" w:w="2948"/>
          </w:tcPr>
          <w:p>
            <w:pPr>
              <w:spacing w:after="20"/>
            </w:pPr>
            <w:r>
              <w:rPr>
                <w:rFonts w:ascii="Arial" w:hAnsi="Arial"/>
                <w:b w:val="0"/>
                <w:sz w:val="15"/>
              </w:rPr>
              <w:t>Electricity excise: base-year grid intensity of the energy balance</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legacy kept (base-year intensity); the yearly intensity would be an upgrade.</w:t>
            </w:r>
          </w:p>
        </w:tc>
      </w:tr>
      <w:tr>
        <w:tc>
          <w:tcPr>
            <w:tcW w:type="dxa" w:w="680"/>
          </w:tcPr>
          <w:p>
            <w:pPr>
              <w:spacing w:after="20"/>
            </w:pPr>
            <w:r>
              <w:rPr>
                <w:rFonts w:ascii="Arial" w:hAnsi="Arial"/>
                <w:b w:val="0"/>
                <w:sz w:val="15"/>
              </w:rPr>
              <w:t>I57</w:t>
            </w:r>
          </w:p>
        </w:tc>
        <w:tc>
          <w:tcPr>
            <w:tcW w:type="dxa" w:w="2948"/>
          </w:tcPr>
          <w:p>
            <w:pPr>
              <w:spacing w:after="20"/>
            </w:pPr>
            <w:r>
              <w:rPr>
                <w:rFonts w:ascii="Arial" w:hAnsi="Arial"/>
                <w:b w:val="0"/>
                <w:sz w:val="15"/>
              </w:rPr>
              <w:t>Final deficit to gas: a typed switch outside MTInputs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Settings, as legacy).</w:t>
            </w:r>
          </w:p>
        </w:tc>
      </w:tr>
      <w:tr>
        <w:tc>
          <w:tcPr>
            <w:tcW w:type="dxa" w:w="680"/>
          </w:tcPr>
          <w:p>
            <w:pPr>
              <w:spacing w:after="20"/>
            </w:pPr>
            <w:r>
              <w:rPr>
                <w:rFonts w:ascii="Arial" w:hAnsi="Arial"/>
                <w:b w:val="0"/>
                <w:sz w:val="15"/>
              </w:rPr>
              <w:t>I58</w:t>
            </w:r>
          </w:p>
        </w:tc>
        <w:tc>
          <w:tcPr>
            <w:tcW w:type="dxa" w:w="2948"/>
          </w:tcPr>
          <w:p>
            <w:pPr>
              <w:spacing w:after="20"/>
            </w:pPr>
            <w:r>
              <w:rPr>
                <w:rFonts w:ascii="Arial" w:hAnsi="Arial"/>
                <w:b w:val="0"/>
                <w:sz w:val="15"/>
              </w:rPr>
              <w:t>Power switches tested for the exact "Yes"</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L113 (user 2026-10-19).</w:t>
            </w:r>
          </w:p>
        </w:tc>
      </w:tr>
      <w:tr>
        <w:tc>
          <w:tcPr>
            <w:tcW w:type="dxa" w:w="680"/>
          </w:tcPr>
          <w:p>
            <w:pPr>
              <w:spacing w:after="20"/>
            </w:pPr>
            <w:r>
              <w:rPr>
                <w:rFonts w:ascii="Arial" w:hAnsi="Arial"/>
                <w:b w:val="0"/>
                <w:sz w:val="15"/>
              </w:rPr>
              <w:t>I59</w:t>
            </w:r>
          </w:p>
        </w:tc>
        <w:tc>
          <w:tcPr>
            <w:tcW w:type="dxa" w:w="2948"/>
          </w:tcPr>
          <w:p>
            <w:pPr>
              <w:spacing w:after="20"/>
            </w:pPr>
            <w:r>
              <w:rPr>
                <w:rFonts w:ascii="Arial" w:hAnsi="Arial"/>
                <w:b w:val="0"/>
                <w:sz w:val="15"/>
              </w:rPr>
              <w:t>Electricity fuel price reform not applied to electricity prices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the electricity fuel price reform path enters the excise of policy scenarios (row entx).</w:t>
            </w:r>
          </w:p>
        </w:tc>
      </w:tr>
      <w:tr>
        <w:tc>
          <w:tcPr>
            <w:tcW w:type="dxa" w:w="680"/>
          </w:tcPr>
          <w:p>
            <w:pPr>
              <w:spacing w:after="20"/>
            </w:pPr>
            <w:r>
              <w:rPr>
                <w:rFonts w:ascii="Arial" w:hAnsi="Arial"/>
                <w:b w:val="0"/>
                <w:sz w:val="15"/>
              </w:rPr>
              <w:t>I60</w:t>
            </w:r>
          </w:p>
        </w:tc>
        <w:tc>
          <w:tcPr>
            <w:tcW w:type="dxa" w:w="2948"/>
          </w:tcPr>
          <w:p>
            <w:pPr>
              <w:spacing w:after="20"/>
            </w:pPr>
            <w:r>
              <w:rPr>
                <w:rFonts w:ascii="Arial" w:hAnsi="Arial"/>
                <w:b w:val="0"/>
                <w:sz w:val="15"/>
              </w:rPr>
              <w:t>End-user electricity price not floored at MinPostSubsidyPowerPrice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end-user electricity prices floored at MinPostSubsidyPowerPrice (row rp).</w:t>
            </w:r>
          </w:p>
        </w:tc>
      </w:tr>
      <w:tr>
        <w:tc>
          <w:tcPr>
            <w:tcW w:type="dxa" w:w="680"/>
          </w:tcPr>
          <w:p>
            <w:pPr>
              <w:spacing w:after="20"/>
            </w:pPr>
            <w:r>
              <w:rPr>
                <w:rFonts w:ascii="Arial" w:hAnsi="Arial"/>
                <w:b w:val="0"/>
                <w:sz w:val="15"/>
              </w:rPr>
              <w:t>I61</w:t>
            </w:r>
          </w:p>
        </w:tc>
        <w:tc>
          <w:tcPr>
            <w:tcW w:type="dxa" w:w="2948"/>
          </w:tcPr>
          <w:p>
            <w:pPr>
              <w:spacing w:after="20"/>
            </w:pPr>
            <w:r>
              <w:rPr>
                <w:rFonts w:ascii="Arial" w:hAnsi="Arial"/>
                <w:b w:val="0"/>
                <w:sz w:val="15"/>
              </w:rPr>
              <w:t>Engineer road model: follow-ups parked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I62</w:t>
            </w:r>
          </w:p>
        </w:tc>
        <w:tc>
          <w:tcPr>
            <w:tcW w:type="dxa" w:w="2948"/>
          </w:tcPr>
          <w:p>
            <w:pPr>
              <w:spacing w:after="20"/>
            </w:pPr>
            <w:r>
              <w:rPr>
                <w:rFonts w:ascii="Arial" w:hAnsi="Arial"/>
                <w:b w:val="0"/>
                <w:sz w:val="15"/>
              </w:rPr>
              <w:t>Fuel use: no partial-adjustment model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w:t>
            </w:r>
          </w:p>
        </w:tc>
      </w:tr>
      <w:tr>
        <w:tc>
          <w:tcPr>
            <w:tcW w:type="dxa" w:w="680"/>
          </w:tcPr>
          <w:p>
            <w:pPr>
              <w:spacing w:after="20"/>
            </w:pPr>
            <w:r>
              <w:rPr>
                <w:rFonts w:ascii="Arial" w:hAnsi="Arial"/>
                <w:b w:val="0"/>
                <w:sz w:val="15"/>
              </w:rPr>
              <w:t>I63</w:t>
            </w:r>
          </w:p>
        </w:tc>
        <w:tc>
          <w:tcPr>
            <w:tcW w:type="dxa" w:w="2948"/>
          </w:tcPr>
          <w:p>
            <w:pPr>
              <w:spacing w:after="20"/>
            </w:pPr>
            <w:r>
              <w:rPr>
                <w:rFonts w:ascii="Arial" w:hAnsi="Arial"/>
                <w:b w:val="0"/>
                <w:sz w:val="15"/>
              </w:rPr>
              <w:t>Demand responds to real USD prices, not real local-currency prices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I64</w:t>
            </w:r>
          </w:p>
        </w:tc>
        <w:tc>
          <w:tcPr>
            <w:tcW w:type="dxa" w:w="2948"/>
          </w:tcPr>
          <w:p>
            <w:pPr>
              <w:spacing w:after="20"/>
            </w:pPr>
            <w:r>
              <w:rPr>
                <w:rFonts w:ascii="Arial" w:hAnsi="Arial"/>
                <w:b w:val="0"/>
                <w:sz w:val="15"/>
              </w:rPr>
              <w:t>Combustion emission factor paths missing (GAINS, proprietary)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a legacy file with the GAINS combustion factor paths (high priority, user 2026-10-19).</w:t>
            </w:r>
          </w:p>
        </w:tc>
      </w:tr>
      <w:tr>
        <w:tc>
          <w:tcPr>
            <w:tcW w:type="dxa" w:w="680"/>
          </w:tcPr>
          <w:p>
            <w:pPr>
              <w:spacing w:after="20"/>
            </w:pPr>
            <w:r>
              <w:rPr>
                <w:rFonts w:ascii="Arial" w:hAnsi="Arial"/>
                <w:b w:val="0"/>
                <w:sz w:val="15"/>
              </w:rPr>
              <w:t>I65</w:t>
            </w:r>
          </w:p>
        </w:tc>
        <w:tc>
          <w:tcPr>
            <w:tcW w:type="dxa" w:w="2948"/>
          </w:tcPr>
          <w:p>
            <w:pPr>
              <w:spacing w:after="20"/>
            </w:pPr>
            <w:r>
              <w:rPr>
                <w:rFonts w:ascii="Arial" w:hAnsi="Arial"/>
                <w:b w:val="0"/>
                <w:sz w:val="15"/>
              </w:rPr>
              <w:t>Blank VAT cells in the IMF price dataset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prototype fill kept (user 2026-10-19). Data request: raise the blank VAT cells with the data team (high priority, user 2026-10-19); the prototype fill stays until then.</w:t>
            </w:r>
          </w:p>
        </w:tc>
      </w:tr>
      <w:tr>
        <w:tc>
          <w:tcPr>
            <w:tcW w:type="dxa" w:w="680"/>
          </w:tcPr>
          <w:p>
            <w:pPr>
              <w:spacing w:after="20"/>
            </w:pPr>
            <w:r>
              <w:rPr>
                <w:rFonts w:ascii="Arial" w:hAnsi="Arial"/>
                <w:b w:val="0"/>
                <w:sz w:val="15"/>
              </w:rPr>
              <w:t>I66</w:t>
            </w:r>
          </w:p>
        </w:tc>
        <w:tc>
          <w:tcPr>
            <w:tcW w:type="dxa" w:w="2948"/>
          </w:tcPr>
          <w:p>
            <w:pPr>
              <w:spacing w:after="20"/>
            </w:pPr>
            <w:r>
              <w:rPr>
                <w:rFonts w:ascii="Arial" w:hAnsi="Arial"/>
                <w:b w:val="0"/>
                <w:sz w:val="15"/>
              </w:rPr>
              <w:t>Fuel production for supply methane held at the base year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Replicated in v5.6: rows ch4.wd, ch4.fk, ch4.pi, ch4.prd (inventory-year activity = base production, to avoid a loop; legacy holds 2022-2023 at the base anyway). Note: legacy CHOOSE reads the Net Zero row for the third and fourth demand scenarios.</w:t>
            </w:r>
          </w:p>
        </w:tc>
      </w:tr>
      <w:tr>
        <w:tc>
          <w:tcPr>
            <w:tcW w:type="dxa" w:w="680"/>
          </w:tcPr>
          <w:p>
            <w:pPr>
              <w:spacing w:after="20"/>
            </w:pPr>
            <w:r>
              <w:rPr>
                <w:rFonts w:ascii="Arial" w:hAnsi="Arial"/>
                <w:b w:val="0"/>
                <w:sz w:val="15"/>
              </w:rPr>
              <w:t>I67</w:t>
            </w:r>
          </w:p>
        </w:tc>
        <w:tc>
          <w:tcPr>
            <w:tcW w:type="dxa" w:w="2948"/>
          </w:tcPr>
          <w:p>
            <w:pPr>
              <w:spacing w:after="20"/>
            </w:pPr>
            <w:r>
              <w:rPr>
                <w:rFonts w:ascii="Arial" w:hAnsi="Arial"/>
                <w:b w:val="0"/>
                <w:sz w:val="15"/>
              </w:rPr>
              <w:t>Intensity NDC: China CO2 hard-coded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v5.7: no hard-coded value; data or model (departure by design, user rule: data not typed).</w:t>
            </w:r>
          </w:p>
        </w:tc>
      </w:tr>
      <w:tr>
        <w:tc>
          <w:tcPr>
            <w:tcW w:type="dxa" w:w="680"/>
          </w:tcPr>
          <w:p>
            <w:pPr>
              <w:spacing w:after="20"/>
            </w:pPr>
            <w:r>
              <w:rPr>
                <w:rFonts w:ascii="Arial" w:hAnsi="Arial"/>
                <w:b w:val="0"/>
                <w:sz w:val="15"/>
              </w:rPr>
              <w:t>I68</w:t>
            </w:r>
          </w:p>
        </w:tc>
        <w:tc>
          <w:tcPr>
            <w:tcW w:type="dxa" w:w="2948"/>
          </w:tcPr>
          <w:p>
            <w:pPr>
              <w:spacing w:after="20"/>
            </w:pPr>
            <w:r>
              <w:rPr>
                <w:rFonts w:ascii="Arial" w:hAnsi="Arial"/>
                <w:b w:val="0"/>
                <w:sz w:val="15"/>
              </w:rPr>
              <w:t>NDC reference years outside the data</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v5.7: GDP solved (WEO NGDP_R, 2000-2040). v6.1: reference years 2021-2024 read the GHGs inventory (rows ndc.hc, ndc.hv), 2022 onwards the model. Still open: historical GHGs 2018-2020 (GHGHist ends 2017, CO2 2020): data request.</w:t>
            </w:r>
          </w:p>
        </w:tc>
      </w:tr>
      <w:tr>
        <w:tc>
          <w:tcPr>
            <w:tcW w:type="dxa" w:w="680"/>
          </w:tcPr>
          <w:p>
            <w:pPr>
              <w:spacing w:after="20"/>
            </w:pPr>
            <w:r>
              <w:rPr>
                <w:rFonts w:ascii="Arial" w:hAnsi="Arial"/>
                <w:b w:val="0"/>
                <w:sz w:val="15"/>
              </w:rPr>
              <w:t>I69</w:t>
            </w:r>
          </w:p>
        </w:tc>
        <w:tc>
          <w:tcPr>
            <w:tcW w:type="dxa" w:w="2948"/>
          </w:tcPr>
          <w:p>
            <w:pPr>
              <w:spacing w:after="20"/>
            </w:pPr>
            <w:r>
              <w:rPr>
                <w:rFonts w:ascii="Arial" w:hAnsi="Arial"/>
                <w:b w:val="0"/>
                <w:sz w:val="15"/>
              </w:rPr>
              <w:t>Air-pollution co-benefits (health, mortality)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I70</w:t>
            </w:r>
          </w:p>
        </w:tc>
        <w:tc>
          <w:tcPr>
            <w:tcW w:type="dxa" w:w="2948"/>
          </w:tcPr>
          <w:p>
            <w:pPr>
              <w:spacing w:after="20"/>
            </w:pPr>
            <w:r>
              <w:rPr>
                <w:rFonts w:ascii="Arial" w:hAnsi="Arial"/>
                <w:b w:val="0"/>
                <w:sz w:val="15"/>
              </w:rPr>
              <w:t>Transport externalities (congestion, accidents, road damage)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I71</w:t>
            </w:r>
          </w:p>
        </w:tc>
        <w:tc>
          <w:tcPr>
            <w:tcW w:type="dxa" w:w="2948"/>
          </w:tcPr>
          <w:p>
            <w:pPr>
              <w:spacing w:after="20"/>
            </w:pPr>
            <w:r>
              <w:rPr>
                <w:rFonts w:ascii="Arial" w:hAnsi="Arial"/>
                <w:b w:val="0"/>
                <w:sz w:val="15"/>
              </w:rPr>
              <w:t>Fuel use grows with total GDP: population gets the income elasticity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w:t>
            </w:r>
          </w:p>
        </w:tc>
      </w:tr>
      <w:tr>
        <w:tc>
          <w:tcPr>
            <w:tcW w:type="dxa" w:w="680"/>
          </w:tcPr>
          <w:p>
            <w:pPr>
              <w:spacing w:after="20"/>
            </w:pPr>
            <w:r>
              <w:rPr>
                <w:rFonts w:ascii="Arial" w:hAnsi="Arial"/>
                <w:b w:val="0"/>
                <w:sz w:val="15"/>
              </w:rPr>
              <w:t>I72</w:t>
            </w:r>
          </w:p>
        </w:tc>
        <w:tc>
          <w:tcPr>
            <w:tcW w:type="dxa" w:w="2948"/>
          </w:tcPr>
          <w:p>
            <w:pPr>
              <w:spacing w:after="20"/>
            </w:pPr>
            <w:r>
              <w:rPr>
                <w:rFonts w:ascii="Arial" w:hAnsi="Arial"/>
                <w:b w:val="0"/>
                <w:sz w:val="15"/>
              </w:rPr>
              <w:t>GDP feedback timing: same-year effects must never reach same-year demand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w:t>
            </w:r>
          </w:p>
        </w:tc>
      </w:tr>
      <w:tr>
        <w:tc>
          <w:tcPr>
            <w:tcW w:type="dxa" w:w="680"/>
          </w:tcPr>
          <w:p>
            <w:pPr>
              <w:spacing w:after="20"/>
            </w:pPr>
            <w:r>
              <w:rPr>
                <w:rFonts w:ascii="Arial" w:hAnsi="Arial"/>
                <w:b w:val="0"/>
                <w:sz w:val="15"/>
              </w:rPr>
              <w:t>I73</w:t>
            </w:r>
          </w:p>
        </w:tc>
        <w:tc>
          <w:tcPr>
            <w:tcW w:type="dxa" w:w="2948"/>
          </w:tcPr>
          <w:p>
            <w:pPr>
              <w:spacing w:after="20"/>
            </w:pPr>
            <w:r>
              <w:rPr>
                <w:rFonts w:ascii="Arial" w:hAnsi="Arial"/>
                <w:b w:val="0"/>
                <w:sz w:val="15"/>
              </w:rPr>
              <w:t>Scenario-1 lookups must end at the current column</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w:t>
            </w:r>
          </w:p>
        </w:tc>
      </w:tr>
      <w:tr>
        <w:tc>
          <w:tcPr>
            <w:tcW w:type="dxa" w:w="680"/>
          </w:tcPr>
          <w:p>
            <w:pPr>
              <w:spacing w:after="20"/>
            </w:pPr>
            <w:r>
              <w:rPr>
                <w:rFonts w:ascii="Arial" w:hAnsi="Arial"/>
                <w:b w:val="0"/>
                <w:sz w:val="15"/>
              </w:rPr>
              <w:t>I74</w:t>
            </w:r>
          </w:p>
        </w:tc>
        <w:tc>
          <w:tcPr>
            <w:tcW w:type="dxa" w:w="2948"/>
          </w:tcPr>
          <w:p>
            <w:pPr>
              <w:spacing w:after="20"/>
            </w:pPr>
            <w:r>
              <w:rPr>
                <w:rFonts w:ascii="Arial" w:hAnsi="Arial"/>
                <w:b w:val="0"/>
                <w:sz w:val="15"/>
              </w:rPr>
              <w:t>Methane calibration bases must be data or base-year values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no bug. The source allocation uses energy-balance data (row 894) and the energy CH4 calibration (row 7548) uses the first two years and applies the factor from the third (it reads only earlier years). The prototype calibrated on GHGYear (2024) in every year (its own design) and now reads stored scenario-1 values; the fiscal space uses the stored scenario-1 activity (I47).</w:t>
            </w:r>
          </w:p>
        </w:tc>
      </w:tr>
      <w:tr>
        <w:tc>
          <w:tcPr>
            <w:tcW w:type="dxa" w:w="680"/>
          </w:tcPr>
          <w:p>
            <w:pPr>
              <w:spacing w:after="20"/>
            </w:pPr>
            <w:r>
              <w:rPr>
                <w:rFonts w:ascii="Arial" w:hAnsi="Arial"/>
                <w:b w:val="0"/>
                <w:sz w:val="15"/>
              </w:rPr>
              <w:t>I75</w:t>
            </w:r>
          </w:p>
        </w:tc>
        <w:tc>
          <w:tcPr>
            <w:tcW w:type="dxa" w:w="2948"/>
          </w:tcPr>
          <w:p>
            <w:pPr>
              <w:spacing w:after="20"/>
            </w:pPr>
            <w:r>
              <w:rPr>
                <w:rFonts w:ascii="Arial" w:hAnsi="Arial"/>
                <w:b w:val="0"/>
                <w:sz w:val="15"/>
              </w:rPr>
              <w:t>Legacy code inconsistencies (CPAT code protocol)</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v7.2 (codes R0-R9): the prototype codes follow the protocol; legacy codes that differ are aliases (crosswalk, LiveOutputs alias column). Open review rows: excel_ai/plans/TODO_Codes.md.</w:t>
            </w:r>
          </w:p>
        </w:tc>
      </w:tr>
    </w:tbl>
    <w:p/>
    <w:p>
      <w:pPr>
        <w:pStyle w:val="Heading3"/>
      </w:pPr>
      <w:r>
        <w:t>I1  Not yet run in Excel</w:t>
      </w:r>
    </w:p>
    <w:p>
      <w:pPr>
        <w:spacing w:after="80"/>
      </w:pPr>
      <w:r>
        <w:rPr>
          <w:sz w:val="18"/>
        </w:rPr>
        <w:t>The workbook and its VBA project were generated and tested without Excel (LibreOffice). Open it, enable macros and run CheckBatchRun once; if Excel rejects the VBA project, import CPATScenarios.bas.</w:t>
      </w:r>
    </w:p>
    <w:p>
      <w:pPr>
        <w:spacing w:after="80"/>
      </w:pPr>
      <w:r>
        <w:rPr>
          <w:b/>
          <w:sz w:val="18"/>
        </w:rPr>
        <w:t xml:space="preserve">Status: </w:t>
      </w:r>
      <w:r>
        <w:rPr>
          <w:sz w:val="18"/>
        </w:rPr>
        <w:t>mvp; Major, Open. Review in Excel 365 (TODO). Documented in: TODO; Methods, chapter Macro and results.</w:t>
      </w:r>
    </w:p>
    <w:p>
      <w:pPr>
        <w:pStyle w:val="Heading3"/>
      </w:pPr>
      <w:r>
        <w:t>I2  Excel versions</w:t>
      </w:r>
    </w:p>
    <w:p>
      <w:pPr>
        <w:spacing w:after="80"/>
      </w:pPr>
      <w:r>
        <w:rPr>
          <w:sz w:val="18"/>
        </w:rPr>
        <w:t>2022-2040 need Excel 2019 or later (MINIFS, AGGREGATE); the last year 2041 is the LAMBDA year and needs Excel 365.</w:t>
      </w:r>
    </w:p>
    <w:p>
      <w:pPr>
        <w:spacing w:after="80"/>
      </w:pPr>
      <w:r>
        <w:rPr>
          <w:b/>
          <w:sz w:val="18"/>
        </w:rPr>
        <w:t xml:space="preserve">Status: </w:t>
      </w:r>
      <w:r>
        <w:rPr>
          <w:sz w:val="18"/>
        </w:rPr>
        <w:t>mvp; Minor, Accepted.  Documented in: README; NORMS (LAMBDA year).</w:t>
      </w:r>
    </w:p>
    <w:p>
      <w:pPr>
        <w:pStyle w:val="Heading3"/>
      </w:pPr>
      <w:r>
        <w:t>I3  New sector | fuel pairs need a label</w:t>
      </w:r>
    </w:p>
    <w:p>
      <w:pPr>
        <w:spacing w:after="80"/>
      </w:pPr>
      <w:r>
        <w:rPr>
          <w:sz w:val="18"/>
        </w:rPr>
        <w:t>A new pair on Mitigation needs a row in the member-label table on Mapping, or its description shows #N/A (20 spare rows in the defined name).</w:t>
      </w:r>
    </w:p>
    <w:p>
      <w:pPr>
        <w:spacing w:after="80"/>
      </w:pPr>
      <w:r>
        <w:rPr>
          <w:b/>
          <w:sz w:val="18"/>
        </w:rPr>
        <w:t xml:space="preserve">Status: </w:t>
      </w:r>
      <w:r>
        <w:rPr>
          <w:sz w:val="18"/>
        </w:rPr>
        <w:t>mvp; Minor, Accepted.  Documented in: CAVEATS v1.08.</w:t>
      </w:r>
    </w:p>
    <w:p>
      <w:pPr>
        <w:pStyle w:val="Heading3"/>
      </w:pPr>
      <w:r>
        <w:t>I4  Price vintage: data prices end in 2022, as legacy</w:t>
      </w:r>
    </w:p>
    <w:p>
      <w:pPr>
        <w:spacing w:after="80"/>
      </w:pPr>
      <w:r>
        <w:rPr>
          <w:sz w:val="18"/>
        </w:rPr>
        <w:t>The last historical price year is 2022 (Settings C10, v3.7), as legacy, whose prices stay near their 2022 USD level.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p>
    <w:p>
      <w:pPr>
        <w:spacing w:after="80"/>
      </w:pPr>
      <w:r>
        <w:rPr>
          <w:b/>
          <w:sz w:val="18"/>
        </w:rPr>
        <w:t xml:space="preserve">Status: </w:t>
      </w:r>
      <w:r>
        <w:rPr>
          <w:sz w:val="18"/>
        </w:rPr>
        <w:t>replicated; Major, Accepted. Decided 2026-10-15: 2022 as legacy. Documented in: legacy_comparison_v6_4.md; Methods, chapter Prices A7.</w:t>
      </w:r>
    </w:p>
    <w:p>
      <w:pPr>
        <w:pStyle w:val="Heading3"/>
      </w:pPr>
      <w:r>
        <w:t>I5  Totals include power since v1.09</w:t>
      </w:r>
    </w:p>
    <w:p>
      <w:pPr>
        <w:spacing w:after="80"/>
      </w:pPr>
      <w:r>
        <w:rPr>
          <w:sz w:val="18"/>
        </w:rPr>
        <w:t>Fuel use and revenue totals of v1.09 and later include power and are not comparable with v1.08 and earlier outputs.</w:t>
      </w:r>
    </w:p>
    <w:p>
      <w:pPr>
        <w:spacing w:after="80"/>
      </w:pPr>
      <w:r>
        <w:rPr>
          <w:b/>
          <w:sz w:val="18"/>
        </w:rPr>
        <w:t xml:space="preserve">Status: </w:t>
      </w:r>
      <w:r>
        <w:rPr>
          <w:sz w:val="18"/>
        </w:rPr>
        <w:t>mvp; Minor, Accepted.  Documented in: CAVEATS v1.09.</w:t>
      </w:r>
    </w:p>
    <w:p>
      <w:pPr>
        <w:pStyle w:val="Heading3"/>
      </w:pPr>
      <w:r>
        <w:t>I6  Electricity subsidy gap is signed</w:t>
      </w:r>
    </w:p>
    <w:p>
      <w:pPr>
        <w:spacing w:after="80"/>
      </w:pPr>
      <w:r>
        <w:rPr>
          <w:sz w:val="18"/>
        </w:rPr>
        <w:t>Subsidies are negative (v2.4): the gap is negative when the tariff is below the modelled supply cost and positive when it is above; fuel subsidies count the negative part of the existing taxes only.</w:t>
      </w:r>
    </w:p>
    <w:p>
      <w:pPr>
        <w:spacing w:after="80"/>
      </w:pPr>
      <w:r>
        <w:rPr>
          <w:b/>
          <w:sz w:val="18"/>
        </w:rPr>
        <w:t xml:space="preserve">Status: </w:t>
      </w:r>
      <w:r>
        <w:rPr>
          <w:sz w:val="18"/>
        </w:rPr>
        <w:t>not replicated; Minor, Accepted. Exception by decision (v2.4): sign convention only, values as legacy. Documented in: Methods, chapter Power 3.9.</w:t>
      </w:r>
    </w:p>
    <w:p>
      <w:pPr>
        <w:pStyle w:val="Heading3"/>
      </w:pPr>
      <w:r>
        <w:t>I9  The LAMBDA year 2041 needs LAMBDA support</w:t>
      </w:r>
    </w:p>
    <w:p>
      <w:pPr>
        <w:spacing w:after="80"/>
      </w:pPr>
      <w:r>
        <w:rPr>
          <w:sz w:val="18"/>
        </w:rPr>
        <w:t>Every calculated cell of 2041 calls its named LAMBDA. Without LAMBDA support (Excel before 365, LibreOffice) 2041 shows errors, and so does its column in MTOutputs.</w:t>
      </w:r>
    </w:p>
    <w:p>
      <w:pPr>
        <w:spacing w:after="80"/>
      </w:pPr>
      <w:r>
        <w:rPr>
          <w:b/>
          <w:sz w:val="18"/>
        </w:rPr>
        <w:t xml:space="preserve">Status: </w:t>
      </w:r>
      <w:r>
        <w:rPr>
          <w:sz w:val="18"/>
        </w:rPr>
        <w:t>mvp; Minor, Accepted.  Documented in: ReadMe (LAMBDAs, year 2041); NORMS.</w:t>
      </w:r>
    </w:p>
    <w:p>
      <w:pPr>
        <w:pStyle w:val="Heading3"/>
      </w:pPr>
      <w:r>
        <w:t>I10  Without LAMBDA support the power model looks ahead without 2041</w:t>
      </w:r>
    </w:p>
    <w:p>
      <w:pPr>
        <w:spacing w:after="80"/>
      </w:pPr>
      <w:r>
        <w:rPr>
          <w:sz w:val="18"/>
        </w:rPr>
        <w:t>The levelised variable cost (D9) uses last year's cost for 2041 (tvcx), and the moving average of fuel prices for power leaves 2041 out of 2039-2040. Power results 2022-2040 then differ slightly from Excel 365 (the check reports the size); stored results are the Excel 365 values.</w:t>
      </w:r>
    </w:p>
    <w:p>
      <w:pPr>
        <w:spacing w:after="80"/>
      </w:pPr>
      <w:r>
        <w:rPr>
          <w:b/>
          <w:sz w:val="18"/>
        </w:rPr>
        <w:t xml:space="preserve">Status: </w:t>
      </w:r>
      <w:r>
        <w:rPr>
          <w:sz w:val="18"/>
        </w:rPr>
        <w:t>mvp; Minor, Accepted.  Documented in: check report section 1; Methods, chapter Power.</w:t>
      </w:r>
    </w:p>
    <w:p>
      <w:pPr>
        <w:pStyle w:val="Heading3"/>
      </w:pPr>
      <w:r>
        <w:t>I11  Changing the last historical price year</w:t>
      </w:r>
    </w:p>
    <w:p>
      <w:pPr>
        <w:spacing w:after="80"/>
      </w:pPr>
      <w:r>
        <w:rPr>
          <w:sz w:val="18"/>
        </w:rPr>
        <w:t>Prices have separate history and projection blocks; changing Settings C10 needs the blocks re-dragged (or the LAMBDA of the row, sheet Lambdas, copied left over the row).</w:t>
      </w:r>
    </w:p>
    <w:p>
      <w:pPr>
        <w:spacing w:after="80"/>
      </w:pPr>
      <w:r>
        <w:rPr>
          <w:b/>
          <w:sz w:val="18"/>
        </w:rPr>
        <w:t xml:space="preserve">Status: </w:t>
      </w:r>
      <w:r>
        <w:rPr>
          <w:sz w:val="18"/>
        </w:rPr>
        <w:t>mvp; Minor, Accepted.  Documented in: README.</w:t>
      </w:r>
    </w:p>
    <w:p>
      <w:pPr>
        <w:pStyle w:val="Heading3"/>
      </w:pPr>
      <w:r>
        <w:t>I12  Values after 2030</w:t>
      </w:r>
    </w:p>
    <w:p>
      <w:pPr>
        <w:spacing w:after="80"/>
      </w:pPr>
      <w:r>
        <w:rPr>
          <w:sz w:val="18"/>
        </w:rPr>
        <w:t>Not a legacy target; the legacy CPI is held flat after 2031.</w:t>
      </w:r>
    </w:p>
    <w:p>
      <w:pPr>
        <w:spacing w:after="80"/>
      </w:pPr>
      <w:r>
        <w:rPr>
          <w:b/>
          <w:sz w:val="18"/>
        </w:rPr>
        <w:t xml:space="preserve">Status: </w:t>
      </w:r>
      <w:r>
        <w:rPr>
          <w:sz w:val="18"/>
        </w:rPr>
        <w:t>mvp; Minor, Accepted.  Documented in: LegacyDiff.</w:t>
      </w:r>
    </w:p>
    <w:p>
      <w:pPr>
        <w:pStyle w:val="Heading3"/>
      </w:pPr>
      <w:r>
        <w:t>I13  Data for other countries: proprietary tables are Egypt only</w:t>
      </w:r>
    </w:p>
    <w:p>
      <w:pPr>
        <w:spacing w:after="80"/>
      </w:pPr>
      <w:r>
        <w:rPr>
          <w:sz w:val="18"/>
        </w:rPr>
        <w:t>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p>
    <w:p>
      <w:pPr>
        <w:spacing w:after="80"/>
      </w:pPr>
      <w:r>
        <w:rPr>
          <w:b/>
          <w:sz w:val="18"/>
        </w:rPr>
        <w:t xml:space="preserve">Status: </w:t>
      </w:r>
      <w:r>
        <w:rPr>
          <w:sz w:val="18"/>
        </w:rPr>
        <w:t>mvp; Major, Open. Data for other countries (TODO). Documented in: README.</w:t>
      </w:r>
    </w:p>
    <w:p>
      <w:pPr>
        <w:pStyle w:val="Heading3"/>
      </w:pPr>
      <w:r>
        <w:t>I14  Distance to the legacy cached baseline</w:t>
      </w:r>
    </w:p>
    <w:p>
      <w:pPr>
        <w:spacing w:after="80"/>
      </w:pPr>
      <w:r>
        <w:rPr>
          <w:sz w:val="18"/>
        </w:rPr>
        <w:t>The prototype baseline differs from the cached legacy run, mainly through the fuel-use shock (I22), jet fuel (I19), the electricity price data (I20) and the fixed legacy bugs.</w:t>
      </w:r>
    </w:p>
    <w:p>
      <w:pPr>
        <w:spacing w:after="80"/>
      </w:pPr>
      <w:r>
        <w:rPr>
          <w:b/>
          <w:sz w:val="18"/>
        </w:rPr>
        <w:t xml:space="preserve">Status: </w:t>
      </w:r>
      <w:r>
        <w:rPr>
          <w:sz w:val="18"/>
        </w:rPr>
        <w:t>not replicated; Major, Accepted. v5.7: I25 closed (v5.6); the remaining distance is the documented data and bug-fix differences (legacy_comparison, LegacyDiff). Documented in: legacy_comparison_v6_4.md.</w:t>
      </w:r>
    </w:p>
    <w:p>
      <w:pPr>
        <w:pStyle w:val="Heading3"/>
      </w:pPr>
      <w:r>
        <w:t>I15  Subsidy rows changed sign in v2.4</w:t>
      </w:r>
    </w:p>
    <w:p>
      <w:pPr>
        <w:spacing w:after="80"/>
      </w:pPr>
      <w:r>
        <w:rPr>
          <w:sz w:val="18"/>
        </w:rPr>
        <w:t>esub, esubpu, rsub, prsub, sgap and rgap are negative from v2.4 (net existing revenue rnet = rtx + rsub, unchanged in value). Outputs stored with v2.3 or earlier have the opposite sign in these rows.</w:t>
      </w:r>
    </w:p>
    <w:p>
      <w:pPr>
        <w:spacing w:after="80"/>
      </w:pPr>
      <w:r>
        <w:rPr>
          <w:b/>
          <w:sz w:val="18"/>
        </w:rPr>
        <w:t xml:space="preserve">Status: </w:t>
      </w:r>
      <w:r>
        <w:rPr>
          <w:sz w:val="18"/>
        </w:rPr>
        <w:t>mvp; Minor, Accepted.  Documented in: CAVEATS v2.4; NORMS.</w:t>
      </w:r>
    </w:p>
    <w:p>
      <w:pPr>
        <w:pStyle w:val="Heading3"/>
      </w:pPr>
      <w:r>
        <w:t>I16  A new block needs its label row</w:t>
      </w:r>
    </w:p>
    <w:p>
      <w:pPr>
        <w:spacing w:after="80"/>
      </w:pPr>
      <w:r>
        <w:rPr>
          <w:sz w:val="18"/>
        </w:rPr>
        <w:t>Every block of rows on Mitigation has a label row above it (D:G parameter names from Variables G:J). Copy the label row with the block; a new variable needs its labels in Variables G:J.</w:t>
      </w:r>
    </w:p>
    <w:p>
      <w:pPr>
        <w:spacing w:after="80"/>
      </w:pPr>
      <w:r>
        <w:rPr>
          <w:b/>
          <w:sz w:val="18"/>
        </w:rPr>
        <w:t xml:space="preserve">Status: </w:t>
      </w:r>
      <w:r>
        <w:rPr>
          <w:sz w:val="18"/>
        </w:rPr>
        <w:t>mvp; Minor, Accepted.  Documented in: ReadMe (Layout and roll-up).</w:t>
      </w:r>
    </w:p>
    <w:p>
      <w:pPr>
        <w:pStyle w:val="Heading3"/>
      </w:pPr>
      <w:r>
        <w:t>I17  Egypt GHG inventory: energy CH4 breaks after 2021</w:t>
      </w:r>
    </w:p>
    <w:p>
      <w:pPr>
        <w:spacing w:after="80"/>
      </w:pPr>
      <w:r>
        <w:rPr>
          <w:sz w:val="18"/>
        </w:rPr>
        <w:t>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p>
    <w:p>
      <w:pPr>
        <w:spacing w:after="80"/>
      </w:pPr>
      <w:r>
        <w:rPr>
          <w:b/>
          <w:sz w:val="18"/>
        </w:rPr>
        <w:t xml:space="preserve">Status: </w:t>
      </w:r>
      <w:r>
        <w:rPr>
          <w:sz w:val="18"/>
        </w:rPr>
        <w:t>replicated; Major, Accepted. Decided 2026-10-15: calibrate to 2024 as legacy. Documented in: Methods, chapter Emissions (Data); CAVEATS v2.8.</w:t>
      </w:r>
    </w:p>
    <w:p>
      <w:pPr>
        <w:pStyle w:val="Heading3"/>
      </w:pPr>
      <w:r>
        <w:t>I18  GHG totals use energy CO2 without inventory adjustment (resolved v3.2)</w:t>
      </w:r>
    </w:p>
    <w:p>
      <w:pPr>
        <w:spacing w:after="80"/>
      </w:pPr>
      <w:r>
        <w:rPr>
          <w:sz w:val="18"/>
        </w:rPr>
        <w:t>Energy CO2 in section 14 was section 13 (IIASA EFs, no adjustment to the inventory) plus flaring: 225 Mt in 2022 against 252 Mt in the inventory. v3.2: every CO2 EF is calibrated to the inventory of GHGYear (Settings EFCalib), so 2024 matches; 2022 stays below the 2022 inventory because of the 2021-2022 inventory break (I17).</w:t>
      </w:r>
    </w:p>
    <w:p>
      <w:pPr>
        <w:spacing w:after="80"/>
      </w:pPr>
      <w:r>
        <w:rPr>
          <w:b/>
          <w:sz w:val="18"/>
        </w:rPr>
        <w:t xml:space="preserve">Status: </w:t>
      </w:r>
      <w:r>
        <w:rPr>
          <w:sz w:val="18"/>
        </w:rPr>
        <w:t>replicated; Minor, Resolved. v3.2 (switch, off by default as legacy since v3.4). Documented in: Methods, chapter Emissions; CAVEATS v3.2.</w:t>
      </w:r>
    </w:p>
    <w:p>
      <w:pPr>
        <w:pStyle w:val="Heading3"/>
      </w:pPr>
      <w:r>
        <w:t>I19  Jet fuel (replicated v3.11)</w:t>
      </w:r>
    </w:p>
    <w:p>
      <w:pPr>
        <w:spacing w:after="80"/>
      </w:pPr>
      <w:r>
        <w:rPr>
          <w:sz w:val="18"/>
        </w:rPr>
        <w:t>Legacy domestic aviation burns jet fuel (707 ktoe in 2022). Since v3.11 the prototype has the fuel jfu (aviation only, kerosene price build-up, legacy EF row 1011, kerosene carbon-tax coverage switch); the legacy comparison includes it.</w:t>
      </w:r>
    </w:p>
    <w:p>
      <w:pPr>
        <w:spacing w:after="80"/>
      </w:pPr>
      <w:r>
        <w:rPr>
          <w:b/>
          <w:sz w:val="18"/>
        </w:rPr>
        <w:t xml:space="preserve">Status: </w:t>
      </w:r>
      <w:r>
        <w:rPr>
          <w:sz w:val="18"/>
        </w:rPr>
        <w:t>replicated; Major, Resolved. v3.11. Documented in: Reviews_and_Surveys.md (section Sector_Equations_Survey) D1; CAVEATS v3.11.</w:t>
      </w:r>
    </w:p>
    <w:p>
      <w:pPr>
        <w:pStyle w:val="Heading3"/>
      </w:pPr>
      <w:r>
        <w:t>I20  Electricity price data differ from legacy</w:t>
      </w:r>
    </w:p>
    <w:p>
      <w:pPr>
        <w:spacing w:after="80"/>
      </w:pPr>
      <w:r>
        <w:rPr>
          <w:sz w:val="18"/>
        </w:rPr>
        <w:t>The corrected Egypt block supplied by the user (2026-10-09) gives residential 0.054, 0.048, 0.043 $/kWh nominal for 2022-2024; the legacy vintage has 0.097 in 2022. Electricity prices, power demand and the subsidy gap differ from legacy.</w:t>
      </w:r>
    </w:p>
    <w:p>
      <w:pPr>
        <w:spacing w:after="80"/>
      </w:pPr>
      <w:r>
        <w:rPr>
          <w:b/>
          <w:sz w:val="18"/>
        </w:rPr>
        <w:t xml:space="preserve">Status: </w:t>
      </w:r>
      <w:r>
        <w:rPr>
          <w:sz w:val="18"/>
        </w:rPr>
        <w:t>not replicated; Major, Accepted. Exception by user decision (corrected data, 2026-10-09). Documented in: Methods, chapter Power; LegacyDiff.</w:t>
      </w:r>
    </w:p>
    <w:p>
      <w:pPr>
        <w:pStyle w:val="Heading3"/>
      </w:pPr>
      <w:r>
        <w:t>I21  ETS: one auctioned share for every sector (replicated v4.15)</w:t>
      </w:r>
    </w:p>
    <w:p>
      <w:pPr>
        <w:spacing w:after="80"/>
      </w:pPr>
      <w:r>
        <w:rPr>
          <w:sz w:val="18"/>
        </w:rPr>
        <w:t>Legacy allocates by one auctioned share path (MTInputs rows 90-92, default 0: everything allocated free), the same for every sector. The prototype had benchmarks by sector group typed on Constants (v1.02), so an MTInputs auctioned share had no effect; since v4.15 the benchmarks are 1 - the MTInputs share of the scenario (user 2026-10-18), as legacy. Benchmarks by sector (output-based) come later.</w:t>
      </w:r>
    </w:p>
    <w:p>
      <w:pPr>
        <w:spacing w:after="80"/>
      </w:pPr>
      <w:r>
        <w:rPr>
          <w:b/>
          <w:sz w:val="18"/>
        </w:rPr>
        <w:t xml:space="preserve">Status: </w:t>
      </w:r>
      <w:r>
        <w:rPr>
          <w:sz w:val="18"/>
        </w:rPr>
        <w:t>replicated; Major, Accepted. v4.15 (user 2026-10-18): benchmarks = 1 - the MTInputs auctioned share (rows 90-91, one share for all sectors, as legacy); benchmarks by sector later. Documented in: Methods, chapter ETS; Methods, chapter ETS; LegacyDiff.</w:t>
      </w:r>
    </w:p>
    <w:p>
      <w:pPr>
        <w:pStyle w:val="Heading3"/>
      </w:pPr>
      <w:r>
        <w:t>I22  Fuel-use shock of 2023-2024 (replicated v3.11)</w:t>
      </w:r>
    </w:p>
    <w:p>
      <w:pPr>
        <w:spacing w:after="80"/>
      </w:pPr>
      <w:r>
        <w:rPr>
          <w:sz w:val="18"/>
        </w:rPr>
        <w:t>Every legacy fuel row multiplies by (1 + shock), row 2439 = row 483 ("Covid factor"): -20.8% in 2023, +9.2% in 2024, so fuel use is 13.5% lower from 2024 on. Replicated in v3.11 for fuels (header row 11) and power demand, switch Settings C19 on. Open questions kept: the label "Covid factor" does not fit 2023, legacy documents the effect as "Small", and the source of the two values is unknown.</w:t>
      </w:r>
    </w:p>
    <w:p>
      <w:pPr>
        <w:spacing w:after="80"/>
      </w:pPr>
      <w:r>
        <w:rPr>
          <w:b/>
          <w:sz w:val="18"/>
        </w:rPr>
        <w:t xml:space="preserve">Status: </w:t>
      </w:r>
      <w:r>
        <w:rPr>
          <w:sz w:val="18"/>
        </w:rPr>
        <w:t>replicated; Major, Accepted. Replicated v3.11; source of the values to trace. Documented in: Reviews_and_Surveys.md (section Sector_Equations_Survey) D2; LegacyDiff.</w:t>
      </w:r>
    </w:p>
    <w:p>
      <w:pPr>
        <w:pStyle w:val="Heading3"/>
      </w:pPr>
      <w:r>
        <w:t>I25  Industrial process emissions below legacy, not explained</w:t>
      </w:r>
    </w:p>
    <w:p>
      <w:pPr>
        <w:spacing w:after="80"/>
      </w:pPr>
      <w:r>
        <w:rPr>
          <w:sz w:val="18"/>
        </w:rPr>
        <w:t>Both follow increases in industrial energy CO2, yet the prototype is 57.2 against 66.5 Mt CO2e in 2024 and 94.9 against 119.2 in 2040.</w:t>
      </w:r>
    </w:p>
    <w:p>
      <w:pPr>
        <w:spacing w:after="80"/>
      </w:pPr>
      <w:r>
        <w:rPr>
          <w:b/>
          <w:sz w:val="18"/>
        </w:rPr>
        <w:t xml:space="preserve">Status: </w:t>
      </w:r>
      <w:r>
        <w:rPr>
          <w:sz w:val="18"/>
        </w:rPr>
        <w:t>replicated; Major, Resolved. Traced (v5.6): legacy process emissions = 2023 inventory x the year-on-year growth of industrial energy CO2 (row 6576; 2024: +16.8%, the rebound after the 2023 demand shock, so 56.9 -&gt; 66.5). The prototype floored that growth at 0 (a departure: removed in v5.6, as legacy). The remaining gap is the industrial energy CO2 path, part of the fuel-use gap (I14). Documented in: legacy_comparison_v6_4.md; CAVEATS v2.8.</w:t>
      </w:r>
    </w:p>
    <w:p>
      <w:pPr>
        <w:pStyle w:val="Heading3"/>
      </w:pPr>
      <w:r>
        <w:t>I26  GHG defaults not yet checked against legacy</w:t>
      </w:r>
    </w:p>
    <w:p>
      <w:pPr>
        <w:spacing w:after="80"/>
      </w:pPr>
      <w:r>
        <w:rPr>
          <w:sz w:val="18"/>
        </w:rPr>
        <w:t>Oil, gas and coal production held at the base year (fuel supply methane) and energy N2O moving with energy CO2 were applied as defaults in v2.8; their legacy counterparts are not yet checked.</w:t>
      </w:r>
    </w:p>
    <w:p>
      <w:pPr>
        <w:spacing w:after="80"/>
      </w:pPr>
      <w:r>
        <w:rPr>
          <w:b/>
          <w:sz w:val="18"/>
        </w:rPr>
        <w:t xml:space="preserve">Status: </w:t>
      </w:r>
      <w:r>
        <w:rPr>
          <w:sz w:val="18"/>
        </w:rPr>
        <w:t>replicated; Minor, Resolved. Checked (v5.6): energy N2O moves with energy CO2 as legacy (row 7549 = previous x CO2 ratio). Production for fuel-supply methane differs: now issue I66. Documented in: Methods, chapter Emissions; CAVEATS v2.8.</w:t>
      </w:r>
    </w:p>
    <w:p>
      <w:pPr>
        <w:pStyle w:val="Heading3"/>
      </w:pPr>
      <w:r>
        <w:t>I28  Engineer road model: calibration open</w:t>
      </w:r>
    </w:p>
    <w:p>
      <w:pPr>
        <w:spacing w:after="80"/>
      </w:pPr>
      <w:r>
        <w:rPr>
          <w:sz w:val="18"/>
        </w:rPr>
        <w:t>Off by default (TrModel = Elasticity, as the legacy Egypt run). Range anxiety is legacy's stored values (Egypt 2025 passenger EV share 0.09% against 0.15% actual); the ownership decline limit (10% a year) is a placeholder.</w:t>
      </w:r>
    </w:p>
    <w:p>
      <w:pPr>
        <w:spacing w:after="80"/>
      </w:pPr>
      <w:r>
        <w:rPr>
          <w:b/>
          <w:sz w:val="18"/>
        </w:rPr>
        <w:t xml:space="preserve">Status: </w:t>
      </w:r>
      <w:r>
        <w:rPr>
          <w:sz w:val="18"/>
        </w:rPr>
        <w:t>replicated; Minor, Dropped. Parked, then dropped by the user (2026-10-20). Documented in: Methods, chapter Transport.</w:t>
      </w:r>
    </w:p>
    <w:p>
      <w:pPr>
        <w:pStyle w:val="Heading3"/>
      </w:pPr>
      <w:r>
        <w:t>I29  Excel repair prompt (resolved v3.7)</w:t>
      </w:r>
    </w:p>
    <w:p>
      <w:pPr>
        <w:spacing w:after="80"/>
      </w:pPr>
      <w:r>
        <w:rPr>
          <w:sz w:val="18"/>
        </w:rPr>
        <w:t>Excel 365 removed the cell formulas calling the LAMBDAs SCALE and SHARE (found by bisection with the repair log); renamed SCALEBY and SHAREOF in v3.7. The quick check opens the file in Excel where Excel is installed.</w:t>
      </w:r>
    </w:p>
    <w:p>
      <w:pPr>
        <w:spacing w:after="80"/>
      </w:pPr>
      <w:r>
        <w:rPr>
          <w:b/>
          <w:sz w:val="18"/>
        </w:rPr>
        <w:t xml:space="preserve">Status: </w:t>
      </w:r>
      <w:r>
        <w:rPr>
          <w:sz w:val="18"/>
        </w:rPr>
        <w:t>mvp; Minor, Resolved. v3.7: LAMBDAs renamed; confirm in Excel (quick check on Windows). Documented in: CAVEATS v3.6 (variants entry); check_quick.py.</w:t>
      </w:r>
    </w:p>
    <w:p>
      <w:pPr>
        <w:pStyle w:val="Heading3"/>
      </w:pPr>
      <w:r>
        <w:t>I30  ETS goal seek short of the cap in definition 5</w:t>
      </w:r>
    </w:p>
    <w:p>
      <w:pPr>
        <w:spacing w:after="80"/>
      </w:pPr>
      <w:r>
        <w:rPr>
          <w:sz w:val="18"/>
        </w:rPr>
        <w:t>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p>
    <w:p>
      <w:pPr>
        <w:spacing w:after="80"/>
      </w:pPr>
      <w:r>
        <w:rPr>
          <w:b/>
          <w:sz w:val="18"/>
        </w:rPr>
        <w:t xml:space="preserve">Status: </w:t>
      </w:r>
      <w:r>
        <w:rPr>
          <w:sz w:val="18"/>
        </w:rPr>
        <w:t>mvp; Minor, Open. Tested separately by the user (2026-10-19); no goal-seek runs in builds or checks (NORMS 5). Last full check (v5.3): worst gap 0.0265 after 20 iterations. Documented in: ets_goalseek.py; CAVEATS v3.7.</w:t>
      </w:r>
    </w:p>
    <w:p>
      <w:pPr>
        <w:pStyle w:val="Heading3"/>
      </w:pPr>
      <w:r>
        <w:t>I31  Average prices mix price and composition changes</w:t>
      </w:r>
    </w:p>
    <w:p>
      <w:pPr>
        <w:spacing w:after="80"/>
      </w:pPr>
      <w:r>
        <w:rPr>
          <w:sz w:val="18"/>
        </w:rPr>
        <w:t>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 "price change" with no price moving. Survey v4.15: coal and gas are averaged over power generation, residential and the 8 industry subsectors with baseline quantities (a Laspeyres index), electricity with each scenario's own consumption, oil products are single prices. v4.15 replicates legacy as the default (Settings C54 Legacy*; pav.leg, pav.lidx, pav.idx), the prototype's Laspeyres index over all final uses as the option.</w:t>
      </w:r>
    </w:p>
    <w:p>
      <w:pPr>
        <w:spacing w:after="80"/>
      </w:pPr>
      <w:r>
        <w:rPr>
          <w:b/>
          <w:sz w:val="18"/>
        </w:rPr>
        <w:t xml:space="preserve">Status: </w:t>
      </w:r>
      <w:r>
        <w:rPr>
          <w:sz w:val="18"/>
        </w:rPr>
        <w:t>replicated; Major, Accepted. v4.15 (user 2026-10-18): legacy averages are the default (pav.leg, pav.lidx, pav.idx; Settings C54 Legacy*), the Laspeyres index kept as an option. Documented in: Reviews_and_Surveys.md (section Downstream_Survey) F5; PriceProjection_Method.</w:t>
      </w:r>
    </w:p>
    <w:p>
      <w:pPr>
        <w:pStyle w:val="Heading3"/>
      </w:pPr>
      <w:r>
        <w:t>I32  Energy CO2 calibration to the inventory: as legacy since v4.11</w:t>
      </w:r>
    </w:p>
    <w:p>
      <w:pPr>
        <w:spacing w:after="80"/>
      </w:pPr>
      <w:r>
        <w:rPr>
          <w:sz w:val="18"/>
        </w:rPr>
        <w:t>Legacy row 7520 ("Adjust EFs to match energy-related CO2 to UNFCCC inventories?",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v4.11 replicates legacy (user 2026-10-18: go with legacy); before, the prototype calibrated in 2024 and kept the switch off (user decisions v3.2, v3.4).</w:t>
      </w:r>
    </w:p>
    <w:p>
      <w:pPr>
        <w:spacing w:after="80"/>
      </w:pPr>
      <w:r>
        <w:rPr>
          <w:b/>
          <w:sz w:val="18"/>
        </w:rPr>
        <w:t xml:space="preserve">Status: </w:t>
      </w:r>
      <w:r>
        <w:rPr>
          <w:sz w:val="18"/>
        </w:rPr>
        <w:t>replicated; Major, Accepted. Replicated in v4.11 (user 2026-10-18: go with legacy); the inventory break (I17) stays in the factor, as legacy. Documented in: Methods, chapter Macro and results; Methods, chapter Emissions; CAVEATS v4.11.</w:t>
      </w:r>
    </w:p>
    <w:p>
      <w:pPr>
        <w:pStyle w:val="Heading3"/>
      </w:pPr>
      <w:r>
        <w:t>I33  Data step overwrites the corrected Egypt prices</w:t>
      </w:r>
    </w:p>
    <w:p>
      <w:pPr>
        <w:spacing w:after="80"/>
      </w:pPr>
      <w:r>
        <w:rPr>
          <w:sz w:val="18"/>
        </w:rPr>
        <w:t>extract_data rewrites every data file from its sources; prices_dom.csv then loses the corrected Egypt block (update_prices_egypt must run after it), and the files come out with CRLF line ends. v3.11 kept only the jet-fuel rows of its run.</w:t>
      </w:r>
    </w:p>
    <w:p>
      <w:pPr>
        <w:spacing w:after="80"/>
      </w:pPr>
      <w:r>
        <w:rPr>
          <w:b/>
          <w:sz w:val="18"/>
        </w:rPr>
        <w:t xml:space="preserve">Status: </w:t>
      </w:r>
      <w:r>
        <w:rPr>
          <w:sz w:val="18"/>
        </w:rPr>
        <w:t>mvp; Minor, Resolved. v5.7: extract_data writes LF line ends and runs update_prices_egypt after the price extraction, so the corrected Egypt block is kept. Documented in: CAVEATS v3.11.</w:t>
      </w:r>
    </w:p>
    <w:p>
      <w:pPr>
        <w:pStyle w:val="Heading3"/>
      </w:pPr>
      <w:r>
        <w:t>I34  CH4 of the air-pollution input table: methane sources by convention</w:t>
      </w:r>
    </w:p>
    <w:p>
      <w:pPr>
        <w:spacing w:after="80"/>
      </w:pPr>
      <w:r>
        <w:rPr>
          <w:sz w:val="18"/>
        </w:rPr>
        <w:t>Legacy rows 7283-7307 feed the air-pollution module CH4 by sector: oil and gas extraction methane under "other", agriculture and waste methane under "food &amp; forestry" (waste is not food or forestry), no combustion CH4 (no factors in legacy). v3.12 replicates the allocation and adds the combustion CH4 of each sector (GAINS factors, section 14), with all fossil fuel supply methane (extraction, downstream gas, coal mining, biomass) under "other".</w:t>
      </w:r>
    </w:p>
    <w:p>
      <w:pPr>
        <w:spacing w:after="80"/>
      </w:pPr>
      <w:r>
        <w:rPr>
          <w:b/>
          <w:sz w:val="18"/>
        </w:rPr>
        <w:t xml:space="preserve">Status: </w:t>
      </w:r>
      <w:r>
        <w:rPr>
          <w:sz w:val="18"/>
        </w:rPr>
        <w:t>replicated; Minor, Accepted. As legacy (v3.12); to confirm: combustion CH4 added, all fuel supply methane under other. Documented in: Methods, chapter Emissions; CAVEATS v3.12.</w:t>
      </w:r>
    </w:p>
    <w:p>
      <w:pPr>
        <w:pStyle w:val="Heading3"/>
      </w:pPr>
      <w:r>
        <w:t>I36  Effective carbon rate counts VAT and subsidies</w:t>
      </w:r>
    </w:p>
    <w:p>
      <w:pPr>
        <w:spacing w:after="80"/>
      </w:pPr>
      <w:r>
        <w:rPr>
          <w:sz w:val="18"/>
        </w:rPr>
        <w:t>Legacy's effective carbon rate (row 16647) and total carbon price (F5d) divide revenue net of subsidies, VAT included, by CO2; the OECD effective carbon rate counts carbon taxes, fuel excises and permit prices only. The prototype replicates the legacy definition (section 17, v3.15) and says so in the note; Egypt has negative rates (subsidies exceed taxes).</w:t>
      </w:r>
    </w:p>
    <w:p>
      <w:pPr>
        <w:spacing w:after="80"/>
      </w:pPr>
      <w:r>
        <w:rPr>
          <w:b/>
          <w:sz w:val="18"/>
        </w:rPr>
        <w:t xml:space="preserve">Status: </w:t>
      </w:r>
      <w:r>
        <w:rPr>
          <w:sz w:val="18"/>
        </w:rPr>
        <w:t>replicated; Minor, Accepted. As legacy (v3.15); an OECD-style rate (carbon taxes, excises, permits) could be added as a memo. Documented in: Methods, chapter Macro and results; CAVEATS v3.15.</w:t>
      </w:r>
    </w:p>
    <w:p>
      <w:pPr>
        <w:pStyle w:val="Heading3"/>
      </w:pPr>
      <w:r>
        <w:t>I37  Primary energy of renewables: efficiencies not exactly 1</w:t>
      </w:r>
    </w:p>
    <w:p>
      <w:pPr>
        <w:spacing w:after="80"/>
      </w:pPr>
      <w:r>
        <w:rPr>
          <w:sz w:val="18"/>
        </w:rPr>
        <w:t>Legacy power data give wind, solar and hydro efficiencies of 1.004, 1.026 and 0.937, so their primary energy (generation / efficiency) differs from the physical energy content convention (1); solar shows more output than input. It enters total primary energy supply (Kaya, v3.18) and the power fuel totals; about 0.1% of TPES for Egypt.</w:t>
      </w:r>
    </w:p>
    <w:p>
      <w:pPr>
        <w:spacing w:after="80"/>
      </w:pPr>
      <w:r>
        <w:rPr>
          <w:b/>
          <w:sz w:val="18"/>
        </w:rPr>
        <w:t xml:space="preserve">Status: </w:t>
      </w:r>
      <w:r>
        <w:rPr>
          <w:sz w:val="18"/>
        </w:rPr>
        <w:t>replicated; Minor, Accepted. As legacy (v3.18); set the renewable efficiencies to 1 if the data are confirmed. Documented in: Methods, chapter Macro and results.</w:t>
      </w:r>
    </w:p>
    <w:p>
      <w:pPr>
        <w:pStyle w:val="Heading3"/>
      </w:pPr>
      <w:r>
        <w:t>I38  Legacy's stored run: wind and solar capex time factors 2039-2041 differ from its Power tab</w:t>
      </w:r>
    </w:p>
    <w:p>
      <w:pPr>
        <w:spacing w:after="80"/>
      </w:pPr>
      <w:r>
        <w:rPr>
          <w:sz w:val="18"/>
        </w:rPr>
        <w:t>Legacy Mitigation reads the capital cost time factors of wind and solar from the Power tab; its cached values for 2039-2041 (wind 0.920, 0.915, 0.909) disagree with the cached Power cells they reference (0.923, 0.920, 0.918), apparently a stale cache in the distributed file. Since v4.7 the prototype computes the factors from the Power tab by formula, so its power results (new capacity and investment of solar, wind and gas, then power fuel use and emissions) depart from legacy's stored run from 2039; nothing changes before 2039.</w:t>
      </w:r>
    </w:p>
    <w:p>
      <w:pPr>
        <w:spacing w:after="80"/>
      </w:pPr>
      <w:r>
        <w:rPr>
          <w:b/>
          <w:sz w:val="18"/>
        </w:rPr>
        <w:t xml:space="preserve">Status: </w:t>
      </w:r>
      <w:r>
        <w:rPr>
          <w:sz w:val="18"/>
        </w:rPr>
        <w:t>replicated; Minor, Accepted. v4.7: the formula follows the Power tab; recheck against a fresh legacy run. Documented in: Methods, chapter Data tabs; CAVEATS v4.7.</w:t>
      </w:r>
    </w:p>
    <w:p>
      <w:pPr>
        <w:pStyle w:val="Heading3"/>
      </w:pPr>
      <w:r>
        <w:t>I39  VAT on oil products charged on the household share only (replicated v4.12)</w:t>
      </w:r>
    </w:p>
    <w:p>
      <w:pPr>
        <w:spacing w:after="80"/>
      </w:pPr>
      <w:r>
        <w:rPr>
          <w:sz w:val="18"/>
        </w:rPr>
        <w:t>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v4.12 (LD5; user 2026-10-18: an issue, not a bug).</w:t>
      </w:r>
    </w:p>
    <w:p>
      <w:pPr>
        <w:spacing w:after="80"/>
      </w:pPr>
      <w:r>
        <w:rPr>
          <w:b/>
          <w:sz w:val="18"/>
        </w:rPr>
        <w:t xml:space="preserve">Status: </w:t>
      </w:r>
      <w:r>
        <w:rPr>
          <w:sz w:val="18"/>
        </w:rPr>
        <w:t>replicated; Minor, Accepted. Replicated v4.12 (user 2026-10-18); a share by sector would need data by sector. Documented in: Methods, chapter Prices 5; LegacyDiff.</w:t>
      </w:r>
    </w:p>
    <w:p>
      <w:pPr>
        <w:pStyle w:val="Heading3"/>
      </w:pPr>
      <w:r>
        <w:t>I40  Road biofuels: feebate CO2 per liter scaled by the fossil share (replicated v4.12)</w:t>
      </w:r>
    </w:p>
    <w:p>
      <w:pPr>
        <w:spacing w:after="80"/>
      </w:pPr>
      <w:r>
        <w:rPr>
          <w:sz w:val="18"/>
        </w:rPr>
        <w:t>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v4.12 (LD62; user 2026-10-18). None for Egypt.</w:t>
      </w:r>
    </w:p>
    <w:p>
      <w:pPr>
        <w:spacing w:after="80"/>
      </w:pPr>
      <w:r>
        <w:rPr>
          <w:b/>
          <w:sz w:val="18"/>
        </w:rPr>
        <w:t xml:space="preserve">Status: </w:t>
      </w:r>
      <w:r>
        <w:rPr>
          <w:sz w:val="18"/>
        </w:rPr>
        <w:t>replicated; Minor, Accepted. Replicated v4.12 (user 2026-10-18); revisit if road fuels are modelled as blends. Documented in: Methods, chapter Transport; LegacyDiff.</w:t>
      </w:r>
    </w:p>
    <w:p>
      <w:pPr>
        <w:pStyle w:val="Heading3"/>
      </w:pPr>
      <w:r>
        <w:t>I41  GDP effects: the impulse is the change in revenue over this year's GDP (replicated v4.15)</w:t>
      </w:r>
    </w:p>
    <w:p>
      <w:pPr>
        <w:spacing w:after="80"/>
      </w:pPr>
      <w:r>
        <w:rPr>
          <w:sz w:val="18"/>
        </w:rPr>
        <w:t>Legacy row 14341 takes the yearly change of the revenue gain in USD over the current GDP, not the change of the gain as a share of GDP: with GDP growing, a constant share of GDP keeps giving impulses (Egypt: impulses sum to 4.9% of GDP against a final fiscal space of 3.5%). Replicated in v4.15 (user 2026-10-18: replicate legacy, note issues).</w:t>
      </w:r>
    </w:p>
    <w:p>
      <w:pPr>
        <w:spacing w:after="80"/>
      </w:pPr>
      <w:r>
        <w:rPr>
          <w:b/>
          <w:sz w:val="18"/>
        </w:rPr>
        <w:t xml:space="preserve">Status: </w:t>
      </w:r>
      <w:r>
        <w:rPr>
          <w:sz w:val="18"/>
        </w:rPr>
        <w:t>replicated; Major, Accepted. Replicated v4.15 (user 2026-10-18); the prototype form (change of the GDP share) is one line. Documented in: Methods, chapter Macro and results; LegacyDiff.</w:t>
      </w:r>
    </w:p>
    <w:p>
      <w:pPr>
        <w:pStyle w:val="Heading3"/>
      </w:pPr>
      <w:r>
        <w:t>I42  GDP effects: impulses only from GDPStartYear (replicated v4.15)</w:t>
      </w:r>
    </w:p>
    <w:p>
      <w:pPr>
        <w:spacing w:after="80"/>
      </w:pPr>
      <w:r>
        <w:rPr>
          <w:sz w:val="18"/>
        </w:rPr>
        <w:t>Legacy cohorts start in GDPStartYear (MTInputs row 236, Egypt 2025): revenue gained before it never acts on GDP, and the first cohort holds only the change of that year. Replicated in v4.15 (impulse 0 before GDPStartYear).</w:t>
      </w:r>
    </w:p>
    <w:p>
      <w:pPr>
        <w:spacing w:after="80"/>
      </w:pPr>
      <w:r>
        <w:rPr>
          <w:b/>
          <w:sz w:val="18"/>
        </w:rPr>
        <w:t xml:space="preserve">Status: </w:t>
      </w:r>
      <w:r>
        <w:rPr>
          <w:sz w:val="18"/>
        </w:rPr>
        <w:t>replicated; Minor, Accepted. Replicated v4.15. Documented in: Methods, chapter Macro and results.</w:t>
      </w:r>
    </w:p>
    <w:p>
      <w:pPr>
        <w:pStyle w:val="Heading3"/>
      </w:pPr>
      <w:r>
        <w:t>I43  GDP effects: revenue uses 0 before the carbon price starts (not replicated)</w:t>
      </w:r>
    </w:p>
    <w:p>
      <w:pPr>
        <w:spacing w:after="80"/>
      </w:pPr>
      <w:r>
        <w:rPr>
          <w:sz w:val="18"/>
        </w:rPr>
        <w:t>Legacy rows 96-100 set the revenue-use shares to 0 before CPIntro, so an impulse of those years counts only as an excise drag. The prototype applies the shares in every year (per-cohort shares would need one share row per cohort). Tiny for Egypt (the revenue gain before CPIntro is nearly 0).</w:t>
      </w:r>
    </w:p>
    <w:p>
      <w:pPr>
        <w:spacing w:after="80"/>
      </w:pPr>
      <w:r>
        <w:rPr>
          <w:b/>
          <w:sz w:val="18"/>
        </w:rPr>
        <w:t xml:space="preserve">Status: </w:t>
      </w:r>
      <w:r>
        <w:rPr>
          <w:sz w:val="18"/>
        </w:rPr>
        <w:t>replicated; Minor, Resolved. Replicated v5.7: rows fis.impp and fis.lagp (impulse 0 before CPIntro) feed every revenue use but the excise drag, as legacy rows 96-100. Documented in: Methods, chapter Macro and results.</w:t>
      </w:r>
    </w:p>
    <w:p>
      <w:pPr>
        <w:pStyle w:val="Heading3"/>
      </w:pPr>
      <w:r>
        <w:t>I44  Multipliers: the income-group spread added to manual and country multipliers (replicated v4.15)</w:t>
      </w:r>
    </w:p>
    <w:p>
      <w:pPr>
        <w:spacing w:after="80"/>
      </w:pPr>
      <w:r>
        <w:rPr>
          <w:sz w:val="18"/>
        </w:rPr>
        <w:t>Legacy Low / High (FmAdj) adds -/+ the standard deviation of the income group to every source, also to manual and country-estimated multipliers. Replicated in v4.15 (Inputs_mult est and man columns).</w:t>
      </w:r>
    </w:p>
    <w:p>
      <w:pPr>
        <w:spacing w:after="80"/>
      </w:pPr>
      <w:r>
        <w:rPr>
          <w:b/>
          <w:sz w:val="18"/>
        </w:rPr>
        <w:t xml:space="preserve">Status: </w:t>
      </w:r>
      <w:r>
        <w:rPr>
          <w:sz w:val="18"/>
        </w:rPr>
        <w:t>replicated; Minor, Accepted. Replicated v4.15. Documented in: Methods, chapter Macro and results.</w:t>
      </w:r>
    </w:p>
    <w:p>
      <w:pPr>
        <w:pStyle w:val="Heading3"/>
      </w:pPr>
      <w:r>
        <w:t>I45  Multipliers: excise estimates from the "Excise tax" table (replicated v4.15)</w:t>
      </w:r>
    </w:p>
    <w:p>
      <w:pPr>
        <w:spacing w:after="80"/>
      </w:pPr>
      <w:r>
        <w:rPr>
          <w:sz w:val="18"/>
        </w:rPr>
        <w:t>Legacy maps the energy excise instrument (EXC) to the "Excise tax" country table (rows 614-812); the "Fuel tax" table (rows 210-408) is never used. Replicated in v4.15.</w:t>
      </w:r>
    </w:p>
    <w:p>
      <w:pPr>
        <w:spacing w:after="80"/>
      </w:pPr>
      <w:r>
        <w:rPr>
          <w:b/>
          <w:sz w:val="18"/>
        </w:rPr>
        <w:t xml:space="preserve">Status: </w:t>
      </w:r>
      <w:r>
        <w:rPr>
          <w:sz w:val="18"/>
        </w:rPr>
        <w:t>replicated; Minor, Accepted. Replicated v4.15. Documented in: Methods, chapter Macro and results.</w:t>
      </w:r>
    </w:p>
    <w:p>
      <w:pPr>
        <w:pStyle w:val="Heading3"/>
      </w:pPr>
      <w:r>
        <w:t>I46  Revenue by policy: transport and renewable subsidies not modelled</w:t>
      </w:r>
    </w:p>
    <w:p>
      <w:pPr>
        <w:spacing w:after="80"/>
      </w:pPr>
      <w:r>
        <w:rPr>
          <w:sz w:val="18"/>
        </w:rPr>
        <w:t>Legacy total revenue (row 8012) includes the transport revenues of the engineer road model (customs and VAT on vehicles, feebates, vehicle and charging subsidies, distance tax; rows 7899-7985) and the renewable subsidy cost (from the elasticity power model even where the engineer model is used, rows 7882-7890). The prototype 12e block has both rows at 0 (road engineer revenues parked; no renewable subsidy policy). Egypt: transport +0.04 bn in 2030 against baseline.</w:t>
      </w:r>
    </w:p>
    <w:p>
      <w:pPr>
        <w:spacing w:after="80"/>
      </w:pPr>
      <w:r>
        <w:rPr>
          <w:b/>
          <w:sz w:val="18"/>
        </w:rPr>
        <w:t xml:space="preserve">Status: </w:t>
      </w:r>
      <w:r>
        <w:rPr>
          <w:sz w:val="18"/>
        </w:rPr>
        <w:t>replicated; Major, Resolved. Renewable subsidies: in the power model since v5.4 (prrns), counted in rsub, rtot and block 12e row rpol.ren, as legacy rows 7882-7890. Transport revenues: dropped with the engineer road model (I61, user 2026-10-20); row rpol.trs stays 0. Documented in: LegacyDiff 37.</w:t>
      </w:r>
    </w:p>
    <w:p>
      <w:pPr>
        <w:pStyle w:val="Heading3"/>
      </w:pPr>
      <w:r>
        <w:t>I47  GDP effects: methane fee in the fiscal space on stored scenario-1 gas and biomass activity</w:t>
      </w:r>
    </w:p>
    <w:p>
      <w:pPr>
        <w:spacing w:after="80"/>
      </w:pPr>
      <w:r>
        <w:rPr>
          <w:sz w:val="18"/>
        </w:rPr>
        <w:t>Legacy counts the methane fee in total revenue (row 8010) and so in the fiscal space, on the scenario's own activity. The prototype counts it too, but with the stored scenario-1 activity of downstream gas and biomass use (v6.2, user decision 2026-10-20: no vulnerability to circular references through the GDP feedback). Differs from legacy only when a policy changes gas or biomass use and a methane fee applies. None for Egypt (no methane fee in the scenarios).</w:t>
      </w:r>
    </w:p>
    <w:p>
      <w:pPr>
        <w:spacing w:after="80"/>
      </w:pPr>
      <w:r>
        <w:rPr>
          <w:b/>
          <w:sz w:val="18"/>
        </w:rPr>
        <w:t xml:space="preserve">Status: </w:t>
      </w:r>
      <w:r>
        <w:rPr>
          <w:sz w:val="18"/>
        </w:rPr>
        <w:t>not replicated; Minor, Accepted. 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 Documented in: Methods, chapter Macro and results; LegacyDiff 55.</w:t>
      </w:r>
    </w:p>
    <w:p>
      <w:pPr>
        <w:pStyle w:val="Heading3"/>
      </w:pPr>
      <w:r>
        <w:t>I48  Price-control phase-out uses the consumer subsidy share (replicated v4.16)</w:t>
      </w:r>
    </w:p>
    <w:p>
      <w:pPr>
        <w:spacing w:after="80"/>
      </w:pPr>
      <w:r>
        <w:rPr>
          <w:sz w:val="18"/>
        </w:rPr>
        <w:t>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v4.16 (po.sh.pc).</w:t>
      </w:r>
    </w:p>
    <w:p>
      <w:pPr>
        <w:spacing w:after="80"/>
      </w:pPr>
      <w:r>
        <w:rPr>
          <w:b/>
          <w:sz w:val="18"/>
        </w:rPr>
        <w:t xml:space="preserve">Status: </w:t>
      </w:r>
      <w:r>
        <w:rPr>
          <w:sz w:val="18"/>
        </w:rPr>
        <w:t>replicated; Minor, Accepted. Replicated v4.16; a price-control share would need an MTInputs row. Documented in: Methods, chapter Prices 6.</w:t>
      </w:r>
    </w:p>
    <w:p>
      <w:pPr>
        <w:pStyle w:val="Heading3"/>
      </w:pPr>
      <w:r>
        <w:t>I49  Producer subsidies: fiscal line only, no price effect (not replicated)</w:t>
      </w:r>
    </w:p>
    <w:p>
      <w:pPr>
        <w:spacing w:after="80"/>
      </w:pPr>
      <w:r>
        <w:rPr>
          <w:sz w:val="18"/>
        </w:rPr>
        <w:t>Legacy spreads a producer subsidy over world demand (oil) or half world, half domestic demand (coal, gas), and over domestic use (biomass): the per-unit subsidy is then near zero for oil, coal and gas, and enters the supply cost (the pass-through share reaches retail). The prototype has the fiscal line (pros x factor, rpsu) and no price effect; electricity producer subsidies enter the power price in legacy (power parked). None for Egypt (data 0).</w:t>
      </w:r>
    </w:p>
    <w:p>
      <w:pPr>
        <w:spacing w:after="80"/>
      </w:pPr>
      <w:r>
        <w:rPr>
          <w:b/>
          <w:sz w:val="18"/>
        </w:rPr>
        <w:t xml:space="preserve">Status: </w:t>
      </w:r>
      <w:r>
        <w:rPr>
          <w:sz w:val="18"/>
        </w:rPr>
        <w:t>replicated; Minor, Resolved. 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 Documented in: Methods, chapter Prices 6.</w:t>
      </w:r>
    </w:p>
    <w:p>
      <w:pPr>
        <w:pStyle w:val="Heading3"/>
      </w:pPr>
      <w:r>
        <w:t>I50  Residential LPG and kerosene always exempted: all new policy removed (replicated v5.1)</w:t>
      </w:r>
    </w:p>
    <w:p>
      <w:pPr>
        <w:spacing w:after="80"/>
      </w:pPr>
      <w:r>
        <w:rPr>
          <w:sz w:val="18"/>
        </w:rPr>
        <w:t>AlwaysExemptResLPGKer (MTInputs 268, per scenario) removes the carbon tax, the ETS and the new excise with their VAT from the residential LPG and kerosene price (legacy rows 5546-5547); the shadow price is kept, and ETS-covered emissions still count the fuels.</w:t>
      </w:r>
    </w:p>
    <w:p>
      <w:pPr>
        <w:spacing w:after="80"/>
      </w:pPr>
      <w:r>
        <w:rPr>
          <w:b/>
          <w:sz w:val="18"/>
        </w:rPr>
        <w:t xml:space="preserve">Status: </w:t>
      </w:r>
      <w:r>
        <w:rPr>
          <w:sz w:val="18"/>
        </w:rPr>
        <w:t>replicated; Minor, Accepted. None (as legacy). Documented in: Methods, chapter Prices 5; LegacyDiff 66.</w:t>
      </w:r>
    </w:p>
    <w:p>
      <w:pPr>
        <w:pStyle w:val="Heading3"/>
      </w:pPr>
      <w:r>
        <w:t>I51  Residential leakage: the fossil change is efficiency-weighted (replicated v5.1)</w:t>
      </w:r>
    </w:p>
    <w:p>
      <w:pPr>
        <w:spacing w:after="80"/>
      </w:pPr>
      <w:r>
        <w:rPr>
          <w:sz w:val="18"/>
        </w:rPr>
        <w:t>dF = -F x e_m x p, as legacy (p read as a share of useful energy). The alternative dF = -F x p is equally defensible (Egypt, $20 scenario, 2027: about -45 ktoe LPG and +127 ktoe biomass instead of -25 and +71).</w:t>
      </w:r>
    </w:p>
    <w:p>
      <w:pPr>
        <w:spacing w:after="80"/>
      </w:pPr>
      <w:r>
        <w:rPr>
          <w:b/>
          <w:sz w:val="18"/>
        </w:rPr>
        <w:t xml:space="preserve">Status: </w:t>
      </w:r>
      <w:r>
        <w:rPr>
          <w:sz w:val="18"/>
        </w:rPr>
        <w:t>replicated; Minor, Accepted. Decided (user 2026-10-19): keep the efficiency weighting, as legacy. Documented in: Equations.md 4a; LegacyDiff 65.</w:t>
      </w:r>
    </w:p>
    <w:p>
      <w:pPr>
        <w:pStyle w:val="Heading3"/>
      </w:pPr>
      <w:r>
        <w:t>I52  ETS inclusion: construction, fuel transformation and other energy use follow the buildings flag</w:t>
      </w:r>
    </w:p>
    <w:p>
      <w:pPr>
        <w:spacing w:after="80"/>
      </w:pPr>
      <w:r>
        <w:rPr>
          <w:sz w:val="18"/>
        </w:rPr>
        <w:t>Manual inputs V11:X11 read Dashboard Q30 (buildings) for construction, fuel transformation and other energy use: a grouping choice. The prototype types ETS coverage per scenario (MTInputs rows 99-115).</w:t>
      </w:r>
    </w:p>
    <w:p>
      <w:pPr>
        <w:spacing w:after="80"/>
      </w:pPr>
      <w:r>
        <w:rPr>
          <w:b/>
          <w:sz w:val="18"/>
        </w:rPr>
        <w:t xml:space="preserve">Status: </w:t>
      </w:r>
      <w:r>
        <w:rPr>
          <w:sz w:val="18"/>
        </w:rPr>
        <w:t>not replicated; Minor, Accepted. Conditional: nothing to replicate now (the prototype types ETS coverage per sector). Decided (user 2026-10-19): replicate the legacy grouping when ETS coverage by Dashboard groups is built. Documented in: Manual inputs survey (v5.2).</w:t>
      </w:r>
    </w:p>
    <w:p>
      <w:pPr>
        <w:pStyle w:val="Heading3"/>
      </w:pPr>
      <w:r>
        <w:t>I53  Manual domestic prices switch on only with a 2021 value</w:t>
      </w:r>
    </w:p>
    <w:p>
      <w:pPr>
        <w:spacing w:after="80"/>
      </w:pPr>
      <w:r>
        <w:rPr>
          <w:sz w:val="18"/>
        </w:rPr>
        <w:t>A manual price row is "Manual" only if its 2021 value is filled (Mitigation F765:F829 test K$764); years without a value fall back to the data year by year. Could be a bug (intent unclear). The prototype does not build manual domestic prices (block placed, not read).</w:t>
      </w:r>
    </w:p>
    <w:p>
      <w:pPr>
        <w:spacing w:after="80"/>
      </w:pPr>
      <w:r>
        <w:rPr>
          <w:b/>
          <w:sz w:val="18"/>
        </w:rPr>
        <w:t xml:space="preserve">Status: </w:t>
      </w:r>
      <w:r>
        <w:rPr>
          <w:sz w:val="18"/>
        </w:rPr>
        <w:t>not replicated; Minor, Accepted. Conditional: nothing to replicate now (the prototype does not build manual domestic prices). Decided (user 2026-10-19): an issue; replicate legacy when manual domestic prices are built; ask the CPAT team about the intent. Documented in: Manual inputs survey (v5.2).</w:t>
      </w:r>
    </w:p>
    <w:p>
      <w:pPr>
        <w:pStyle w:val="Heading3"/>
      </w:pPr>
      <w:r>
        <w:t>I54  PPAs: phase-out switch only on the exact text "Yes*"; share to phase out typed 1</w:t>
      </w:r>
    </w:p>
    <w:p>
      <w:pPr>
        <w:spacing w:after="80"/>
      </w:pPr>
      <w:r>
        <w:rPr>
          <w:sz w:val="18"/>
        </w:rPr>
        <w:t>Q2190 = IF(Q2189 = "Yes*", 1, 0): a plain "Yes" means no phase-out; the share of PPAs to phase out is typed 1 (Mitigation Q2190, Q2193, row 2218). Replicated with Yes or Yes* (LEFT 3), share 1.</w:t>
      </w:r>
    </w:p>
    <w:p>
      <w:pPr>
        <w:spacing w:after="80"/>
      </w:pPr>
      <w:r>
        <w:rPr>
          <w:b/>
          <w:sz w:val="18"/>
        </w:rPr>
        <w:t xml:space="preserve">Status: </w:t>
      </w:r>
      <w:r>
        <w:rPr>
          <w:sz w:val="18"/>
        </w:rPr>
        <w:t>replicated; Minor, Accepted. None (user decision 2026-10-18). Documented in: Methods, chapter Power; LegacyDiff 75.</w:t>
      </w:r>
    </w:p>
    <w:p>
      <w:pPr>
        <w:pStyle w:val="Heading3"/>
      </w:pPr>
      <w:r>
        <w:t>I55  Renewable subsidies: nominal inputs used as real</w:t>
      </w:r>
    </w:p>
    <w:p>
      <w:pPr>
        <w:spacing w:after="80"/>
      </w:pPr>
      <w:r>
        <w:rPr>
          <w:sz w:val="18"/>
        </w:rPr>
        <w:t>MTInputs 352-353 are labelled $/kWh nominal and enter the real cost and revenue without deflation (Mitigation row 2743). Replicated (rows rnsp, rns).</w:t>
      </w:r>
    </w:p>
    <w:p>
      <w:pPr>
        <w:spacing w:after="80"/>
      </w:pPr>
      <w:r>
        <w:rPr>
          <w:b/>
          <w:sz w:val="18"/>
        </w:rPr>
        <w:t xml:space="preserve">Status: </w:t>
      </w:r>
      <w:r>
        <w:rPr>
          <w:sz w:val="18"/>
        </w:rPr>
        <w:t>replicated; Minor, Resolved. Reclassified as legacy bug L114 (user 2026-10-19). Documented in: Methods, chapter Power; LegacyDiff 76.</w:t>
      </w:r>
    </w:p>
    <w:p>
      <w:pPr>
        <w:pStyle w:val="Heading3"/>
      </w:pPr>
      <w:r>
        <w:t>I56  Electricity excise: base-year grid intensity of the energy balance</w:t>
      </w:r>
    </w:p>
    <w:p>
      <w:pPr>
        <w:spacing w:after="80"/>
      </w:pPr>
      <w:r>
        <w:rPr>
          <w:sz w:val="18"/>
        </w:rPr>
        <w:t>The excise per kWh = CO2 of the fuel input to power / power output of the base-year balance x carbon price, the same intensity in every year and scenario (Mitigation C2253, row 2253). Replicated (row exs, PwGInt) with the prototype's calibrated power EFs.</w:t>
      </w:r>
    </w:p>
    <w:p>
      <w:pPr>
        <w:spacing w:after="80"/>
      </w:pPr>
      <w:r>
        <w:rPr>
          <w:b/>
          <w:sz w:val="18"/>
        </w:rPr>
        <w:t xml:space="preserve">Status: </w:t>
      </w:r>
      <w:r>
        <w:rPr>
          <w:sz w:val="18"/>
        </w:rPr>
        <w:t>replicated; Minor, Accepted. Decided (user 2026-10-19): legacy kept (base-year intensity); the yearly intensity would be an upgrade. Documented in: Methods, chapter Power; LegacyDiff 77.</w:t>
      </w:r>
    </w:p>
    <w:p>
      <w:pPr>
        <w:pStyle w:val="Heading3"/>
      </w:pPr>
      <w:r>
        <w:t>I57  Final deficit to gas: a typed switch outside MTInputs</w:t>
      </w:r>
    </w:p>
    <w:p>
      <w:pPr>
        <w:spacing w:after="80"/>
      </w:pPr>
      <w:r>
        <w:rPr>
          <w:sz w:val="18"/>
        </w:rPr>
        <w:t>The switch is a typed cell (Mitigation E4248, No), global. Replicated as a global switch on Settings C45 (PwDeficitGas, default No).</w:t>
      </w:r>
    </w:p>
    <w:p>
      <w:pPr>
        <w:spacing w:after="80"/>
      </w:pPr>
      <w:r>
        <w:rPr>
          <w:b/>
          <w:sz w:val="18"/>
        </w:rPr>
        <w:t xml:space="preserve">Status: </w:t>
      </w:r>
      <w:r>
        <w:rPr>
          <w:sz w:val="18"/>
        </w:rPr>
        <w:t>replicated; Minor, Accepted. None (user decision: Settings, as legacy). Documented in: Methods, chapter Power; LegacyDiff 78.</w:t>
      </w:r>
    </w:p>
    <w:p>
      <w:pPr>
        <w:pStyle w:val="Heading3"/>
      </w:pPr>
      <w:r>
        <w:t>I58  Power switches tested for the exact "Yes"</w:t>
      </w:r>
    </w:p>
    <w:p>
      <w:pPr>
        <w:spacing w:after="80"/>
      </w:pPr>
      <w:r>
        <w:rPr>
          <w:sz w:val="18"/>
        </w:rPr>
        <w:t>PowerRebates (G261), RenewableSubsidyHydro (row 3150) and AdditionalExcise (F201) count a starred "Yes*" as No. The prototype accepts Yes or Yes* (LEFT 3), as I54 and the other prototype switches.</w:t>
      </w:r>
    </w:p>
    <w:p>
      <w:pPr>
        <w:spacing w:after="80"/>
      </w:pPr>
      <w:r>
        <w:rPr>
          <w:b/>
          <w:sz w:val="18"/>
        </w:rPr>
        <w:t xml:space="preserve">Status: </w:t>
      </w:r>
      <w:r>
        <w:rPr>
          <w:sz w:val="18"/>
        </w:rPr>
        <w:t>not replicated; Minor, Resolved. Reclassified as legacy bug L113 (user 2026-10-19). Documented in: Methods, chapter Power; LegacyDiff 77.</w:t>
      </w:r>
    </w:p>
    <w:p>
      <w:pPr>
        <w:pStyle w:val="Heading3"/>
      </w:pPr>
      <w:r>
        <w:t>I59  Electricity fuel price reform not applied to electricity prices (not replicated yet)</w:t>
      </w:r>
    </w:p>
    <w:p>
      <w:pPr>
        <w:spacing w:after="80"/>
      </w:pPr>
      <w:r>
        <w:rPr>
          <w:sz w:val="18"/>
        </w:rPr>
        <w:t>Legacy adds the electricity fuel price reform (MTInputs 148/162) to the excise (row 216); the prototype computes fpr.ecy but does not apply it to the electricity price.</w:t>
      </w:r>
    </w:p>
    <w:p>
      <w:pPr>
        <w:spacing w:after="80"/>
      </w:pPr>
      <w:r>
        <w:rPr>
          <w:b/>
          <w:sz w:val="18"/>
        </w:rPr>
        <w:t xml:space="preserve">Status: </w:t>
      </w:r>
      <w:r>
        <w:rPr>
          <w:sz w:val="18"/>
        </w:rPr>
        <w:t>replicated; Minor, Resolved. Replicated in v5.6: the electricity fuel price reform path enters the excise of policy scenarios (row entx). Documented in: Methods, chapter Power.</w:t>
      </w:r>
    </w:p>
    <w:p>
      <w:pPr>
        <w:pStyle w:val="Heading3"/>
      </w:pPr>
      <w:r>
        <w:t>I60  End-user electricity price not floored at MinPostSubsidyPowerPrice (not replicated yet)</w:t>
      </w:r>
    </w:p>
    <w:p>
      <w:pPr>
        <w:spacing w:after="80"/>
      </w:pPr>
      <w:r>
        <w:rPr>
          <w:sz w:val="18"/>
        </w:rPr>
        <w:t>Legacy floors the end-user electricity price at MinPostSubsidyPowerPrice (rows 3617, 3646); the prototype has no floor (MinPostSubsidyPowerPrice is read per scenario since v5.4 but used only where legacy uses it in the cost side).</w:t>
      </w:r>
    </w:p>
    <w:p>
      <w:pPr>
        <w:spacing w:after="80"/>
      </w:pPr>
      <w:r>
        <w:rPr>
          <w:b/>
          <w:sz w:val="18"/>
        </w:rPr>
        <w:t xml:space="preserve">Status: </w:t>
      </w:r>
      <w:r>
        <w:rPr>
          <w:sz w:val="18"/>
        </w:rPr>
        <w:t>replicated; Minor, Resolved. Replicated in v5.6: end-user electricity prices floored at MinPostSubsidyPowerPrice (row rp). Documented in: Methods, chapter Power.</w:t>
      </w:r>
    </w:p>
    <w:p>
      <w:pPr>
        <w:pStyle w:val="Heading3"/>
      </w:pPr>
      <w:r>
        <w:t>I61  Engineer road model: follow-ups parked</w:t>
      </w:r>
    </w:p>
    <w:p>
      <w:pPr>
        <w:spacing w:after="80"/>
      </w:pPr>
      <w:r>
        <w:rPr>
          <w:sz w:val="18"/>
        </w:rPr>
        <w:t>The engineer road model (v3.5)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p>
    <w:p>
      <w:pPr>
        <w:spacing w:after="80"/>
      </w:pPr>
      <w:r>
        <w:rPr>
          <w:b/>
          <w:sz w:val="18"/>
        </w:rPr>
        <w:t xml:space="preserve">Status: </w:t>
      </w:r>
      <w:r>
        <w:rPr>
          <w:sz w:val="18"/>
        </w:rPr>
        <w:t>replicated; Major, Dropped. Parked, then dropped by the user (2026-10-20). Documented in: Methods, chapter Transport; TODO.</w:t>
      </w:r>
    </w:p>
    <w:p>
      <w:pPr>
        <w:pStyle w:val="Heading3"/>
      </w:pPr>
      <w:r>
        <w:t>I62  Fuel use: no partial-adjustment model</w:t>
      </w:r>
    </w:p>
    <w:p>
      <w:pPr>
        <w:spacing w:after="80"/>
      </w:pPr>
      <w:r>
        <w:rPr>
          <w:sz w:val="18"/>
        </w:rPr>
        <w:t>Fuel use responds to prices and income with constant long-run elasticities, as legacy, with no partial (lagged) adjustment, so the full response comes in the year of the price change. Parked by the user (2026-10-09); was upgrade U12.</w:t>
      </w:r>
    </w:p>
    <w:p>
      <w:pPr>
        <w:spacing w:after="80"/>
      </w:pPr>
      <w:r>
        <w:rPr>
          <w:b/>
          <w:sz w:val="18"/>
        </w:rPr>
        <w:t xml:space="preserve">Status: </w:t>
      </w:r>
      <w:r>
        <w:rPr>
          <w:sz w:val="18"/>
        </w:rPr>
        <w:t>replicated; Major, Accepted. 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 Documented in: Methods, chapter Prices; TODO.</w:t>
      </w:r>
    </w:p>
    <w:p>
      <w:pPr>
        <w:pStyle w:val="Heading3"/>
      </w:pPr>
      <w:r>
        <w:t>I63  Demand responds to real USD prices, not real local-currency prices</w:t>
      </w:r>
    </w:p>
    <w:p>
      <w:pPr>
        <w:spacing w:after="80"/>
      </w:pPr>
      <w:r>
        <w:rPr>
          <w:sz w:val="18"/>
        </w:rPr>
        <w:t>As legacy, fuel and electricity demand respond to prices in real USD. Under a devaluation the two diverge (Egypt gasoline 2022-2024: about -15% in real EGP against -42% in real USD), so demand responds to a price fall households do not see. Parked by the user (2026-10-09); related to I4 and U3.</w:t>
      </w:r>
    </w:p>
    <w:p>
      <w:pPr>
        <w:spacing w:after="80"/>
      </w:pPr>
      <w:r>
        <w:rPr>
          <w:b/>
          <w:sz w:val="18"/>
        </w:rPr>
        <w:t xml:space="preserve">Status: </w:t>
      </w:r>
      <w:r>
        <w:rPr>
          <w:sz w:val="18"/>
        </w:rPr>
        <w:t>replicated; Major, Dropped. Parked, then dropped by the user (2026-10-20). Documented in: Methods, chapter Prices; TODO.</w:t>
      </w:r>
    </w:p>
    <w:p>
      <w:pPr>
        <w:pStyle w:val="Heading3"/>
      </w:pPr>
      <w:r>
        <w:t>I64  Combustion emission factor paths missing (GAINS, proprietary)</w:t>
      </w:r>
    </w:p>
    <w:p>
      <w:pPr>
        <w:spacing w:after="80"/>
      </w:pPr>
      <w:r>
        <w:rPr>
          <w:sz w:val="18"/>
        </w:rPr>
        <w:t>Legacy reads GAINS combustion factor paths by year; in the NoPropData file they are zero (proprietary). The prototype uses the GAINS base and final factors (EF_PM), linear to EFEndYear (2039), flat after (LegacyDiff LD47). Combustion CH4 is scaled to the inventory by the calibration. Data issue: no legacy formula is wrong.</w:t>
      </w:r>
    </w:p>
    <w:p>
      <w:pPr>
        <w:spacing w:after="80"/>
      </w:pPr>
      <w:r>
        <w:rPr>
          <w:b/>
          <w:sz w:val="18"/>
        </w:rPr>
        <w:t xml:space="preserve">Status: </w:t>
      </w:r>
      <w:r>
        <w:rPr>
          <w:sz w:val="18"/>
        </w:rPr>
        <w:t>not replicated; Major, Open. prototype fill kept (user 2026-10-19). Data request: a legacy file with the GAINS combustion factor paths (high priority, user 2026-10-19). Documented in: Methods, chapter Emissions; LegacyDiff.</w:t>
      </w:r>
    </w:p>
    <w:p>
      <w:pPr>
        <w:pStyle w:val="Heading3"/>
      </w:pPr>
      <w:r>
        <w:t>I65  Blank VAT cells in the IMF price dataset</w:t>
      </w:r>
    </w:p>
    <w:p>
      <w:pPr>
        <w:spacing w:after="80"/>
      </w:pPr>
      <w:r>
        <w:rPr>
          <w:sz w:val="18"/>
        </w:rPr>
        <w:t>Some VAT cells of the IMF price dataset are blank; legacy then uses 0. The prototype fills blank cells with the general VAT rate (VAT_WEO) for residential coal and gas and all-sector oil products, 0 for power, industry and biomass (LegacyDiff LD3). None for Egypt since v0.14 (corrected data fill every VAT cell). Data issue.</w:t>
      </w:r>
    </w:p>
    <w:p>
      <w:pPr>
        <w:spacing w:after="80"/>
      </w:pPr>
      <w:r>
        <w:rPr>
          <w:b/>
          <w:sz w:val="18"/>
        </w:rPr>
        <w:t xml:space="preserve">Status: </w:t>
      </w:r>
      <w:r>
        <w:rPr>
          <w:sz w:val="18"/>
        </w:rPr>
        <w:t>not replicated; Major, Open. prototype fill kept (user 2026-10-19). Data request: raise the blank VAT cells with the data team (high priority, user 2026-10-19); the prototype fill stays until then. Documented in: Methods, chapter Prices; LegacyDiff.</w:t>
      </w:r>
    </w:p>
    <w:p>
      <w:pPr>
        <w:pStyle w:val="Heading3"/>
      </w:pPr>
      <w:r>
        <w:t>I66  Fuel production for supply methane held at the base year (not replicated)</w:t>
      </w:r>
    </w:p>
    <w:p>
      <w:pPr>
        <w:spacing w:after="80"/>
      </w:pPr>
      <w:r>
        <w:rPr>
          <w:sz w:val="18"/>
        </w:rPr>
        <w:t>Legacy grows crude oil, natural gas and coal production (rows 6132-6135) from 2024 with the producer-price response to the methane fee (rows 6123-6130: price increase x pass-through, Manual inputs J190:J194 elasticities) and the growth of world demand of the global demand scenario (Prices_int rows 323-333, lagged one year). The prototype holds production at the base year (rows ch4.act og, cm). Found 2026-10-19 checking I26.</w:t>
      </w:r>
    </w:p>
    <w:p>
      <w:pPr>
        <w:spacing w:after="80"/>
      </w:pPr>
      <w:r>
        <w:rPr>
          <w:b/>
          <w:sz w:val="18"/>
        </w:rPr>
        <w:t xml:space="preserve">Status: </w:t>
      </w:r>
      <w:r>
        <w:rPr>
          <w:sz w:val="18"/>
        </w:rPr>
        <w:t>replicated; Major, Resolved. Replicated in v5.6: rows ch4.wd, ch4.fk, ch4.pi, ch4.prd (inventory-year activity = base production, to avoid a loop; legacy holds 2022-2023 at the base anyway). Note: legacy CHOOSE reads the Net Zero row for the third and fourth demand scenarios. Documented in: Methods, chapter Emissions.</w:t>
      </w:r>
    </w:p>
    <w:p>
      <w:pPr>
        <w:pStyle w:val="Heading3"/>
      </w:pPr>
      <w:r>
        <w:t>I67  Intensity NDC: China CO2 hard-coded</w:t>
      </w:r>
    </w:p>
    <w:p>
      <w:pPr>
        <w:spacing w:after="80"/>
      </w:pPr>
      <w:r>
        <w:rPr>
          <w:sz w:val="18"/>
        </w:rPr>
        <w:t>Legacy row 18449 H uses 5665 (Mt CO2) for China instead of the data (row 889). The prototype reads sheet GHGHist (or the model where the reference year is modelled); China's latest NDC is a Historical target (ref 2024, modelled), so the value is not used.</w:t>
      </w:r>
    </w:p>
    <w:p>
      <w:pPr>
        <w:spacing w:after="80"/>
      </w:pPr>
      <w:r>
        <w:rPr>
          <w:b/>
          <w:sz w:val="18"/>
        </w:rPr>
        <w:t xml:space="preserve">Status: </w:t>
      </w:r>
      <w:r>
        <w:rPr>
          <w:sz w:val="18"/>
        </w:rPr>
        <w:t>not replicated; Minor, Accepted. v5.7: no hard-coded value; data or model (departure by design, user rule: data not typed). Documented in: Methods, chapter Emissions.</w:t>
      </w:r>
    </w:p>
    <w:p>
      <w:pPr>
        <w:pStyle w:val="Heading3"/>
      </w:pPr>
      <w:r>
        <w:t>I68  NDC reference years outside the data</w:t>
      </w:r>
    </w:p>
    <w:p>
      <w:pPr>
        <w:spacing w:after="80"/>
      </w:pPr>
      <w:r>
        <w:rPr>
          <w:sz w:val="18"/>
        </w:rPr>
        <w:t>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p>
    <w:p>
      <w:pPr>
        <w:spacing w:after="80"/>
      </w:pPr>
      <w:r>
        <w:rPr>
          <w:b/>
          <w:sz w:val="18"/>
        </w:rPr>
        <w:t xml:space="preserve">Status: </w:t>
      </w:r>
      <w:r>
        <w:rPr>
          <w:sz w:val="18"/>
        </w:rPr>
        <w:t>replicated; Minor, Open. v5.7: GDP solved (WEO NGDP_R, 2000-2040). v6.1: reference years 2021-2024 read the GHGs inventory (rows ndc.hc, ndc.hv), 2022 onwards the model. Still open: historical GHGs 2018-2020 (GHGHist ends 2017, CO2 2020): data request. Documented in: Methods, chapter Emissions.</w:t>
      </w:r>
    </w:p>
    <w:p>
      <w:pPr>
        <w:pStyle w:val="Heading3"/>
      </w:pPr>
      <w:r>
        <w:t>I69  Air-pollution co-benefits (health, mortality) not built</w:t>
      </w:r>
    </w:p>
    <w:p>
      <w:pPr>
        <w:spacing w:after="80"/>
      </w:pPr>
      <w:r>
        <w:rPr>
          <w:sz w:val="18"/>
        </w:rPr>
        <w:t>Legacy computes air-pollution mortality and its valuation from fuel use (sheets AP and the Mitigation co-benefit rows). The prototype keeps local pollutant emissions (section 15) only.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excel_ai/plans/Air_pollution.md.</w:t>
      </w:r>
    </w:p>
    <w:p>
      <w:pPr>
        <w:pStyle w:val="Heading3"/>
      </w:pPr>
      <w:r>
        <w:t>I70  Transport externalities (congestion, accidents, road damage) not built</w:t>
      </w:r>
    </w:p>
    <w:p>
      <w:pPr>
        <w:spacing w:after="80"/>
      </w:pPr>
      <w:r>
        <w:rPr>
          <w:sz w:val="18"/>
        </w:rPr>
        <w:t>Legacy values the transport externalities of road fuel use and vehicle-km. Not in the prototype.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excel_ai/plans/Transport_cobenefits.md.</w:t>
      </w:r>
    </w:p>
    <w:p>
      <w:pPr>
        <w:pStyle w:val="Heading3"/>
      </w:pPr>
      <w:r>
        <w:t>I71  Fuel use grows with total GDP: population gets the income elasticity</w:t>
      </w:r>
    </w:p>
    <w:p>
      <w:pPr>
        <w:spacing w:after="80"/>
      </w:pPr>
      <w:r>
        <w:rPr>
          <w:sz w:val="18"/>
        </w:rPr>
        <w:t>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p>
    <w:p>
      <w:pPr>
        <w:spacing w:after="80"/>
      </w:pPr>
      <w:r>
        <w:rPr>
          <w:b/>
          <w:sz w:val="18"/>
        </w:rPr>
        <w:t xml:space="preserve">Status: </w:t>
      </w:r>
      <w:r>
        <w:rPr>
          <w:sz w:val="18"/>
        </w:rPr>
        <w:t>replicated; Major, Accepted. 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 Documented in: Equations.md E53-E56; Methods, chapter Prices.</w:t>
      </w:r>
    </w:p>
    <w:p>
      <w:pPr>
        <w:pStyle w:val="Heading3"/>
      </w:pPr>
      <w:r>
        <w:t>I72  GDP feedback timing: same-year effects must never reach same-year demand</w:t>
      </w:r>
    </w:p>
    <w:p>
      <w:pPr>
        <w:spacing w:after="80"/>
      </w:pPr>
      <w:r>
        <w:rPr>
          <w:sz w:val="18"/>
        </w:rPr>
        <w:t>Legacy and the prototype let revenue of year t move GDP only from year t+1 (legacy row 8761 reads the previous column; prototype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p>
    <w:p>
      <w:pPr>
        <w:spacing w:after="80"/>
      </w:pPr>
      <w:r>
        <w:rPr>
          <w:b/>
          <w:sz w:val="18"/>
        </w:rPr>
        <w:t xml:space="preserve">Status: </w:t>
      </w:r>
      <w:r>
        <w:rPr>
          <w:sz w:val="18"/>
        </w:rPr>
        <w:t>replicated; Major, Resolved. 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 Documented in: Methods, chapter Macro and results; NORMS (circular references).</w:t>
      </w:r>
    </w:p>
    <w:p>
      <w:pPr>
        <w:pStyle w:val="Heading3"/>
      </w:pPr>
      <w:r>
        <w:t>I73  Scenario-1 lookups must end at the current column</w:t>
      </w:r>
    </w:p>
    <w:p>
      <w:pPr>
        <w:spacing w:after="80"/>
      </w:pPr>
      <w:r>
        <w:rPr>
          <w:sz w:val="18"/>
        </w:rPr>
        <w:t>Lookups of the scenario-1 value of the same year (INDEX over a row, MATCH on the year) must not range over later columns: in a recalculation that evaluates the range, a lookup over the whole row reads its own scenario's later years and closes a circular reference (the prototype had one such row, ener.ref, fixed in v6.2; all others end at the current column). Recommendation to the CPAT team: check the legacy lookups the same way.</w:t>
      </w:r>
    </w:p>
    <w:p>
      <w:pPr>
        <w:spacing w:after="80"/>
      </w:pPr>
      <w:r>
        <w:rPr>
          <w:b/>
          <w:sz w:val="18"/>
        </w:rPr>
        <w:t xml:space="preserve">Status: </w:t>
      </w:r>
      <w:r>
        <w:rPr>
          <w:sz w:val="18"/>
        </w:rPr>
        <w:t>mvp; Major, Resolved. 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v6.2); the quick check tests reads of later years. Documented in: NORMS (circular references).</w:t>
      </w:r>
    </w:p>
    <w:p>
      <w:pPr>
        <w:pStyle w:val="Heading3"/>
      </w:pPr>
      <w:r>
        <w:t>I74  Methane calibration bases must be data or base-year values</w:t>
      </w:r>
    </w:p>
    <w:p>
      <w:pPr>
        <w:spacing w:after="80"/>
      </w:pPr>
      <w:r>
        <w:rPr>
          <w:sz w:val="18"/>
        </w:rPr>
        <w:t>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prototype uses data activity since v6.0 and, for the fiscal space, the stored scenario-1 gas and biomass activity (I47). Recommendation to the CPAT team.</w:t>
      </w:r>
    </w:p>
    <w:p>
      <w:pPr>
        <w:spacing w:after="80"/>
      </w:pPr>
      <w:r>
        <w:rPr>
          <w:b/>
          <w:sz w:val="18"/>
        </w:rPr>
        <w:t xml:space="preserve">Status: </w:t>
      </w:r>
      <w:r>
        <w:rPr>
          <w:sz w:val="18"/>
        </w:rPr>
        <w:t>mvp; Major, Resolved. Legacy checked: no bug. The source allocation uses energy-balance data (row 894) and the energy CH4 calibration (row 7548) uses the first two years and applies the factor from the third (it reads only earlier years). The prototype calibrated on GHGYear (2024) in every year (its own design) and now reads stored scenario-1 values; the fiscal space uses the stored scenario-1 activity (I47). Documented in: Methods, chapter Emissions.</w:t>
      </w:r>
    </w:p>
    <w:p>
      <w:pPr>
        <w:pStyle w:val="Heading3"/>
      </w:pPr>
      <w:r>
        <w:t>I75  Legacy code inconsistencies (CPAT code protocol)</w:t>
      </w:r>
    </w:p>
    <w:p>
      <w:pPr>
        <w:spacing w:after="80"/>
      </w:pPr>
      <w:r>
        <w:rPr>
          <w:sz w:val="18"/>
        </w:rPr>
        <w:t>Legacy codes do not follow one protocol: variable names differ by module (trevst vs stockcalc), slots differ in order (fuel.sector and sector.fuel), totals are written all or tot, model letters (.e, .a, .t) end some codes. The prototype follows the protocol from v7.2 (codes R0-R9: legacy variable names, sector before fuel, tot for totals, no model letters); legacy codes that differ are aliases in the crosswalk.</w:t>
      </w:r>
    </w:p>
    <w:p>
      <w:pPr>
        <w:spacing w:after="80"/>
      </w:pPr>
      <w:r>
        <w:rPr>
          <w:b/>
          <w:sz w:val="18"/>
        </w:rPr>
        <w:t xml:space="preserve">Status: </w:t>
      </w:r>
      <w:r>
        <w:rPr>
          <w:sz w:val="18"/>
        </w:rPr>
        <w:t>not replicated; Minor, Resolved. v7.2 (codes R0-R9): the prototype codes follow the protocol; legacy codes that differ are aliases (crosswalk, LiveOutputs alias column). Open review rows: excel_ai/plans/TODO_Codes.md. Documented in: Codes_Remediation_Plan_v7_1.md; codes_crosswalk_v7_1.csv; code_renames_v7_2.csv.</w:t>
      </w:r>
    </w:p>
    <w:p>
      <w:pPr>
        <w:pStyle w:val="Heading2"/>
      </w:pPr>
      <w:r>
        <w:t>4.2 Distribution module</w:t>
      </w:r>
    </w:p>
    <w:tbl>
      <w:tblPr>
        <w:tblStyle w:val="TableGrid"/>
        <w:tblW w:type="dxa" w:w="9070"/>
        <w:jc w:val="left"/>
        <w:tblLayout w:type="fixed"/>
        <w:tblLook w:firstColumn="1" w:firstRow="1" w:lastColumn="0" w:lastRow="0" w:noHBand="0" w:noVBand="1" w:val="04A0"/>
      </w:tblPr>
      <w:tblGrid>
        <w:gridCol w:w="794"/>
        <w:gridCol w:w="2608"/>
        <w:gridCol w:w="4195"/>
        <w:gridCol w:w="1474"/>
      </w:tblGrid>
      <w:tr>
        <w:trPr>
          <w:tblHeader w:val="true"/>
        </w:trPr>
        <w:tc>
          <w:tcPr>
            <w:tcW w:type="dxa" w:w="794"/>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Title</w:t>
            </w:r>
          </w:p>
        </w:tc>
        <w:tc>
          <w:tcPr>
            <w:tcW w:type="dxa" w:w="4195"/>
            <w:shd w:val="clear" w:color="auto" w:fill="D9E8C4"/>
          </w:tcPr>
          <w:p>
            <w:pPr>
              <w:spacing w:after="20"/>
            </w:pPr>
            <w:r>
              <w:rPr>
                <w:rFonts w:ascii="Arial" w:hAnsi="Arial"/>
                <w:b/>
                <w:sz w:val="16"/>
              </w:rPr>
              <w:t>Description</w:t>
            </w:r>
          </w:p>
        </w:tc>
        <w:tc>
          <w:tcPr>
            <w:tcW w:type="dxa" w:w="1474"/>
            <w:shd w:val="clear" w:color="auto" w:fill="D9E8C4"/>
          </w:tcPr>
          <w:p>
            <w:pPr>
              <w:spacing w:after="20"/>
            </w:pPr>
            <w:r>
              <w:rPr>
                <w:rFonts w:ascii="Arial" w:hAnsi="Arial"/>
                <w:b/>
                <w:sz w:val="16"/>
              </w:rPr>
              <w:t>Status</w:t>
            </w:r>
          </w:p>
        </w:tc>
      </w:tr>
      <w:tr>
        <w:tc>
          <w:tcPr>
            <w:tcW w:type="dxa" w:w="794"/>
          </w:tcPr>
          <w:p>
            <w:pPr>
              <w:spacing w:after="20"/>
            </w:pPr>
            <w:r>
              <w:rPr>
                <w:rFonts w:ascii="Arial" w:hAnsi="Arial"/>
                <w:b w:val="0"/>
                <w:sz w:val="16"/>
              </w:rPr>
              <w:t>DI1</w:t>
            </w:r>
          </w:p>
        </w:tc>
        <w:tc>
          <w:tcPr>
            <w:tcW w:type="dxa" w:w="2608"/>
          </w:tcPr>
          <w:p>
            <w:pPr>
              <w:spacing w:after="20"/>
            </w:pPr>
            <w:r>
              <w:rPr>
                <w:rFonts w:ascii="Arial" w:hAnsi="Arial"/>
                <w:b w:val="0"/>
                <w:sz w:val="16"/>
              </w:rPr>
              <w:t>Spending in the base year</w:t>
            </w:r>
          </w:p>
        </w:tc>
        <w:tc>
          <w:tcPr>
            <w:tcW w:type="dxa" w:w="4195"/>
          </w:tcPr>
          <w:p>
            <w:pPr>
              <w:spacing w:after="20"/>
            </w:pPr>
            <w:r>
              <w:rPr>
                <w:rFonts w:ascii="Arial" w:hAnsi="Arial"/>
                <w:b w:val="0"/>
                <w:sz w:val="16"/>
              </w:rPr>
              <w:t>Fuel spending is taken in the base year (legacy: the first calculation year), with the price changes of the analysis year.</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DI2</w:t>
            </w:r>
          </w:p>
        </w:tc>
        <w:tc>
          <w:tcPr>
            <w:tcW w:type="dxa" w:w="2608"/>
          </w:tcPr>
          <w:p>
            <w:pPr>
              <w:spacing w:after="20"/>
            </w:pPr>
            <w:r>
              <w:rPr>
                <w:rFonts w:ascii="Arial" w:hAnsi="Arial"/>
                <w:b w:val="0"/>
                <w:sz w:val="16"/>
              </w:rPr>
              <w:t>GTAP values converted with the local GDP deflator</w:t>
            </w:r>
          </w:p>
        </w:tc>
        <w:tc>
          <w:tcPr>
            <w:tcW w:type="dxa" w:w="4195"/>
          </w:tcPr>
          <w:p>
            <w:pPr>
              <w:spacing w:after="20"/>
            </w:pPr>
            <w:r>
              <w:rPr>
                <w:rFonts w:ascii="Arial" w:hAnsi="Arial"/>
                <w:b w:val="0"/>
                <w:sz w:val="16"/>
              </w:rPr>
              <w:t>The GTAP input-output values are converted with the local GDP deflator (legacy I244).</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DI3</w:t>
            </w:r>
          </w:p>
        </w:tc>
        <w:tc>
          <w:tcPr>
            <w:tcW w:type="dxa" w:w="2608"/>
          </w:tcPr>
          <w:p>
            <w:pPr>
              <w:spacing w:after="20"/>
            </w:pPr>
            <w:r>
              <w:rPr>
                <w:rFonts w:ascii="Arial" w:hAnsi="Arial"/>
                <w:b w:val="0"/>
                <w:sz w:val="16"/>
              </w:rPr>
              <w:t>Elasticities always overall, mean</w:t>
            </w:r>
          </w:p>
        </w:tc>
        <w:tc>
          <w:tcPr>
            <w:tcW w:type="dxa" w:w="4195"/>
          </w:tcPr>
          <w:p>
            <w:pPr>
              <w:spacing w:after="20"/>
            </w:pPr>
            <w:r>
              <w:rPr>
                <w:rFonts w:ascii="Arial" w:hAnsi="Arial"/>
                <w:b w:val="0"/>
                <w:sz w:val="16"/>
              </w:rPr>
              <w:t>The data have no other statistics or samples.</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DI4</w:t>
            </w:r>
          </w:p>
        </w:tc>
        <w:tc>
          <w:tcPr>
            <w:tcW w:type="dxa" w:w="2608"/>
          </w:tcPr>
          <w:p>
            <w:pPr>
              <w:spacing w:after="20"/>
            </w:pPr>
            <w:r>
              <w:rPr>
                <w:rFonts w:ascii="Arial" w:hAnsi="Arial"/>
                <w:b w:val="0"/>
                <w:sz w:val="16"/>
              </w:rPr>
              <w:t>Recycled amounts per capita from the overall sample</w:t>
            </w:r>
          </w:p>
        </w:tc>
        <w:tc>
          <w:tcPr>
            <w:tcW w:type="dxa" w:w="4195"/>
          </w:tcPr>
          <w:p>
            <w:pPr>
              <w:spacing w:after="20"/>
            </w:pPr>
            <w:r>
              <w:rPr>
                <w:rFonts w:ascii="Arial" w:hAnsi="Arial"/>
                <w:b w:val="0"/>
                <w:sz w:val="16"/>
              </w:rPr>
              <w:t>Applied to urban and rural consumption alike.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DI5</w:t>
            </w:r>
          </w:p>
        </w:tc>
        <w:tc>
          <w:tcPr>
            <w:tcW w:type="dxa" w:w="2608"/>
          </w:tcPr>
          <w:p>
            <w:pPr>
              <w:spacing w:after="20"/>
            </w:pPr>
            <w:r>
              <w:rPr>
                <w:rFonts w:ascii="Arial" w:hAnsi="Arial"/>
                <w:b w:val="0"/>
                <w:sz w:val="16"/>
              </w:rPr>
              <w:t>Gini from a fitted Lorenz curve</w:t>
            </w:r>
          </w:p>
        </w:tc>
        <w:tc>
          <w:tcPr>
            <w:tcW w:type="dxa" w:w="4195"/>
          </w:tcPr>
          <w:p>
            <w:pPr>
              <w:spacing w:after="20"/>
            </w:pPr>
            <w:r>
              <w:rPr>
                <w:rFonts w:ascii="Arial" w:hAnsi="Arial"/>
                <w:b w:val="0"/>
                <w:sz w:val="16"/>
              </w:rPr>
              <w:t>The Gini comes from the fitted curve, not the trapezoid rule.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DI6</w:t>
            </w:r>
          </w:p>
        </w:tc>
        <w:tc>
          <w:tcPr>
            <w:tcW w:type="dxa" w:w="2608"/>
          </w:tcPr>
          <w:p>
            <w:pPr>
              <w:spacing w:after="20"/>
            </w:pPr>
            <w:r>
              <w:rPr>
                <w:rFonts w:ascii="Arial" w:hAnsi="Arial"/>
                <w:b w:val="0"/>
                <w:sz w:val="16"/>
              </w:rPr>
              <w:t>Carbon-pricing revenue stands for the revenue to recycle</w:t>
            </w:r>
          </w:p>
        </w:tc>
        <w:tc>
          <w:tcPr>
            <w:tcW w:type="dxa" w:w="4195"/>
          </w:tcPr>
          <w:p>
            <w:pPr>
              <w:spacing w:after="20"/>
            </w:pPr>
            <w:r>
              <w:rPr>
                <w:rFonts w:ascii="Arial" w:hAnsi="Arial"/>
                <w:b w:val="0"/>
                <w:sz w:val="16"/>
              </w:rPr>
              <w:t>Revenue from new policies (rnew: carbon tax, VAT on it, auctioned ETS) is the revenue recycled, as legacy's carbon-pricing revenue.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DI7</w:t>
            </w:r>
          </w:p>
        </w:tc>
        <w:tc>
          <w:tcPr>
            <w:tcW w:type="dxa" w:w="2608"/>
          </w:tcPr>
          <w:p>
            <w:pPr>
              <w:spacing w:after="20"/>
            </w:pPr>
            <w:r>
              <w:rPr>
                <w:rFonts w:ascii="Arial" w:hAnsi="Arial"/>
                <w:b w:val="0"/>
                <w:sz w:val="16"/>
              </w:rPr>
              <w:t>ASPIRE-targeted transfers (TransferType other than Cash)</w:t>
            </w:r>
          </w:p>
        </w:tc>
        <w:tc>
          <w:tcPr>
            <w:tcW w:type="dxa" w:w="4195"/>
          </w:tcPr>
          <w:p>
            <w:pPr>
              <w:spacing w:after="20"/>
            </w:pPr>
            <w:r>
              <w:rPr>
                <w:rFonts w:ascii="Arial" w:hAnsi="Arial"/>
                <w:b w:val="0"/>
                <w:sz w:val="16"/>
              </w:rPr>
              <w:t>Modelled v6.0: the transfer follows the program's incidence by quintile (legacy rows 2617-2629; bugs D10-D12 fixed).</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DI8</w:t>
            </w:r>
          </w:p>
        </w:tc>
        <w:tc>
          <w:tcPr>
            <w:tcW w:type="dxa" w:w="2608"/>
          </w:tcPr>
          <w:p>
            <w:pPr>
              <w:spacing w:after="20"/>
            </w:pPr>
            <w:r>
              <w:rPr>
                <w:rFonts w:ascii="Arial" w:hAnsi="Arial"/>
                <w:b w:val="0"/>
                <w:sz w:val="16"/>
              </w:rPr>
              <w:t>Poverty-line targeting (TargetBelow, with Cash only)</w:t>
            </w:r>
          </w:p>
        </w:tc>
        <w:tc>
          <w:tcPr>
            <w:tcW w:type="dxa" w:w="4195"/>
          </w:tcPr>
          <w:p>
            <w:pPr>
              <w:spacing w:after="20"/>
            </w:pPr>
            <w:r>
              <w:rPr>
                <w:rFonts w:ascii="Arial" w:hAnsi="Arial"/>
                <w:b w:val="0"/>
                <w:sz w:val="16"/>
              </w:rPr>
              <w:t>Modelled v6.0: the transfer weights each decile by its share below the line (HHSurvey pct_belowpl_*, mean as legacy; bugs D14-D16).</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DI9</w:t>
            </w:r>
          </w:p>
        </w:tc>
        <w:tc>
          <w:tcPr>
            <w:tcW w:type="dxa" w:w="2608"/>
          </w:tcPr>
          <w:p>
            <w:pPr>
              <w:spacing w:after="20"/>
            </w:pPr>
            <w:r>
              <w:rPr>
                <w:rFonts w:ascii="Arial" w:hAnsi="Arial"/>
                <w:b w:val="0"/>
                <w:sz w:val="16"/>
              </w:rPr>
              <w:t>Pass-through switch wired into the production-sector prices only</w:t>
            </w:r>
          </w:p>
        </w:tc>
        <w:tc>
          <w:tcPr>
            <w:tcW w:type="dxa" w:w="4195"/>
          </w:tcPr>
          <w:p>
            <w:pPr>
              <w:spacing w:after="20"/>
            </w:pPr>
            <w:r>
              <w:rPr>
                <w:rFonts w:ascii="Arial" w:hAnsi="Arial"/>
                <w:b w:val="0"/>
                <w:sz w:val="16"/>
              </w:rPr>
              <w:t>PassthroughDist scales the sector price changes (legacy D.VI, bug D26 fixed), not the household effects, as legacy.</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DI10</w:t>
            </w:r>
          </w:p>
        </w:tc>
        <w:tc>
          <w:tcPr>
            <w:tcW w:type="dxa" w:w="2608"/>
          </w:tcPr>
          <w:p>
            <w:pPr>
              <w:spacing w:after="20"/>
            </w:pPr>
            <w:r>
              <w:rPr>
                <w:rFonts w:ascii="Arial" w:hAnsi="Arial"/>
                <w:b w:val="0"/>
                <w:sz w:val="16"/>
              </w:rPr>
              <w:t>Median statistic: the targeted transfer only reaches deciles where more than half receive</w:t>
            </w:r>
          </w:p>
        </w:tc>
        <w:tc>
          <w:tcPr>
            <w:tcW w:type="dxa" w:w="4195"/>
          </w:tcPr>
          <w:p>
            <w:pPr>
              <w:spacing w:after="20"/>
            </w:pPr>
            <w:r>
              <w:rPr>
                <w:rFonts w:ascii="Arial" w:hAnsi="Arial"/>
                <w:b w:val="0"/>
                <w:sz w:val="16"/>
              </w:rPr>
              <w:t>Modelled v6.0 (legacy row 2685): the money not paid is not redistributed, as legacy.</w:t>
            </w:r>
          </w:p>
        </w:tc>
        <w:tc>
          <w:tcPr>
            <w:tcW w:type="dxa" w:w="1474"/>
          </w:tcPr>
          <w:p>
            <w:pPr>
              <w:spacing w:after="20"/>
            </w:pPr>
            <w:r>
              <w:rPr>
                <w:rFonts w:ascii="Arial" w:hAnsi="Arial"/>
                <w:b w:val="0"/>
                <w:sz w:val="16"/>
              </w:rPr>
              <w:t>Replicated (v6.0)</w:t>
            </w:r>
          </w:p>
        </w:tc>
      </w:tr>
    </w:tbl>
    <w:p/>
    <w:p>
      <w:pPr>
        <w:pStyle w:val="Heading2"/>
      </w:pPr>
      <w:r>
        <w:t>4.3 Departures from legacy still listed on the LegacyDiff sheet</w:t>
      </w:r>
    </w:p>
    <w:p>
      <w:pPr>
        <w:spacing w:after="80"/>
      </w:pPr>
      <w:r>
        <w:rPr>
          <w:sz w:val="20"/>
        </w:rPr>
        <w:t>Every row of the prototype's LegacyDiff sheet whose type is not "Same": a decision, a simplification, a part not built yet, or data.</w:t>
      </w:r>
    </w:p>
    <w:tbl>
      <w:tblPr>
        <w:tblStyle w:val="TableGrid"/>
        <w:tblW w:type="dxa" w:w="9070"/>
        <w:jc w:val="left"/>
        <w:tblLayout w:type="fixed"/>
        <w:tblLook w:firstColumn="1" w:firstRow="1" w:lastColumn="0" w:lastRow="0" w:noHBand="0" w:noVBand="1" w:val="04A0"/>
      </w:tblPr>
      <w:tblGrid>
        <w:gridCol w:w="680"/>
        <w:gridCol w:w="1701"/>
        <w:gridCol w:w="3402"/>
        <w:gridCol w:w="2381"/>
        <w:gridCol w:w="907"/>
      </w:tblGrid>
      <w:tr>
        <w:trPr>
          <w:tblHeader w:val="true"/>
        </w:trPr>
        <w:tc>
          <w:tcPr>
            <w:tcW w:type="dxa" w:w="680"/>
            <w:shd w:val="clear" w:color="auto" w:fill="D9E8C4"/>
          </w:tcPr>
          <w:p>
            <w:pPr>
              <w:spacing w:after="20"/>
            </w:pPr>
            <w:r>
              <w:rPr>
                <w:rFonts w:ascii="Arial" w:hAnsi="Arial"/>
                <w:b/>
                <w:sz w:val="14"/>
              </w:rPr>
              <w:t>Row</w:t>
            </w:r>
          </w:p>
        </w:tc>
        <w:tc>
          <w:tcPr>
            <w:tcW w:type="dxa" w:w="1701"/>
            <w:shd w:val="clear" w:color="auto" w:fill="D9E8C4"/>
          </w:tcPr>
          <w:p>
            <w:pPr>
              <w:spacing w:after="20"/>
            </w:pPr>
            <w:r>
              <w:rPr>
                <w:rFonts w:ascii="Arial" w:hAnsi="Arial"/>
                <w:b/>
                <w:sz w:val="14"/>
              </w:rPr>
              <w:t>Area</w:t>
            </w:r>
          </w:p>
        </w:tc>
        <w:tc>
          <w:tcPr>
            <w:tcW w:type="dxa" w:w="3402"/>
            <w:shd w:val="clear" w:color="auto" w:fill="D9E8C4"/>
          </w:tcPr>
          <w:p>
            <w:pPr>
              <w:spacing w:after="20"/>
            </w:pPr>
            <w:r>
              <w:rPr>
                <w:rFonts w:ascii="Arial" w:hAnsi="Arial"/>
                <w:b/>
                <w:sz w:val="14"/>
              </w:rPr>
              <w:t>Prototype</w:t>
            </w:r>
          </w:p>
        </w:tc>
        <w:tc>
          <w:tcPr>
            <w:tcW w:type="dxa" w:w="2381"/>
            <w:shd w:val="clear" w:color="auto" w:fill="D9E8C4"/>
          </w:tcPr>
          <w:p>
            <w:pPr>
              <w:spacing w:after="20"/>
            </w:pPr>
            <w:r>
              <w:rPr>
                <w:rFonts w:ascii="Arial" w:hAnsi="Arial"/>
                <w:b/>
                <w:sz w:val="14"/>
              </w:rPr>
              <w:t>Why</w:t>
            </w:r>
          </w:p>
        </w:tc>
        <w:tc>
          <w:tcPr>
            <w:tcW w:type="dxa" w:w="907"/>
            <w:shd w:val="clear" w:color="auto" w:fill="D9E8C4"/>
          </w:tcPr>
          <w:p>
            <w:pPr>
              <w:spacing w:after="20"/>
            </w:pPr>
            <w:r>
              <w:rPr>
                <w:rFonts w:ascii="Arial" w:hAnsi="Arial"/>
                <w:b/>
                <w:sz w:val="14"/>
              </w:rPr>
              <w:t>Type</w:t>
            </w:r>
          </w:p>
        </w:tc>
      </w:tr>
      <w:tr>
        <w:tc>
          <w:tcPr>
            <w:tcW w:type="dxa" w:w="680"/>
          </w:tcPr>
          <w:p>
            <w:pPr>
              <w:spacing w:after="20"/>
            </w:pPr>
            <w:r>
              <w:rPr>
                <w:rFonts w:ascii="Arial" w:hAnsi="Arial"/>
                <w:b w:val="0"/>
                <w:sz w:val="14"/>
              </w:rPr>
              <w:t>LD1</w:t>
            </w:r>
          </w:p>
        </w:tc>
        <w:tc>
          <w:tcPr>
            <w:tcW w:type="dxa" w:w="1701"/>
          </w:tcPr>
          <w:p>
            <w:pPr>
              <w:spacing w:after="20"/>
            </w:pPr>
            <w:r>
              <w:rPr>
                <w:rFonts w:ascii="Arial" w:hAnsi="Arial"/>
                <w:b w:val="0"/>
                <w:sz w:val="14"/>
              </w:rPr>
              <w:t>Elasticities: food &amp; forestry</w:t>
            </w:r>
          </w:p>
        </w:tc>
        <w:tc>
          <w:tcPr>
            <w:tcW w:type="dxa" w:w="3402"/>
          </w:tcPr>
          <w:p>
            <w:pPr>
              <w:spacing w:after="20"/>
            </w:pPr>
            <w:r>
              <w:rPr>
                <w:rFonts w:ascii="Arial" w:hAnsi="Arial"/>
                <w:b w:val="0"/>
                <w:sz w:val="14"/>
              </w:rPr>
              <w:t>Services (buildings) elasticities</w:t>
            </w:r>
          </w:p>
        </w:tc>
        <w:tc>
          <w:tcPr>
            <w:tcW w:type="dxa" w:w="2381"/>
          </w:tcPr>
          <w:p>
            <w:pPr>
              <w:spacing w:after="20"/>
            </w:pPr>
            <w:r>
              <w:rPr>
                <w:rFonts w:ascii="Arial" w:hAnsi="Arial"/>
                <w:b w:val="0"/>
                <w:sz w:val="14"/>
              </w:rPr>
              <w:t>User decision v0.11; legacy groups food &amp; forestry with services as Commercial</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LD2</w:t>
            </w:r>
          </w:p>
        </w:tc>
        <w:tc>
          <w:tcPr>
            <w:tcW w:type="dxa" w:w="1701"/>
          </w:tcPr>
          <w:p>
            <w:pPr>
              <w:spacing w:after="20"/>
            </w:pPr>
            <w:r>
              <w:rPr>
                <w:rFonts w:ascii="Arial" w:hAnsi="Arial"/>
                <w:b w:val="0"/>
                <w:sz w:val="14"/>
              </w:rPr>
              <w:t>Other oil products: pass-through and margin</w:t>
            </w:r>
          </w:p>
        </w:tc>
        <w:tc>
          <w:tcPr>
            <w:tcW w:type="dxa" w:w="3402"/>
          </w:tcPr>
          <w:p>
            <w:pPr>
              <w:spacing w:after="20"/>
            </w:pPr>
            <w:r>
              <w:rPr>
                <w:rFonts w:ascii="Arial" w:hAnsi="Arial"/>
                <w:b w:val="0"/>
                <w:sz w:val="14"/>
              </w:rPr>
              <w:t>From the IMF dataset like the other oil products (Egypt 0 and 7.95 $/bbl)</w:t>
            </w:r>
          </w:p>
        </w:tc>
        <w:tc>
          <w:tcPr>
            <w:tcW w:type="dxa" w:w="2381"/>
          </w:tcPr>
          <w:p>
            <w:pPr>
              <w:spacing w:after="20"/>
            </w:pPr>
            <w:r>
              <w:rPr>
                <w:rFonts w:ascii="Arial" w:hAnsi="Arial"/>
                <w:b w:val="0"/>
                <w:sz w:val="14"/>
              </w:rPr>
              <w:t>User decision v0.10: the legacy rule drove the retail price to the 0.01 floor and fuel use 10x by 2030</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LD3</w:t>
            </w:r>
          </w:p>
        </w:tc>
        <w:tc>
          <w:tcPr>
            <w:tcW w:type="dxa" w:w="1701"/>
          </w:tcPr>
          <w:p>
            <w:pPr>
              <w:spacing w:after="20"/>
            </w:pPr>
            <w:r>
              <w:rPr>
                <w:rFonts w:ascii="Arial" w:hAnsi="Arial"/>
                <w:b w:val="0"/>
                <w:sz w:val="14"/>
              </w:rPr>
              <w:t>VAT rate where the dataset is blank</w:t>
            </w:r>
          </w:p>
        </w:tc>
        <w:tc>
          <w:tcPr>
            <w:tcW w:type="dxa" w:w="3402"/>
          </w:tcPr>
          <w:p>
            <w:pPr>
              <w:spacing w:after="20"/>
            </w:pPr>
            <w:r>
              <w:rPr>
                <w:rFonts w:ascii="Arial" w:hAnsi="Arial"/>
                <w:b w:val="0"/>
                <w:sz w:val="14"/>
              </w:rPr>
              <w:t>General VAT rate VAT_WEO for residential coal and gas and all-sector oil products; 0 for power, industry, biomass. Only for blank cells (v0.14)</w:t>
            </w:r>
          </w:p>
        </w:tc>
        <w:tc>
          <w:tcPr>
            <w:tcW w:type="dxa" w:w="2381"/>
          </w:tcPr>
          <w:p>
            <w:pPr>
              <w:spacing w:after="20"/>
            </w:pPr>
            <w:r>
              <w:rPr>
                <w:rFonts w:ascii="Arial" w:hAnsi="Arial"/>
                <w:b w:val="0"/>
                <w:sz w:val="14"/>
              </w:rPr>
              <w:t>Data issue (user 2026-10-18): blank VAT cells in the IMF price dataset, to raise with the data team (TODO); the prototype fill stays until the data are complete (user decision v0.10)</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w:t>
            </w:r>
          </w:p>
        </w:tc>
        <w:tc>
          <w:tcPr>
            <w:tcW w:type="dxa" w:w="1701"/>
          </w:tcPr>
          <w:p>
            <w:pPr>
              <w:spacing w:after="20"/>
            </w:pPr>
            <w:r>
              <w:rPr>
                <w:rFonts w:ascii="Arial" w:hAnsi="Arial"/>
                <w:b w:val="0"/>
                <w:sz w:val="14"/>
              </w:rPr>
              <w:t>Egypt price data</w:t>
            </w:r>
          </w:p>
        </w:tc>
        <w:tc>
          <w:tcPr>
            <w:tcW w:type="dxa" w:w="3402"/>
          </w:tcPr>
          <w:p>
            <w:pPr>
              <w:spacing w:after="20"/>
            </w:pPr>
            <w:r>
              <w:rPr>
                <w:rFonts w:ascii="Arial" w:hAnsi="Arial"/>
                <w:b w:val="0"/>
                <w:sz w:val="14"/>
              </w:rPr>
              <w:t>Corrected Egypt block supplied by the user (2026-10-09; 291 cells, years 2019-2020 added); changed cells bright yellow in Prices_dom</w:t>
            </w:r>
          </w:p>
        </w:tc>
        <w:tc>
          <w:tcPr>
            <w:tcW w:type="dxa" w:w="2381"/>
          </w:tcPr>
          <w:p>
            <w:pPr>
              <w:spacing w:after="20"/>
            </w:pPr>
            <w:r>
              <w:rPr>
                <w:rFonts w:ascii="Arial" w:hAnsi="Arial"/>
                <w:b w:val="0"/>
                <w:sz w:val="14"/>
              </w:rPr>
              <w:t>User data correction</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w:t>
            </w:r>
          </w:p>
        </w:tc>
        <w:tc>
          <w:tcPr>
            <w:tcW w:type="dxa" w:w="1701"/>
          </w:tcPr>
          <w:p>
            <w:pPr>
              <w:spacing w:after="20"/>
            </w:pPr>
            <w:r>
              <w:rPr>
                <w:rFonts w:ascii="Arial" w:hAnsi="Arial"/>
                <w:b w:val="0"/>
                <w:sz w:val="14"/>
              </w:rPr>
              <w:t>Oil-product share in the VAT of transport fuels</w:t>
            </w:r>
          </w:p>
        </w:tc>
        <w:tc>
          <w:tcPr>
            <w:tcW w:type="dxa" w:w="3402"/>
          </w:tcPr>
          <w:p>
            <w:pPr>
              <w:spacing w:after="20"/>
            </w:pPr>
            <w:r>
              <w:rPr>
                <w:rFonts w:ascii="Arial" w:hAnsi="Arial"/>
                <w:b w:val="0"/>
                <w:sz w:val="14"/>
              </w:rPr>
              <w:t>VAT rate x household share of the oil product (sheet OilProductShares, as legacy rows 801-816; v4.12); VAT payment = (supply cost + taxes) x rate x share</w:t>
            </w:r>
          </w:p>
        </w:tc>
        <w:tc>
          <w:tcPr>
            <w:tcW w:type="dxa" w:w="2381"/>
          </w:tcPr>
          <w:p>
            <w:pPr>
              <w:spacing w:after="20"/>
            </w:pPr>
            <w:r>
              <w:rPr>
                <w:rFonts w:ascii="Arial" w:hAnsi="Arial"/>
                <w:b w:val="0"/>
                <w:sz w:val="14"/>
              </w:rPr>
              <w:t>Replicated (user decision 2026-10-18: an issue, not a bug: legacy means to charge VAT only on the household share, firms reclaim it; issue I39); legacy bug L60 fixed (VAT payment divided by 1 + full rate)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LD6</w:t>
            </w:r>
          </w:p>
        </w:tc>
        <w:tc>
          <w:tcPr>
            <w:tcW w:type="dxa" w:w="1701"/>
          </w:tcPr>
          <w:p>
            <w:pPr>
              <w:spacing w:after="20"/>
            </w:pPr>
            <w:r>
              <w:rPr>
                <w:rFonts w:ascii="Arial" w:hAnsi="Arial"/>
                <w:b w:val="0"/>
                <w:sz w:val="14"/>
              </w:rPr>
              <w:t>New ETS price</w:t>
            </w:r>
          </w:p>
        </w:tc>
        <w:tc>
          <w:tcPr>
            <w:tcW w:type="dxa" w:w="3402"/>
          </w:tcPr>
          <w:p>
            <w:pPr>
              <w:spacing w:after="20"/>
            </w:pPr>
            <w:r>
              <w:rPr>
                <w:rFonts w:ascii="Arial" w:hAnsi="Arial"/>
                <w:b w:val="0"/>
                <w:sz w:val="14"/>
              </w:rPr>
              <w:t>Same cap; fast estimate in log form LN(cap/baseline)/(semi x effectiveness x volatility adjustment); override row pasted from ets_goalseek.py (Python, same damped log-space step, no VBA); baseline covered emissions are data from scenario 1 (bco2)</w:t>
            </w:r>
          </w:p>
        </w:tc>
        <w:tc>
          <w:tcPr>
            <w:tcW w:type="dxa" w:w="2381"/>
          </w:tcPr>
          <w:p>
            <w:pPr>
              <w:spacing w:after="20"/>
            </w:pPr>
            <w:r>
              <w:rPr>
                <w:rFonts w:ascii="Arial" w:hAnsi="Arial"/>
                <w:b w:val="0"/>
                <w:sz w:val="14"/>
              </w:rPr>
              <w:t>Legacy bug L57 (user 2026-10-18): the quick estimate is linear in the semi-elasticity, while the cap is a relative change of emissions (legacy note "arguably exp/ln"); the log form hits the cap. No circular reference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LD8</w:t>
            </w:r>
          </w:p>
        </w:tc>
        <w:tc>
          <w:tcPr>
            <w:tcW w:type="dxa" w:w="1701"/>
          </w:tcPr>
          <w:p>
            <w:pPr>
              <w:spacing w:after="20"/>
            </w:pPr>
            <w:r>
              <w:rPr>
                <w:rFonts w:ascii="Arial" w:hAnsi="Arial"/>
                <w:b w:val="0"/>
                <w:sz w:val="14"/>
              </w:rPr>
              <w:t>ETS volatility</w:t>
            </w:r>
          </w:p>
        </w:tc>
        <w:tc>
          <w:tcPr>
            <w:tcW w:type="dxa" w:w="3402"/>
          </w:tcPr>
          <w:p>
            <w:pPr>
              <w:spacing w:after="20"/>
            </w:pPr>
            <w:r>
              <w:rPr>
                <w:rFonts w:ascii="Arial" w:hAnsi="Arial"/>
                <w:b w:val="0"/>
                <w:sz w:val="14"/>
              </w:rPr>
              <w:t>Volatility adjustment (1 + policy risk x impact)/(1 + volatility x impact) from MTInputs 95-97 (1/1.1 at Medium) on the tax-equivalent price and in the fast estimate</w:t>
            </w:r>
          </w:p>
        </w:tc>
        <w:tc>
          <w:tcPr>
            <w:tcW w:type="dxa" w:w="2381"/>
          </w:tcPr>
          <w:p>
            <w:pPr>
              <w:spacing w:after="20"/>
            </w:pPr>
            <w:r>
              <w:rPr>
                <w:rFonts w:ascii="Arial" w:hAnsi="Arial"/>
                <w:b w:val="0"/>
                <w:sz w:val="14"/>
              </w:rPr>
              <w:t>Legacy bug L15: the relative price is a hardcoded 1.1 and the volatility inputs are not used (user suggestion v1.02: volatility-dependent effectiveness)</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LD10</w:t>
            </w:r>
          </w:p>
        </w:tc>
        <w:tc>
          <w:tcPr>
            <w:tcW w:type="dxa" w:w="1701"/>
          </w:tcPr>
          <w:p>
            <w:pPr>
              <w:spacing w:after="20"/>
            </w:pPr>
            <w:r>
              <w:rPr>
                <w:rFonts w:ascii="Arial" w:hAnsi="Arial"/>
                <w:b w:val="0"/>
                <w:sz w:val="14"/>
              </w:rPr>
              <w:t>Policy paths after the target year</w:t>
            </w:r>
          </w:p>
        </w:tc>
        <w:tc>
          <w:tcPr>
            <w:tcW w:type="dxa" w:w="3402"/>
          </w:tcPr>
          <w:p>
            <w:pPr>
              <w:spacing w:after="20"/>
            </w:pPr>
            <w:r>
              <w:rPr>
                <w:rFonts w:ascii="Arial" w:hAnsi="Arial"/>
                <w:b w:val="0"/>
                <w:sz w:val="14"/>
              </w:rPr>
              <w:t>Linear continuation for fuel price reform and feebates; carbon price keeps the switch; ETS benchmarks constant; ETS cap per MTInputs switch</w:t>
            </w:r>
          </w:p>
        </w:tc>
        <w:tc>
          <w:tcPr>
            <w:tcW w:type="dxa" w:w="2381"/>
          </w:tcPr>
          <w:p>
            <w:pPr>
              <w:spacing w:after="20"/>
            </w:pPr>
            <w:r>
              <w:rPr>
                <w:rFonts w:ascii="Arial" w:hAnsi="Arial"/>
                <w:b w:val="0"/>
                <w:sz w:val="14"/>
              </w:rPr>
              <w:t>User decision v0.8 (one default)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LD13</w:t>
            </w:r>
          </w:p>
        </w:tc>
        <w:tc>
          <w:tcPr>
            <w:tcW w:type="dxa" w:w="1701"/>
          </w:tcPr>
          <w:p>
            <w:pPr>
              <w:spacing w:after="20"/>
            </w:pPr>
            <w:r>
              <w:rPr>
                <w:rFonts w:ascii="Arial" w:hAnsi="Arial"/>
                <w:b w:val="0"/>
                <w:sz w:val="14"/>
              </w:rPr>
              <w:t>Biomass carbon-tax coverage</w:t>
            </w:r>
          </w:p>
        </w:tc>
        <w:tc>
          <w:tcPr>
            <w:tcW w:type="dxa" w:w="3402"/>
          </w:tcPr>
          <w:p>
            <w:pPr>
              <w:spacing w:after="20"/>
            </w:pPr>
            <w:r>
              <w:rPr>
                <w:rFonts w:ascii="Arial" w:hAnsi="Arial"/>
                <w:b w:val="0"/>
                <w:sz w:val="14"/>
              </w:rPr>
              <w:t>TRUE (EF 0)</w:t>
            </w:r>
          </w:p>
        </w:tc>
        <w:tc>
          <w:tcPr>
            <w:tcW w:type="dxa" w:w="2381"/>
          </w:tcPr>
          <w:p>
            <w:pPr>
              <w:spacing w:after="20"/>
            </w:pPr>
            <w:r>
              <w:rPr>
                <w:rFonts w:ascii="Arial" w:hAnsi="Arial"/>
                <w:b w:val="0"/>
                <w:sz w:val="14"/>
              </w:rPr>
              <w:t>User decision v0.8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LD14</w:t>
            </w:r>
          </w:p>
        </w:tc>
        <w:tc>
          <w:tcPr>
            <w:tcW w:type="dxa" w:w="1701"/>
          </w:tcPr>
          <w:p>
            <w:pPr>
              <w:spacing w:after="20"/>
            </w:pPr>
            <w:r>
              <w:rPr>
                <w:rFonts w:ascii="Arial" w:hAnsi="Arial"/>
                <w:b w:val="0"/>
                <w:sz w:val="14"/>
              </w:rPr>
              <w:t>Sign of subsidies</w:t>
            </w:r>
          </w:p>
        </w:tc>
        <w:tc>
          <w:tcPr>
            <w:tcW w:type="dxa" w:w="3402"/>
          </w:tcPr>
          <w:p>
            <w:pPr>
              <w:spacing w:after="20"/>
            </w:pPr>
            <w:r>
              <w:rPr>
                <w:rFonts w:ascii="Arial" w:hAnsi="Arial"/>
                <w:b w:val="0"/>
                <w:sz w:val="14"/>
              </w:rPr>
              <w:t>Subsidies negative: esub, esubpu, rsub, prsub, sgap, rgap; net existing revenue rnet = rtx + rsub</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LD15</w:t>
            </w:r>
          </w:p>
        </w:tc>
        <w:tc>
          <w:tcPr>
            <w:tcW w:type="dxa" w:w="1701"/>
          </w:tcPr>
          <w:p>
            <w:pPr>
              <w:spacing w:after="20"/>
            </w:pPr>
            <w:r>
              <w:rPr>
                <w:rFonts w:ascii="Arial" w:hAnsi="Arial"/>
                <w:b w:val="0"/>
                <w:sz w:val="14"/>
              </w:rPr>
              <w:t>Constants and row pointers</w:t>
            </w:r>
          </w:p>
        </w:tc>
        <w:tc>
          <w:tcPr>
            <w:tcW w:type="dxa" w:w="3402"/>
          </w:tcPr>
          <w:p>
            <w:pPr>
              <w:spacing w:after="20"/>
            </w:pPr>
            <w:r>
              <w:rPr>
                <w:rFonts w:ascii="Arial" w:hAnsi="Arial"/>
                <w:b w:val="0"/>
                <w:sz w:val="14"/>
              </w:rPr>
              <w:t>Looked up: named constants and policy assumptions on sheet Constants, MTInputs rows on Mapping (by NameOfParameter or label), baseline CO2 on sheet BaselineCO2</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LD16</w:t>
            </w:r>
          </w:p>
        </w:tc>
        <w:tc>
          <w:tcPr>
            <w:tcW w:type="dxa" w:w="1701"/>
          </w:tcPr>
          <w:p>
            <w:pPr>
              <w:spacing w:after="20"/>
            </w:pPr>
            <w:r>
              <w:rPr>
                <w:rFonts w:ascii="Arial" w:hAnsi="Arial"/>
                <w:b w:val="0"/>
                <w:sz w:val="14"/>
              </w:rPr>
              <w:t>Margins and production costs</w:t>
            </w:r>
          </w:p>
        </w:tc>
        <w:tc>
          <w:tcPr>
            <w:tcW w:type="dxa" w:w="3402"/>
          </w:tcPr>
          <w:p>
            <w:pPr>
              <w:spacing w:after="20"/>
            </w:pPr>
            <w:r>
              <w:rPr>
                <w:rFonts w:ascii="Arial" w:hAnsi="Arial"/>
                <w:b w:val="0"/>
                <w:sz w:val="14"/>
              </w:rPr>
              <w:t>x CPI index of the base year</w:t>
            </w:r>
          </w:p>
        </w:tc>
        <w:tc>
          <w:tcPr>
            <w:tcW w:type="dxa" w:w="2381"/>
          </w:tcPr>
          <w:p>
            <w:pPr>
              <w:spacing w:after="20"/>
            </w:pPr>
            <w:r>
              <w:rPr>
                <w:rFonts w:ascii="Arial" w:hAnsi="Arial"/>
                <w:b w:val="0"/>
                <w:sz w:val="14"/>
              </w:rPr>
              <w:t>Consistent real terms (assumption A4)</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LD19</w:t>
            </w:r>
          </w:p>
        </w:tc>
        <w:tc>
          <w:tcPr>
            <w:tcW w:type="dxa" w:w="1701"/>
          </w:tcPr>
          <w:p>
            <w:pPr>
              <w:spacing w:after="20"/>
            </w:pPr>
            <w:r>
              <w:rPr>
                <w:rFonts w:ascii="Arial" w:hAnsi="Arial"/>
                <w:b w:val="0"/>
                <w:sz w:val="14"/>
              </w:rPr>
              <w:t>Producer subsidies</w:t>
            </w:r>
          </w:p>
        </w:tc>
        <w:tc>
          <w:tcPr>
            <w:tcW w:type="dxa" w:w="3402"/>
          </w:tcPr>
          <w:p>
            <w:pPr>
              <w:spacing w:after="20"/>
            </w:pPr>
            <w:r>
              <w:rPr>
                <w:rFonts w:ascii="Arial" w:hAnsi="Arial"/>
                <w:b w:val="0"/>
                <w:sz w:val="14"/>
              </w:rPr>
              <w:t>Fiscal line by fuel (v4.16, LD19): producer subsidies (Prices_dom mit.pros, USD m real) x phase-out factor, in total revenue (rpsu), 12e and the fiscal space; no price effect</w:t>
            </w:r>
          </w:p>
        </w:tc>
        <w:tc>
          <w:tcPr>
            <w:tcW w:type="dxa" w:w="2381"/>
          </w:tcPr>
          <w:p>
            <w:pPr>
              <w:spacing w:after="20"/>
            </w:pPr>
            <w:r>
              <w:rPr>
                <w:rFonts w:ascii="Arial" w:hAnsi="Arial"/>
                <w:b w:val="0"/>
                <w:sz w:val="14"/>
              </w:rPr>
              <w:t>User 2026-10-18 (add producer subsidies); legacy bugs L82, L83 fixed; issue I49: no price effect (legacy spreads the subsidy over world demand, so near zero for oil, coal and gas)</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LD23</w:t>
            </w:r>
          </w:p>
        </w:tc>
        <w:tc>
          <w:tcPr>
            <w:tcW w:type="dxa" w:w="1701"/>
          </w:tcPr>
          <w:p>
            <w:pPr>
              <w:spacing w:after="20"/>
            </w:pPr>
            <w:r>
              <w:rPr>
                <w:rFonts w:ascii="Arial" w:hAnsi="Arial"/>
                <w:b w:val="0"/>
                <w:sz w:val="14"/>
              </w:rPr>
              <w:t>Power: bug fixes (v1.06)</w:t>
            </w:r>
          </w:p>
        </w:tc>
        <w:tc>
          <w:tcPr>
            <w:tcW w:type="dxa" w:w="3402"/>
          </w:tcPr>
          <w:p>
            <w:pPr>
              <w:spacing w:after="20"/>
            </w:pPr>
            <w:r>
              <w:rPr>
                <w:rFonts w:ascii="Arial" w:hAnsi="Arial"/>
                <w:b w:val="0"/>
                <w:sz w:val="14"/>
              </w:rPr>
              <w:t>Fixed</w:t>
            </w:r>
          </w:p>
        </w:tc>
        <w:tc>
          <w:tcPr>
            <w:tcW w:type="dxa" w:w="2381"/>
          </w:tcPr>
          <w:p>
            <w:pPr>
              <w:spacing w:after="20"/>
            </w:pPr>
            <w:r>
              <w:rPr>
                <w:rFonts w:ascii="Arial" w:hAnsi="Arial"/>
                <w:b w:val="0"/>
                <w:sz w:val="14"/>
              </w:rPr>
              <w:t>User request v1.06; L67 by user decision 2026-10-18</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LD28</w:t>
            </w:r>
          </w:p>
        </w:tc>
        <w:tc>
          <w:tcPr>
            <w:tcW w:type="dxa" w:w="1701"/>
          </w:tcPr>
          <w:p>
            <w:pPr>
              <w:spacing w:after="20"/>
            </w:pPr>
            <w:r>
              <w:rPr>
                <w:rFonts w:ascii="Arial" w:hAnsi="Arial"/>
                <w:b w:val="0"/>
                <w:sz w:val="14"/>
              </w:rPr>
              <w:t>Power: features not built</w:t>
            </w:r>
          </w:p>
        </w:tc>
        <w:tc>
          <w:tcPr>
            <w:tcW w:type="dxa" w:w="3402"/>
          </w:tcPr>
          <w:p>
            <w:pPr>
              <w:spacing w:after="20"/>
            </w:pPr>
            <w:r>
              <w:rPr>
                <w:rFonts w:ascii="Arial" w:hAnsi="Arial"/>
                <w:b w:val="0"/>
                <w:sz w:val="14"/>
              </w:rPr>
              <w:t>Dropped (user decisions 4 and 5 of the power plan; the rebate covers the demand-side feebate). Built: v5.4 PPAs, deficit to gas, renewable subsidies, rebate, electricity excise, every power input by scenario; v5.6 manual capacity and investment (P3: rows mancap, mani, needm; Manual inputs 349-357 scenario 1, 363-371 other scenarios; legacy bug L118 fixed: logit investment sized on the need net of manual investment)</w:t>
            </w:r>
          </w:p>
        </w:tc>
        <w:tc>
          <w:tcPr>
            <w:tcW w:type="dxa" w:w="2381"/>
          </w:tcPr>
          <w:p>
            <w:pPr>
              <w:spacing w:after="20"/>
            </w:pPr>
            <w:r>
              <w:rPr>
                <w:rFonts w:ascii="Arial" w:hAnsi="Arial"/>
                <w:b w:val="0"/>
                <w:sz w:val="14"/>
              </w:rPr>
              <w:t>Scope (power plan)</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LD33</w:t>
            </w:r>
          </w:p>
        </w:tc>
        <w:tc>
          <w:tcPr>
            <w:tcW w:type="dxa" w:w="1701"/>
          </w:tcPr>
          <w:p>
            <w:pPr>
              <w:spacing w:after="20"/>
            </w:pPr>
            <w:r>
              <w:rPr>
                <w:rFonts w:ascii="Arial" w:hAnsi="Arial"/>
                <w:b w:val="0"/>
                <w:sz w:val="14"/>
              </w:rPr>
              <w:t>Power: historical electricity prices and VAT</w:t>
            </w:r>
          </w:p>
        </w:tc>
        <w:tc>
          <w:tcPr>
            <w:tcW w:type="dxa" w:w="3402"/>
          </w:tcPr>
          <w:p>
            <w:pPr>
              <w:spacing w:after="20"/>
            </w:pPr>
            <w:r>
              <w:rPr>
                <w:rFonts w:ascii="Arial" w:hAnsi="Arial"/>
                <w:b w:val="0"/>
                <w:sz w:val="14"/>
              </w:rPr>
              <w:t>Corrected Egypt block (residential 0.054, 0.048, 0.043 $/kWh nominal 2022-2024; VAT 0)</w:t>
            </w:r>
          </w:p>
        </w:tc>
        <w:tc>
          <w:tcPr>
            <w:tcW w:type="dxa" w:w="2381"/>
          </w:tcPr>
          <w:p>
            <w:pPr>
              <w:spacing w:after="20"/>
            </w:pPr>
            <w:r>
              <w:rPr>
                <w:rFonts w:ascii="Arial" w:hAnsi="Arial"/>
                <w:b w:val="0"/>
                <w:sz w:val="14"/>
              </w:rPr>
              <w:t>User data (2026-10-09)</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LD38</w:t>
            </w:r>
          </w:p>
        </w:tc>
        <w:tc>
          <w:tcPr>
            <w:tcW w:type="dxa" w:w="1701"/>
          </w:tcPr>
          <w:p>
            <w:pPr>
              <w:spacing w:after="20"/>
            </w:pPr>
            <w:r>
              <w:rPr>
                <w:rFonts w:ascii="Arial" w:hAnsi="Arial"/>
                <w:b w:val="0"/>
                <w:sz w:val="14"/>
              </w:rPr>
              <w:t>Existing carbon pricing</w:t>
            </w:r>
          </w:p>
        </w:tc>
        <w:tc>
          <w:tcPr>
            <w:tcW w:type="dxa" w:w="3402"/>
          </w:tcPr>
          <w:p>
            <w:pPr>
              <w:spacing w:after="20"/>
            </w:pPr>
            <w:r>
              <w:rPr>
                <w:rFonts w:ascii="Arial" w:hAnsi="Arial"/>
                <w:b w:val="0"/>
                <w:sz w:val="14"/>
              </w:rPr>
              <w:t>As legacy (v4.12):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tcW w:type="dxa" w:w="2381"/>
          </w:tcPr>
          <w:p>
            <w:pPr>
              <w:spacing w:after="20"/>
            </w:pPr>
            <w:r>
              <w:rPr>
                <w:rFonts w:ascii="Arial" w:hAnsi="Arial"/>
                <w:b w:val="0"/>
                <w:sz w:val="14"/>
              </w:rPr>
              <w:t>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LD40</w:t>
            </w:r>
          </w:p>
        </w:tc>
        <w:tc>
          <w:tcPr>
            <w:tcW w:type="dxa" w:w="1701"/>
          </w:tcPr>
          <w:p>
            <w:pPr>
              <w:spacing w:after="20"/>
            </w:pPr>
            <w:r>
              <w:rPr>
                <w:rFonts w:ascii="Arial" w:hAnsi="Arial"/>
                <w:b w:val="0"/>
                <w:sz w:val="14"/>
              </w:rPr>
              <w:t>Horizon and indices</w:t>
            </w:r>
          </w:p>
        </w:tc>
        <w:tc>
          <w:tcPr>
            <w:tcW w:type="dxa" w:w="3402"/>
          </w:tcPr>
          <w:p>
            <w:pPr>
              <w:spacing w:after="20"/>
            </w:pPr>
            <w:r>
              <w:rPr>
                <w:rFonts w:ascii="Arial" w:hAnsi="Arial"/>
                <w:b w:val="0"/>
                <w:sz w:val="14"/>
              </w:rPr>
              <w:t>To 2041 (v2.3; the last year is the LAMBDA year); same indices; values after 2030 not a legacy target</w:t>
            </w:r>
          </w:p>
        </w:tc>
        <w:tc>
          <w:tcPr>
            <w:tcW w:type="dxa" w:w="2381"/>
          </w:tcPr>
          <w:p>
            <w:pPr>
              <w:spacing w:after="20"/>
            </w:pPr>
            <w:r>
              <w:rPr>
                <w:rFonts w:ascii="Arial" w:hAnsi="Arial"/>
                <w:b w:val="0"/>
                <w:sz w:val="14"/>
              </w:rPr>
              <w:t>User decisions v0.9 / v0.11 / v2.3</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LD41</w:t>
            </w:r>
          </w:p>
        </w:tc>
        <w:tc>
          <w:tcPr>
            <w:tcW w:type="dxa" w:w="1701"/>
          </w:tcPr>
          <w:p>
            <w:pPr>
              <w:spacing w:after="20"/>
            </w:pPr>
            <w:r>
              <w:rPr>
                <w:rFonts w:ascii="Arial" w:hAnsi="Arial"/>
                <w:b w:val="0"/>
                <w:sz w:val="14"/>
              </w:rPr>
              <w:t>Data vintage</w:t>
            </w:r>
          </w:p>
        </w:tc>
        <w:tc>
          <w:tcPr>
            <w:tcW w:type="dxa" w:w="3402"/>
          </w:tcPr>
          <w:p>
            <w:pPr>
              <w:spacing w:after="20"/>
            </w:pPr>
            <w:r>
              <w:rPr>
                <w:rFonts w:ascii="Arial" w:hAnsi="Arial"/>
                <w:b w:val="0"/>
                <w:sz w:val="14"/>
              </w:rPr>
              <w:t>NoPropData extracts; energy use via kernel v1.6; IIASA EFs without inventory adjustment</w:t>
            </w:r>
          </w:p>
        </w:tc>
        <w:tc>
          <w:tcPr>
            <w:tcW w:type="dxa" w:w="2381"/>
          </w:tcPr>
          <w:p>
            <w:pPr>
              <w:spacing w:after="20"/>
            </w:pPr>
            <w:r>
              <w:rPr>
                <w:rFonts w:ascii="Arial" w:hAnsi="Arial"/>
                <w:b w:val="0"/>
                <w:sz w:val="14"/>
              </w:rPr>
              <w:t>No proprietary data</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LD43</w:t>
            </w:r>
          </w:p>
        </w:tc>
        <w:tc>
          <w:tcPr>
            <w:tcW w:type="dxa" w:w="1701"/>
          </w:tcPr>
          <w:p>
            <w:pPr>
              <w:spacing w:after="20"/>
            </w:pPr>
            <w:r>
              <w:rPr>
                <w:rFonts w:ascii="Arial" w:hAnsi="Arial"/>
                <w:b w:val="0"/>
                <w:sz w:val="14"/>
              </w:rPr>
              <w:t>GHGs: non-energy methane (v2.8)</w:t>
            </w:r>
          </w:p>
        </w:tc>
        <w:tc>
          <w:tcPr>
            <w:tcW w:type="dxa" w:w="3402"/>
          </w:tcPr>
          <w:p>
            <w:pPr>
              <w:spacing w:after="20"/>
            </w:pPr>
            <w:r>
              <w:rPr>
                <w:rFonts w:ascii="Arial" w:hAnsi="Arial"/>
                <w:b w:val="0"/>
                <w:sz w:val="14"/>
              </w:rPr>
              <w:t>Grow with income and population (legacy elasticities); the methane fee abates each source along its own CH4Inputs curve</w:t>
            </w:r>
          </w:p>
        </w:tc>
        <w:tc>
          <w:tcPr>
            <w:tcW w:type="dxa" w:w="2381"/>
          </w:tcPr>
          <w:p>
            <w:pPr>
              <w:spacing w:after="20"/>
            </w:pPr>
            <w:r>
              <w:rPr>
                <w:rFonts w:ascii="Arial" w:hAnsi="Arial"/>
                <w:b w:val="0"/>
                <w:sz w:val="14"/>
              </w:rPr>
              <w:t>Legacy bugs L18, L21</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LD44</w:t>
            </w:r>
          </w:p>
        </w:tc>
        <w:tc>
          <w:tcPr>
            <w:tcW w:type="dxa" w:w="1701"/>
          </w:tcPr>
          <w:p>
            <w:pPr>
              <w:spacing w:after="20"/>
            </w:pPr>
            <w:r>
              <w:rPr>
                <w:rFonts w:ascii="Arial" w:hAnsi="Arial"/>
                <w:b w:val="0"/>
                <w:sz w:val="14"/>
              </w:rPr>
              <w:t>GHGs: flaring (v2.8)</w:t>
            </w:r>
          </w:p>
        </w:tc>
        <w:tc>
          <w:tcPr>
            <w:tcW w:type="dxa" w:w="3402"/>
          </w:tcPr>
          <w:p>
            <w:pPr>
              <w:spacing w:after="20"/>
            </w:pPr>
            <w:r>
              <w:rPr>
                <w:rFonts w:ascii="Arial" w:hAnsi="Arial"/>
                <w:b w:val="0"/>
                <w:sz w:val="14"/>
              </w:rPr>
              <w:t>Reported as CO2 in energy (ghg.flr)</w:t>
            </w:r>
          </w:p>
        </w:tc>
        <w:tc>
          <w:tcPr>
            <w:tcW w:type="dxa" w:w="2381"/>
          </w:tcPr>
          <w:p>
            <w:pPr>
              <w:spacing w:after="20"/>
            </w:pPr>
            <w:r>
              <w:rPr>
                <w:rFonts w:ascii="Arial" w:hAnsi="Arial"/>
                <w:b w:val="0"/>
                <w:sz w:val="14"/>
              </w:rPr>
              <w:t>Legacy bug L19</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LD45</w:t>
            </w:r>
          </w:p>
        </w:tc>
        <w:tc>
          <w:tcPr>
            <w:tcW w:type="dxa" w:w="1701"/>
          </w:tcPr>
          <w:p>
            <w:pPr>
              <w:spacing w:after="20"/>
            </w:pPr>
            <w:r>
              <w:rPr>
                <w:rFonts w:ascii="Arial" w:hAnsi="Arial"/>
                <w:b w:val="0"/>
                <w:sz w:val="14"/>
              </w:rPr>
              <w:t>GHGs: population (v2.8)</w:t>
            </w:r>
          </w:p>
        </w:tc>
        <w:tc>
          <w:tcPr>
            <w:tcW w:type="dxa" w:w="3402"/>
          </w:tcPr>
          <w:p>
            <w:pPr>
              <w:spacing w:after="20"/>
            </w:pPr>
            <w:r>
              <w:rPr>
                <w:rFonts w:ascii="Arial" w:hAnsi="Arial"/>
                <w:b w:val="0"/>
                <w:sz w:val="14"/>
              </w:rPr>
              <w:t>UN WPP (sheet UNPop)</w:t>
            </w:r>
          </w:p>
        </w:tc>
        <w:tc>
          <w:tcPr>
            <w:tcW w:type="dxa" w:w="2381"/>
          </w:tcPr>
          <w:p>
            <w:pPr>
              <w:spacing w:after="20"/>
            </w:pPr>
            <w:r>
              <w:rPr>
                <w:rFonts w:ascii="Arial" w:hAnsi="Arial"/>
                <w:b w:val="0"/>
                <w:sz w:val="14"/>
              </w:rPr>
              <w:t>Legacy bug L20</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LD47</w:t>
            </w:r>
          </w:p>
        </w:tc>
        <w:tc>
          <w:tcPr>
            <w:tcW w:type="dxa" w:w="1701"/>
          </w:tcPr>
          <w:p>
            <w:pPr>
              <w:spacing w:after="20"/>
            </w:pPr>
            <w:r>
              <w:rPr>
                <w:rFonts w:ascii="Arial" w:hAnsi="Arial"/>
                <w:b w:val="0"/>
                <w:sz w:val="14"/>
              </w:rPr>
              <w:t>GHGs: combustion emission factors (v2.8)</w:t>
            </w:r>
          </w:p>
        </w:tc>
        <w:tc>
          <w:tcPr>
            <w:tcW w:type="dxa" w:w="3402"/>
          </w:tcPr>
          <w:p>
            <w:pPr>
              <w:spacing w:after="20"/>
            </w:pPr>
            <w:r>
              <w:rPr>
                <w:rFonts w:ascii="Arial" w:hAnsi="Arial"/>
                <w:b w:val="0"/>
                <w:sz w:val="14"/>
              </w:rPr>
              <w:t>GAINS base and final factor (EF_PM FE in, FE fin), linear to EFEndYear (2039), flat after</w:t>
            </w:r>
          </w:p>
        </w:tc>
        <w:tc>
          <w:tcPr>
            <w:tcW w:type="dxa" w:w="2381"/>
          </w:tcPr>
          <w:p>
            <w:pPr>
              <w:spacing w:after="20"/>
            </w:pPr>
            <w:r>
              <w:rPr>
                <w:rFonts w:ascii="Arial" w:hAnsi="Arial"/>
                <w:b w:val="0"/>
                <w:sz w:val="14"/>
              </w:rPr>
              <w:t>Data (user 2026-10-18): the NoPropData file has no factor paths; a new legacy file with the GAINS paths is needed (TODO)</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LD49</w:t>
            </w:r>
          </w:p>
        </w:tc>
        <w:tc>
          <w:tcPr>
            <w:tcW w:type="dxa" w:w="1701"/>
          </w:tcPr>
          <w:p>
            <w:pPr>
              <w:spacing w:after="20"/>
            </w:pPr>
            <w:r>
              <w:rPr>
                <w:rFonts w:ascii="Arial" w:hAnsi="Arial"/>
                <w:b w:val="0"/>
                <w:sz w:val="14"/>
              </w:rPr>
              <w:t>Local pollutants: factor mapping (v2.9)</w:t>
            </w:r>
          </w:p>
        </w:tc>
        <w:tc>
          <w:tcPr>
            <w:tcW w:type="dxa" w:w="3402"/>
          </w:tcPr>
          <w:p>
            <w:pPr>
              <w:spacing w:after="20"/>
            </w:pPr>
            <w:r>
              <w:rPr>
                <w:rFonts w:ascii="Arial" w:hAnsi="Arial"/>
                <w:b w:val="0"/>
                <w:sz w:val="14"/>
              </w:rPr>
              <w:t>Each subsector takes the GAINS subsector of its CH4 factor (services as residential, rail as road, industry as manufacturing; Inputs column ch4s); v4.12: a fuel its GAINS subsector has no factor for takes the nearest GAINS match (LPG: natural gas of the same subsector; food &amp; forestry: construction; else manufacturing; Inputs columns efxs:eff)</w:t>
            </w:r>
          </w:p>
        </w:tc>
        <w:tc>
          <w:tcPr>
            <w:tcW w:type="dxa" w:w="2381"/>
          </w:tcPr>
          <w:p>
            <w:pPr>
              <w:spacing w:after="20"/>
            </w:pPr>
            <w:r>
              <w:rPr>
                <w:rFonts w:ascii="Arial" w:hAnsi="Arial"/>
                <w:b w:val="0"/>
                <w:sz w:val="14"/>
              </w:rPr>
              <w:t>Legacy bugs L58 (user 2026-10-18; was issue I27) and L59 (user 2026-10-18; was issue I35): a subsector or fuel without a GAINS match silently gets zero factors although it burns fuel</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LD50</w:t>
            </w:r>
          </w:p>
        </w:tc>
        <w:tc>
          <w:tcPr>
            <w:tcW w:type="dxa" w:w="1701"/>
          </w:tcPr>
          <w:p>
            <w:pPr>
              <w:spacing w:after="20"/>
            </w:pPr>
            <w:r>
              <w:rPr>
                <w:rFonts w:ascii="Arial" w:hAnsi="Arial"/>
                <w:b w:val="0"/>
                <w:sz w:val="14"/>
              </w:rPr>
              <w:t>Local pollutants: navigation (v2.9)</w:t>
            </w:r>
          </w:p>
        </w:tc>
        <w:tc>
          <w:tcPr>
            <w:tcW w:type="dxa" w:w="3402"/>
          </w:tcPr>
          <w:p>
            <w:pPr>
              <w:spacing w:after="20"/>
            </w:pPr>
            <w:r>
              <w:rPr>
                <w:rFonts w:ascii="Arial" w:hAnsi="Arial"/>
                <w:b w:val="0"/>
                <w:sz w:val="14"/>
              </w:rPr>
              <w:t>Navigation included in the transport and total rows</w:t>
            </w:r>
          </w:p>
        </w:tc>
        <w:tc>
          <w:tcPr>
            <w:tcW w:type="dxa" w:w="2381"/>
          </w:tcPr>
          <w:p>
            <w:pPr>
              <w:spacing w:after="20"/>
            </w:pPr>
            <w:r>
              <w:rPr>
                <w:rFonts w:ascii="Arial" w:hAnsi="Arial"/>
                <w:b w:val="0"/>
                <w:sz w:val="14"/>
              </w:rPr>
              <w:t>Legacy bug L22</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LD52</w:t>
            </w:r>
          </w:p>
        </w:tc>
        <w:tc>
          <w:tcPr>
            <w:tcW w:type="dxa" w:w="1701"/>
          </w:tcPr>
          <w:p>
            <w:pPr>
              <w:spacing w:after="20"/>
            </w:pPr>
            <w:r>
              <w:rPr>
                <w:rFonts w:ascii="Arial" w:hAnsi="Arial"/>
                <w:b w:val="0"/>
                <w:sz w:val="14"/>
              </w:rPr>
              <w:t>Local pollutants: total (v3.0)</w:t>
            </w:r>
          </w:p>
        </w:tc>
        <w:tc>
          <w:tcPr>
            <w:tcW w:type="dxa" w:w="3402"/>
          </w:tcPr>
          <w:p>
            <w:pPr>
              <w:spacing w:after="20"/>
            </w:pPr>
            <w:r>
              <w:rPr>
                <w:rFonts w:ascii="Arial" w:hAnsi="Arial"/>
                <w:b w:val="0"/>
                <w:sz w:val="14"/>
              </w:rPr>
              <w:t>Total = all subsectors + power = sum of the seven air-pollution sectors</w:t>
            </w:r>
          </w:p>
        </w:tc>
        <w:tc>
          <w:tcPr>
            <w:tcW w:type="dxa" w:w="2381"/>
          </w:tcPr>
          <w:p>
            <w:pPr>
              <w:spacing w:after="20"/>
            </w:pPr>
            <w:r>
              <w:rPr>
                <w:rFonts w:ascii="Arial" w:hAnsi="Arial"/>
                <w:b w:val="0"/>
                <w:sz w:val="14"/>
              </w:rPr>
              <w:t>Legacy bug L23</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LD54</w:t>
            </w:r>
          </w:p>
        </w:tc>
        <w:tc>
          <w:tcPr>
            <w:tcW w:type="dxa" w:w="1701"/>
          </w:tcPr>
          <w:p>
            <w:pPr>
              <w:spacing w:after="20"/>
            </w:pPr>
            <w:r>
              <w:rPr>
                <w:rFonts w:ascii="Arial" w:hAnsi="Arial"/>
                <w:b w:val="0"/>
                <w:sz w:val="14"/>
              </w:rPr>
              <w:t>GDP effects: feedback (v3.1)</w:t>
            </w:r>
          </w:p>
        </w:tc>
        <w:tc>
          <w:tcPr>
            <w:tcW w:type="dxa" w:w="3402"/>
          </w:tcPr>
          <w:p>
            <w:pPr>
              <w:spacing w:after="20"/>
            </w:pPr>
            <w:r>
              <w:rPr>
                <w:rFonts w:ascii="Arial" w:hAnsi="Arial"/>
                <w:b w:val="0"/>
                <w:sz w:val="14"/>
              </w:rPr>
              <w:t>GDP level raised by the effect: growth = (1 + baseline growth) x (1 + effect(t-1)) / (1 + effect(t-2)) - 1</w:t>
            </w:r>
          </w:p>
        </w:tc>
        <w:tc>
          <w:tcPr>
            <w:tcW w:type="dxa" w:w="2381"/>
          </w:tcPr>
          <w:p>
            <w:pPr>
              <w:spacing w:after="20"/>
            </w:pPr>
            <w:r>
              <w:rPr>
                <w:rFonts w:ascii="Arial" w:hAnsi="Arial"/>
                <w:b w:val="0"/>
                <w:sz w:val="14"/>
              </w:rPr>
              <w:t>Legacy bug L24 (user decision v3.1: fix)</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LD58</w:t>
            </w:r>
          </w:p>
        </w:tc>
        <w:tc>
          <w:tcPr>
            <w:tcW w:type="dxa" w:w="1701"/>
          </w:tcPr>
          <w:p>
            <w:pPr>
              <w:spacing w:after="20"/>
            </w:pPr>
            <w:r>
              <w:rPr>
                <w:rFonts w:ascii="Arial" w:hAnsi="Arial"/>
                <w:b w:val="0"/>
                <w:sz w:val="14"/>
              </w:rPr>
              <w:t>GDP effects: legacy values (v3.1)</w:t>
            </w:r>
          </w:p>
        </w:tc>
        <w:tc>
          <w:tcPr>
            <w:tcW w:type="dxa" w:w="3402"/>
          </w:tcPr>
          <w:p>
            <w:pPr>
              <w:spacing w:after="20"/>
            </w:pPr>
            <w:r>
              <w:rPr>
                <w:rFonts w:ascii="Arial" w:hAnsi="Arial"/>
                <w:b w:val="0"/>
                <w:sz w:val="14"/>
              </w:rPr>
              <w:t>Computed</w:t>
            </w:r>
          </w:p>
        </w:tc>
        <w:tc>
          <w:tcPr>
            <w:tcW w:type="dxa" w:w="2381"/>
          </w:tcPr>
          <w:p>
            <w:pPr>
              <w:spacing w:after="20"/>
            </w:pPr>
            <w:r>
              <w:rPr>
                <w:rFonts w:ascii="Arial" w:hAnsi="Arial"/>
                <w:b w:val="0"/>
                <w:sz w:val="14"/>
              </w:rPr>
              <w:t>Proprietary rows stripped in the baseline block; v4.15 survey: the policy block has a benchmark, from a different carbon price path than the prototype scenarios</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LD59</w:t>
            </w:r>
          </w:p>
        </w:tc>
        <w:tc>
          <w:tcPr>
            <w:tcW w:type="dxa" w:w="1701"/>
          </w:tcPr>
          <w:p>
            <w:pPr>
              <w:spacing w:after="20"/>
            </w:pPr>
            <w:r>
              <w:rPr>
                <w:rFonts w:ascii="Arial" w:hAnsi="Arial"/>
                <w:b w:val="0"/>
                <w:sz w:val="14"/>
              </w:rPr>
              <w:t>Road transport: engineer model (v3.5)</w:t>
            </w:r>
          </w:p>
        </w:tc>
        <w:tc>
          <w:tcPr>
            <w:tcW w:type="dxa" w:w="3402"/>
          </w:tcPr>
          <w:p>
            <w:pPr>
              <w:spacing w:after="20"/>
            </w:pPr>
            <w:r>
              <w:rPr>
                <w:rFonts w:ascii="Arial" w:hAnsi="Arial"/>
                <w:b w:val="0"/>
                <w:sz w:val="14"/>
              </w:rPr>
              <w:t>Section 5b of every scenario group, every row live (Methods, chapter Transport); TrModel default Elasticity, Engineer by switch; the 17 legacy bugs of Methods, chapter Transport section 3 fixed (B1-B23)</w:t>
            </w:r>
          </w:p>
        </w:tc>
        <w:tc>
          <w:tcPr>
            <w:tcW w:type="dxa" w:w="2381"/>
          </w:tcPr>
          <w:p>
            <w:pPr>
              <w:spacing w:after="20"/>
            </w:pPr>
            <w:r>
              <w:rPr>
                <w:rFonts w:ascii="Arial" w:hAnsi="Arial"/>
                <w:b w:val="0"/>
                <w:sz w:val="14"/>
              </w:rPr>
              <w:t>User rule 2026-10-14: match legacy except where legacy has a bug; results unchanged until the engineer run is reviewed</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LD60</w:t>
            </w:r>
          </w:p>
        </w:tc>
        <w:tc>
          <w:tcPr>
            <w:tcW w:type="dxa" w:w="1701"/>
          </w:tcPr>
          <w:p>
            <w:pPr>
              <w:spacing w:after="20"/>
            </w:pPr>
            <w:r>
              <w:rPr>
                <w:rFonts w:ascii="Arial" w:hAnsi="Arial"/>
                <w:b w:val="0"/>
                <w:sz w:val="14"/>
              </w:rPr>
              <w:t>Road transport: policy inputs (v3.5)</w:t>
            </w:r>
          </w:p>
        </w:tc>
        <w:tc>
          <w:tcPr>
            <w:tcW w:type="dxa" w:w="3402"/>
          </w:tcPr>
          <w:p>
            <w:pPr>
              <w:spacing w:after="20"/>
            </w:pPr>
            <w:r>
              <w:rPr>
                <w:rFonts w:ascii="Arial" w:hAnsi="Arial"/>
                <w:b w:val="0"/>
                <w:sz w:val="14"/>
              </w:rPr>
              <w:t>Policies: MTInputs rows 418-479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tcW w:type="dxa" w:w="2381"/>
          </w:tcPr>
          <w:p>
            <w:pPr>
              <w:spacing w:after="20"/>
            </w:pPr>
            <w:r>
              <w:rPr>
                <w:rFonts w:ascii="Arial" w:hAnsi="Arial"/>
                <w:b w:val="0"/>
                <w:sz w:val="14"/>
              </w:rPr>
              <w:t>Scenarios carry the transport policies; no literal in a formula (Methods, chapter Transport section 2)</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LD61</w:t>
            </w:r>
          </w:p>
        </w:tc>
        <w:tc>
          <w:tcPr>
            <w:tcW w:type="dxa" w:w="1701"/>
          </w:tcPr>
          <w:p>
            <w:pPr>
              <w:spacing w:after="20"/>
            </w:pPr>
            <w:r>
              <w:rPr>
                <w:rFonts w:ascii="Arial" w:hAnsi="Arial"/>
                <w:b w:val="0"/>
                <w:sz w:val="14"/>
              </w:rPr>
              <w:t>Road transport: inputs from the rest of the model (v3.5)</w:t>
            </w:r>
          </w:p>
        </w:tc>
        <w:tc>
          <w:tcPr>
            <w:tcW w:type="dxa" w:w="3402"/>
          </w:tcPr>
          <w:p>
            <w:pPr>
              <w:spacing w:after="20"/>
            </w:pPr>
            <w:r>
              <w:rPr>
                <w:rFonts w:ascii="Arial" w:hAnsi="Arial"/>
                <w:b w:val="0"/>
                <w:sz w:val="14"/>
              </w:rPr>
              <w:t>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tcW w:type="dxa" w:w="2381"/>
          </w:tcPr>
          <w:p>
            <w:pPr>
              <w:spacing w:after="20"/>
            </w:pPr>
            <w:r>
              <w:rPr>
                <w:rFonts w:ascii="Arial" w:hAnsi="Arial"/>
                <w:b w:val="0"/>
                <w:sz w:val="14"/>
              </w:rPr>
              <w:t>One source for each input in the prototype; carbon pricing reaches 2-3 wheelers</w:t>
            </w:r>
          </w:p>
        </w:tc>
        <w:tc>
          <w:tcPr>
            <w:tcW w:type="dxa" w:w="907"/>
          </w:tcPr>
          <w:p>
            <w:pPr>
              <w:spacing w:after="20"/>
            </w:pPr>
            <w:r>
              <w:rPr>
                <w:rFonts w:ascii="Arial" w:hAnsi="Arial"/>
                <w:b w:val="0"/>
                <w:sz w:val="14"/>
              </w:rPr>
              <w:t>Assumption</w:t>
            </w:r>
          </w:p>
        </w:tc>
      </w:tr>
      <w:tr>
        <w:tc>
          <w:tcPr>
            <w:tcW w:type="dxa" w:w="680"/>
          </w:tcPr>
          <w:p>
            <w:pPr>
              <w:spacing w:after="20"/>
            </w:pPr>
            <w:r>
              <w:rPr>
                <w:rFonts w:ascii="Arial" w:hAnsi="Arial"/>
                <w:b w:val="0"/>
                <w:sz w:val="14"/>
              </w:rPr>
              <w:t>LD62</w:t>
            </w:r>
          </w:p>
        </w:tc>
        <w:tc>
          <w:tcPr>
            <w:tcW w:type="dxa" w:w="1701"/>
          </w:tcPr>
          <w:p>
            <w:pPr>
              <w:spacing w:after="20"/>
            </w:pPr>
            <w:r>
              <w:rPr>
                <w:rFonts w:ascii="Arial" w:hAnsi="Arial"/>
                <w:b w:val="0"/>
                <w:sz w:val="14"/>
              </w:rPr>
              <w:t>Road transport: biofuels (v3.5)</w:t>
            </w:r>
          </w:p>
        </w:tc>
        <w:tc>
          <w:tcPr>
            <w:tcW w:type="dxa" w:w="3402"/>
          </w:tcPr>
          <w:p>
            <w:pPr>
              <w:spacing w:after="20"/>
            </w:pPr>
            <w:r>
              <w:rPr>
                <w:rFonts w:ascii="Arial" w:hAnsi="Arial"/>
                <w:b w:val="0"/>
                <w:sz w:val="14"/>
              </w:rPr>
              <w:t>Engineer road model as legacy (v4.12): bioethanol and other biofuels follow road gasoline, biodiesel follows diesel (base year x use / base-year use; Balances or EnergyCons); the feebate CO2 per liter of gasoline and diesel x their fossil share (E2146:E2147). Elasticity road model (the default): road biofuels on their own row with the biomass elasticities; legacy ties bioethanol and biodiesel to gasoline and diesel there too (rows 5404-5405) and gives other biofuels an oil row with bugs (5406, survey D11): not yet built</w:t>
            </w:r>
          </w:p>
        </w:tc>
        <w:tc>
          <w:tcPr>
            <w:tcW w:type="dxa" w:w="2381"/>
          </w:tcPr>
          <w:p>
            <w:pPr>
              <w:spacing w:after="20"/>
            </w:pPr>
            <w:r>
              <w:rPr>
                <w:rFonts w:ascii="Arial" w:hAnsi="Arial"/>
                <w:b w:val="0"/>
                <w:sz w:val="14"/>
              </w:rPr>
              <w:t>User decision 2026-10-18 (realign with legacy, note as an issue: I40, replicated); the elasticity branch is left with the road model (user 2026-10-18: road engineer model not to be fixed now)</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LD63</w:t>
            </w:r>
          </w:p>
        </w:tc>
        <w:tc>
          <w:tcPr>
            <w:tcW w:type="dxa" w:w="1701"/>
          </w:tcPr>
          <w:p>
            <w:pPr>
              <w:spacing w:after="20"/>
            </w:pPr>
            <w:r>
              <w:rPr>
                <w:rFonts w:ascii="Arial" w:hAnsi="Arial"/>
                <w:b w:val="0"/>
                <w:sz w:val="14"/>
              </w:rPr>
              <w:t>Road transport: range anxiety (v3.5)</w:t>
            </w:r>
          </w:p>
        </w:tc>
        <w:tc>
          <w:tcPr>
            <w:tcW w:type="dxa" w:w="3402"/>
          </w:tcPr>
          <w:p>
            <w:pPr>
              <w:spacing w:after="20"/>
            </w:pPr>
            <w:r>
              <w:rPr>
                <w:rFonts w:ascii="Arial" w:hAnsi="Arial"/>
                <w:b w:val="0"/>
                <w:sz w:val="14"/>
              </w:rPr>
              <w:t>Same stored values; fit (calculated - actual EV sales share, data years) reported in rows trraf</w:t>
            </w:r>
          </w:p>
        </w:tc>
        <w:tc>
          <w:tcPr>
            <w:tcW w:type="dxa" w:w="2381"/>
          </w:tcPr>
          <w:p>
            <w:pPr>
              <w:spacing w:after="20"/>
            </w:pPr>
            <w:r>
              <w:rPr>
                <w:rFonts w:ascii="Arial" w:hAnsi="Arial"/>
                <w:b w:val="0"/>
                <w:sz w:val="14"/>
              </w:rPr>
              <w:t>General; a goal seek for the corrected model comes later (Methods, chapter Transport section 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LD64</w:t>
            </w:r>
          </w:p>
        </w:tc>
        <w:tc>
          <w:tcPr>
            <w:tcW w:type="dxa" w:w="1701"/>
          </w:tcPr>
          <w:p>
            <w:pPr>
              <w:spacing w:after="20"/>
            </w:pPr>
            <w:r>
              <w:rPr>
                <w:rFonts w:ascii="Arial" w:hAnsi="Arial"/>
                <w:b w:val="0"/>
                <w:sz w:val="14"/>
              </w:rPr>
              <w:t>Road transport: kept as legacy (v3.5)</w:t>
            </w:r>
          </w:p>
        </w:tc>
        <w:tc>
          <w:tcPr>
            <w:tcW w:type="dxa" w:w="3402"/>
          </w:tcPr>
          <w:p>
            <w:pPr>
              <w:spacing w:after="20"/>
            </w:pPr>
            <w:r>
              <w:rPr>
                <w:rFonts w:ascii="Arial" w:hAnsi="Arial"/>
                <w:b w:val="0"/>
                <w:sz w:val="14"/>
              </w:rPr>
              <w:t>Kept (freight distance, data years: parameters) or not built (externalities)</w:t>
            </w:r>
          </w:p>
        </w:tc>
        <w:tc>
          <w:tcPr>
            <w:tcW w:type="dxa" w:w="2381"/>
          </w:tcPr>
          <w:p>
            <w:pPr>
              <w:spacing w:after="20"/>
            </w:pPr>
            <w:r>
              <w:rPr>
                <w:rFonts w:ascii="Arial" w:hAnsi="Arial"/>
                <w:b w:val="0"/>
                <w:sz w:val="14"/>
              </w:rPr>
              <w:t>Data decisions; scope (Methods, chapter Transport section 6)</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LD67</w:t>
            </w:r>
          </w:p>
        </w:tc>
        <w:tc>
          <w:tcPr>
            <w:tcW w:type="dxa" w:w="1701"/>
          </w:tcPr>
          <w:p>
            <w:pPr>
              <w:spacing w:after="20"/>
            </w:pPr>
            <w:r>
              <w:rPr>
                <w:rFonts w:ascii="Arial" w:hAnsi="Arial"/>
                <w:b w:val="0"/>
                <w:sz w:val="14"/>
              </w:rPr>
              <w:t>Exemption phase-out of uncovered fuels and sectors</w:t>
            </w:r>
          </w:p>
        </w:tc>
        <w:tc>
          <w:tcPr>
            <w:tcW w:type="dxa" w:w="3402"/>
          </w:tcPr>
          <w:p>
            <w:pPr>
              <w:spacing w:after="20"/>
            </w:pPr>
            <w:r>
              <w:rPr>
                <w:rFonts w:ascii="Arial" w:hAnsi="Arial"/>
                <w:b w:val="0"/>
                <w:sz w:val="14"/>
              </w:rPr>
              <w:t>v5.6: built. The phase-out of uncovered fuels and sectors (rows fc, sc: 1 if covered, else exph) and the initially exempt residential demand of the most-used cooking fuel (section 6b rows lkxp, lkxe, lkxr, lkx, lkxa through lkc; share ExemptCookShare on Settings C83 from HHSurvey; usage elasticity phased in; income factor as the row, L48 fixed)</w:t>
            </w:r>
          </w:p>
        </w:tc>
        <w:tc>
          <w:tcPr>
            <w:tcW w:type="dxa" w:w="2381"/>
          </w:tcPr>
          <w:p>
            <w:pPr>
              <w:spacing w:after="20"/>
            </w:pPr>
            <w:r>
              <w:rPr>
                <w:rFonts w:ascii="Arial" w:hAnsi="Arial"/>
                <w:b w:val="0"/>
                <w:sz w:val="14"/>
              </w:rPr>
              <w:t>Built (v5.6)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LD69</w:t>
            </w:r>
          </w:p>
        </w:tc>
        <w:tc>
          <w:tcPr>
            <w:tcW w:type="dxa" w:w="1701"/>
          </w:tcPr>
          <w:p>
            <w:pPr>
              <w:spacing w:after="20"/>
            </w:pPr>
            <w:r>
              <w:rPr>
                <w:rFonts w:ascii="Arial" w:hAnsi="Arial"/>
                <w:b w:val="0"/>
                <w:sz w:val="14"/>
              </w:rPr>
              <w:t>ETS goal-seek settings (v5.2)</w:t>
            </w:r>
          </w:p>
        </w:tc>
        <w:tc>
          <w:tcPr>
            <w:tcW w:type="dxa" w:w="3402"/>
          </w:tcPr>
          <w:p>
            <w:pPr>
              <w:spacing w:after="20"/>
            </w:pPr>
            <w:r>
              <w:rPr>
                <w:rFonts w:ascii="Arial" w:hAnsi="Arial"/>
                <w:b w:val="0"/>
                <w:sz w:val="14"/>
              </w:rPr>
              <w:t>The same cells and names, read by the macro SolveETS and ets_goalseek.py (before v5.2: constants in the code); values 20, Continue, 0.005, the prototype error being the worst yearly |covered / cap - 1|; StartFresh starts from the fast estimate ets.est, Continue from the override row if it holds prices</w:t>
            </w:r>
          </w:p>
        </w:tc>
        <w:tc>
          <w:tcPr>
            <w:tcW w:type="dxa" w:w="2381"/>
          </w:tcPr>
          <w:p>
            <w:pPr>
              <w:spacing w:after="20"/>
            </w:pPr>
            <w:r>
              <w:rPr>
                <w:rFonts w:ascii="Arial" w:hAnsi="Arial"/>
                <w:b w:val="0"/>
                <w:sz w:val="14"/>
              </w:rPr>
              <w:t>User decision 2026-10-19: keep the values the prototype goal seek has always used, so that stored results do not change; the legacy defaults are noted on the sheet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LD72</w:t>
            </w:r>
          </w:p>
        </w:tc>
        <w:tc>
          <w:tcPr>
            <w:tcW w:type="dxa" w:w="1701"/>
          </w:tcPr>
          <w:p>
            <w:pPr>
              <w:spacing w:after="20"/>
            </w:pPr>
            <w:r>
              <w:rPr>
                <w:rFonts w:ascii="Arial" w:hAnsi="Arial"/>
                <w:b w:val="0"/>
                <w:sz w:val="14"/>
              </w:rPr>
              <w:t>Non-energy GHG elasticities (v5.2)</w:t>
            </w:r>
          </w:p>
        </w:tc>
        <w:tc>
          <w:tcPr>
            <w:tcW w:type="dxa" w:w="3402"/>
          </w:tcPr>
          <w:p>
            <w:pPr>
              <w:spacing w:after="20"/>
            </w:pPr>
            <w:r>
              <w:rPr>
                <w:rFonts w:ascii="Arial" w:hAnsi="Arial"/>
                <w:b w:val="0"/>
                <w:sz w:val="14"/>
              </w:rPr>
              <w:t>Read from Manual inputs K326:M327 (legacy default values typed; text "na" = 0) by the rows ghg.dr and ch4.act of section 14; before v5.2 sheet Constants (ghg.el)</w:t>
            </w:r>
          </w:p>
        </w:tc>
        <w:tc>
          <w:tcPr>
            <w:tcW w:type="dxa" w:w="2381"/>
          </w:tcPr>
          <w:p>
            <w:pPr>
              <w:spacing w:after="20"/>
            </w:pPr>
            <w:r>
              <w:rPr>
                <w:rFonts w:ascii="Arial" w:hAnsi="Arial"/>
                <w:b w:val="0"/>
                <w:sz w:val="14"/>
              </w:rPr>
              <w:t>Legacy bug (the manual cells cannot take effect; L102): fixed, the cells are the input</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LD74</w:t>
            </w:r>
          </w:p>
        </w:tc>
        <w:tc>
          <w:tcPr>
            <w:tcW w:type="dxa" w:w="1701"/>
          </w:tcPr>
          <w:p>
            <w:pPr>
              <w:spacing w:after="20"/>
            </w:pPr>
            <w:r>
              <w:rPr>
                <w:rFonts w:ascii="Arial" w:hAnsi="Arial"/>
                <w:b w:val="0"/>
                <w:sz w:val="14"/>
              </w:rPr>
              <w:t>Power: inputs by scenario (v5.4, P2)</w:t>
            </w:r>
          </w:p>
        </w:tc>
        <w:tc>
          <w:tcPr>
            <w:tcW w:type="dxa" w:w="3402"/>
          </w:tcPr>
          <w:p>
            <w:pPr>
              <w:spacing w:after="20"/>
            </w:pPr>
            <w:r>
              <w:rPr>
                <w:rFonts w:ascii="Arial" w:hAnsi="Arial"/>
                <w:b w:val="0"/>
                <w:sz w:val="14"/>
              </w:rPr>
              <w:t>Every MTInputs power input (rows 242, 262, 342-415, 482) read in the scenario's own column (section-1 rows; section 3 sub-table A0 applies them to the power data); scenario 1 is the baseline of every scenario, so a technical input changed in a policy scenario changes that scenario only</w:t>
            </w:r>
          </w:p>
        </w:tc>
        <w:tc>
          <w:tcPr>
            <w:tcW w:type="dxa" w:w="2381"/>
          </w:tcPr>
          <w:p>
            <w:pPr>
              <w:spacing w:after="20"/>
            </w:pPr>
            <w:r>
              <w:rPr>
                <w:rFonts w:ascii="Arial" w:hAnsi="Arial"/>
                <w:b w:val="0"/>
                <w:sz w:val="14"/>
              </w:rPr>
              <w:t>User decisions 2 and 8 of the power plan (2026-10-18)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LD76</w:t>
            </w:r>
          </w:p>
        </w:tc>
        <w:tc>
          <w:tcPr>
            <w:tcW w:type="dxa" w:w="1701"/>
          </w:tcPr>
          <w:p>
            <w:pPr>
              <w:spacing w:after="20"/>
            </w:pPr>
            <w:r>
              <w:rPr>
                <w:rFonts w:ascii="Arial" w:hAnsi="Arial"/>
                <w:b w:val="0"/>
                <w:sz w:val="14"/>
              </w:rPr>
              <w:t>Power: renewable subsidies (v5.4)</w:t>
            </w:r>
          </w:p>
        </w:tc>
        <w:tc>
          <w:tcPr>
            <w:tcW w:type="dxa" w:w="3402"/>
          </w:tcPr>
          <w:p>
            <w:pPr>
              <w:spacing w:after="20"/>
            </w:pPr>
            <w:r>
              <w:rPr>
                <w:rFonts w:ascii="Arial" w:hAnsi="Arial"/>
                <w:b w:val="0"/>
                <w:sz w:val="14"/>
              </w:rPr>
              <w:t>Rows rnsp, rns, lfx, prrns: own start year RenSubsidyAddStartYear (MTInputs row 482, default 2027 = the default of row 132); revenue = subsidy x generation by type, in the power subsidies and 12e row ren; nominal inputs used as real, as legacy</w:t>
            </w:r>
          </w:p>
        </w:tc>
        <w:tc>
          <w:tcPr>
            <w:tcW w:type="dxa" w:w="2381"/>
          </w:tcPr>
          <w:p>
            <w:pPr>
              <w:spacing w:after="20"/>
            </w:pPr>
            <w:r>
              <w:rPr>
                <w:rFonts w:ascii="Arial" w:hAnsi="Arial"/>
                <w:b w:val="0"/>
                <w:sz w:val="14"/>
              </w:rPr>
              <w:t>Legacy feature; bugs L107, L108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LD77</w:t>
            </w:r>
          </w:p>
        </w:tc>
        <w:tc>
          <w:tcPr>
            <w:tcW w:type="dxa" w:w="1701"/>
          </w:tcPr>
          <w:p>
            <w:pPr>
              <w:spacing w:after="20"/>
            </w:pPr>
            <w:r>
              <w:rPr>
                <w:rFonts w:ascii="Arial" w:hAnsi="Arial"/>
                <w:b w:val="0"/>
                <w:sz w:val="14"/>
              </w:rPr>
              <w:t>Power: revenue rebate and electricity excise (v5.4)</w:t>
            </w:r>
          </w:p>
        </w:tc>
        <w:tc>
          <w:tcPr>
            <w:tcW w:type="dxa" w:w="3402"/>
          </w:tcPr>
          <w:p>
            <w:pPr>
              <w:spacing w:after="20"/>
            </w:pPr>
            <w:r>
              <w:rPr>
                <w:rFonts w:ascii="Arial" w:hAnsi="Arial"/>
                <w:b w:val="0"/>
                <w:sz w:val="14"/>
              </w:rPr>
              <w:t>Rows rbs, exs, entxd, entx, pex, rp, rnvat, rreb, rpex, rexs, rexm: rebate = carbon cost x pass-through (its VAT falls out of rnvat); excise revenue = the excise in the price x consumption; switches accept Yes or Yes* (issue I58)</w:t>
            </w:r>
          </w:p>
        </w:tc>
        <w:tc>
          <w:tcPr>
            <w:tcW w:type="dxa" w:w="2381"/>
          </w:tcPr>
          <w:p>
            <w:pPr>
              <w:spacing w:after="20"/>
            </w:pPr>
            <w:r>
              <w:rPr>
                <w:rFonts w:ascii="Arial" w:hAnsi="Arial"/>
                <w:b w:val="0"/>
                <w:sz w:val="14"/>
              </w:rPr>
              <w:t>Legacy features; bugs L110, L111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LD79</w:t>
            </w:r>
          </w:p>
        </w:tc>
        <w:tc>
          <w:tcPr>
            <w:tcW w:type="dxa" w:w="1701"/>
          </w:tcPr>
          <w:p>
            <w:pPr>
              <w:spacing w:after="20"/>
            </w:pPr>
            <w:r>
              <w:rPr>
                <w:rFonts w:ascii="Arial" w:hAnsi="Arial"/>
                <w:b w:val="0"/>
                <w:sz w:val="14"/>
              </w:rPr>
              <w:t>Power: capex decline options Low and Vhigh (v5.4)</w:t>
            </w:r>
          </w:p>
        </w:tc>
        <w:tc>
          <w:tcPr>
            <w:tcW w:type="dxa" w:w="3402"/>
          </w:tcPr>
          <w:p>
            <w:pPr>
              <w:spacing w:after="20"/>
            </w:pPr>
            <w:r>
              <w:rPr>
                <w:rFonts w:ascii="Arial" w:hAnsi="Arial"/>
                <w:b w:val="0"/>
                <w:sz w:val="14"/>
              </w:rPr>
              <w:t>The missing series falls back to the older series of the same option (wind, solar) or Medium (Inputs_ppath rows tcf|&lt;type&gt;|&lt;option&gt;)</w:t>
            </w:r>
          </w:p>
        </w:tc>
        <w:tc>
          <w:tcPr>
            <w:tcW w:type="dxa" w:w="2381"/>
          </w:tcPr>
          <w:p>
            <w:pPr>
              <w:spacing w:after="20"/>
            </w:pPr>
            <w:r>
              <w:rPr>
                <w:rFonts w:ascii="Arial" w:hAnsi="Arial"/>
                <w:b w:val="0"/>
                <w:sz w:val="14"/>
              </w:rPr>
              <w:t>Legacy bug L109 fixed</w:t>
            </w:r>
          </w:p>
        </w:tc>
        <w:tc>
          <w:tcPr>
            <w:tcW w:type="dxa" w:w="907"/>
          </w:tcPr>
          <w:p>
            <w:pPr>
              <w:spacing w:after="20"/>
            </w:pPr>
            <w:r>
              <w:rPr>
                <w:rFonts w:ascii="Arial" w:hAnsi="Arial"/>
                <w:b w:val="0"/>
                <w:sz w:val="14"/>
              </w:rPr>
              <w:t>Bug fix</w:t>
            </w:r>
          </w:p>
        </w:tc>
      </w:tr>
    </w:tbl>
    <w:p/>
    <w:p>
      <w:r>
        <w:br w:type="page"/>
      </w:r>
    </w:p>
    <w:p>
      <w:pPr>
        <w:pStyle w:val="Heading1"/>
      </w:pPr>
      <w:r>
        <w:t>5. Potential upgrades and improvements made</w:t>
      </w:r>
    </w:p>
    <w:p>
      <w:pPr>
        <w:pStyle w:val="Heading2"/>
      </w:pPr>
      <w:r>
        <w:t>5.1 High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w:t>
            </w:r>
          </w:p>
        </w:tc>
        <w:tc>
          <w:tcPr>
            <w:tcW w:type="dxa" w:w="2608"/>
          </w:tcPr>
          <w:p>
            <w:pPr>
              <w:spacing w:after="20"/>
            </w:pPr>
            <w:r>
              <w:rPr>
                <w:rFonts w:ascii="Arial" w:hAnsi="Arial"/>
                <w:b w:val="0"/>
                <w:sz w:val="16"/>
              </w:rPr>
              <w:t>Review in Excel 365</w:t>
            </w:r>
          </w:p>
        </w:tc>
        <w:tc>
          <w:tcPr>
            <w:tcW w:type="dxa" w:w="5783"/>
          </w:tcPr>
          <w:p>
            <w:pPr>
              <w:spacing w:after="20"/>
            </w:pPr>
            <w:r>
              <w:rPr>
                <w:rFonts w:ascii="Arial" w:hAnsi="Arial"/>
                <w:b w:val="0"/>
                <w:sz w:val="16"/>
              </w:rPr>
              <w:t>The user runs the checklist (ExcelReview_Checklist.md) on Windows: CheckBatchRun, the batch run, ScenarioCompare, no repair prompt and no circular-reference warning (I1).</w:t>
            </w:r>
          </w:p>
        </w:tc>
      </w:tr>
      <w:tr>
        <w:tc>
          <w:tcPr>
            <w:tcW w:type="dxa" w:w="680"/>
          </w:tcPr>
          <w:p>
            <w:pPr>
              <w:spacing w:after="20"/>
            </w:pPr>
            <w:r>
              <w:rPr>
                <w:rFonts w:ascii="Arial" w:hAnsi="Arial"/>
                <w:b w:val="0"/>
                <w:sz w:val="16"/>
              </w:rPr>
              <w:t>U2</w:t>
            </w:r>
          </w:p>
        </w:tc>
        <w:tc>
          <w:tcPr>
            <w:tcW w:type="dxa" w:w="2608"/>
          </w:tcPr>
          <w:p>
            <w:pPr>
              <w:spacing w:after="20"/>
            </w:pPr>
            <w:r>
              <w:rPr>
                <w:rFonts w:ascii="Arial" w:hAnsi="Arial"/>
                <w:b w:val="0"/>
                <w:sz w:val="16"/>
              </w:rPr>
              <w:t>Numerical check against legacy CPAT for Egypt</w:t>
            </w:r>
          </w:p>
        </w:tc>
        <w:tc>
          <w:tcPr>
            <w:tcW w:type="dxa" w:w="5783"/>
          </w:tcPr>
          <w:p>
            <w:pPr>
              <w:spacing w:after="20"/>
            </w:pPr>
            <w:r>
              <w:rPr>
                <w:rFonts w:ascii="Arial" w:hAnsi="Arial"/>
                <w:b w:val="0"/>
                <w:sz w:val="16"/>
              </w:rPr>
              <w:t>Explain the distance to the legacy run (I14) sector by sector, on the latest legacy file (465; was 459).</w:t>
            </w:r>
          </w:p>
        </w:tc>
      </w:tr>
      <w:tr>
        <w:tc>
          <w:tcPr>
            <w:tcW w:type="dxa" w:w="680"/>
          </w:tcPr>
          <w:p>
            <w:pPr>
              <w:spacing w:after="20"/>
            </w:pPr>
            <w:r>
              <w:rPr>
                <w:rFonts w:ascii="Arial" w:hAnsi="Arial"/>
                <w:b w:val="0"/>
                <w:sz w:val="16"/>
              </w:rPr>
              <w:t>U4</w:t>
            </w:r>
          </w:p>
        </w:tc>
        <w:tc>
          <w:tcPr>
            <w:tcW w:type="dxa" w:w="2608"/>
          </w:tcPr>
          <w:p>
            <w:pPr>
              <w:spacing w:after="20"/>
            </w:pPr>
            <w:r>
              <w:rPr>
                <w:rFonts w:ascii="Arial" w:hAnsi="Arial"/>
                <w:b w:val="0"/>
                <w:sz w:val="16"/>
              </w:rPr>
              <w:t>Report the legacy bugs to the CPAT team</w:t>
            </w:r>
          </w:p>
        </w:tc>
        <w:tc>
          <w:tcPr>
            <w:tcW w:type="dxa" w:w="5783"/>
          </w:tcPr>
          <w:p>
            <w:pPr>
              <w:spacing w:after="20"/>
            </w:pPr>
            <w:r>
              <w:rPr>
                <w:rFonts w:ascii="Arial" w:hAnsi="Arial"/>
                <w:b w:val="0"/>
                <w:sz w:val="16"/>
              </w:rPr>
              <w:t>Send the register (L1-L128, D1-D31) and the cell-level fix plans; legacy issues for the team, high priority for them: I62 (partial adjustment), I71 (population takes the income elasticity), I72-I74 (circularity).</w:t>
            </w:r>
          </w:p>
        </w:tc>
      </w:tr>
    </w:tbl>
    <w:p/>
    <w:p>
      <w:pPr>
        <w:pStyle w:val="Heading2"/>
      </w:pPr>
      <w:r>
        <w:t>5.2 Medium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U5</w:t>
            </w:r>
          </w:p>
        </w:tc>
        <w:tc>
          <w:tcPr>
            <w:tcW w:type="dxa" w:w="2608"/>
          </w:tcPr>
          <w:p>
            <w:pPr>
              <w:spacing w:after="20"/>
            </w:pPr>
            <w:r>
              <w:rPr>
                <w:rFonts w:ascii="Arial" w:hAnsi="Arial"/>
                <w:b w:val="0"/>
                <w:sz w:val="16"/>
              </w:rPr>
              <w:t>Copy-paste stress test</w:t>
            </w:r>
          </w:p>
        </w:tc>
        <w:tc>
          <w:tcPr>
            <w:tcW w:type="dxa" w:w="5783"/>
          </w:tcPr>
          <w:p>
            <w:pPr>
              <w:spacing w:after="20"/>
            </w:pPr>
            <w:r>
              <w:rPr>
                <w:rFonts w:ascii="Arial" w:hAnsi="Arial"/>
                <w:b w:val="0"/>
                <w:sz w:val="16"/>
              </w:rPr>
              <w:t>Add a fuel, a subsector and a scenario by dragging; fix what breaks.</w:t>
            </w:r>
          </w:p>
        </w:tc>
      </w:tr>
      <w:tr>
        <w:tc>
          <w:tcPr>
            <w:tcW w:type="dxa" w:w="680"/>
          </w:tcPr>
          <w:p>
            <w:pPr>
              <w:spacing w:after="20"/>
            </w:pPr>
            <w:r>
              <w:rPr>
                <w:rFonts w:ascii="Arial" w:hAnsi="Arial"/>
                <w:b w:val="0"/>
                <w:sz w:val="16"/>
              </w:rPr>
              <w:t>U6</w:t>
            </w:r>
          </w:p>
        </w:tc>
        <w:tc>
          <w:tcPr>
            <w:tcW w:type="dxa" w:w="2608"/>
          </w:tcPr>
          <w:p>
            <w:pPr>
              <w:spacing w:after="20"/>
            </w:pPr>
            <w:r>
              <w:rPr>
                <w:rFonts w:ascii="Arial" w:hAnsi="Arial"/>
                <w:b w:val="0"/>
                <w:sz w:val="16"/>
              </w:rPr>
              <w:t>Other gases, local pollutants and process emissions</w:t>
            </w:r>
          </w:p>
        </w:tc>
        <w:tc>
          <w:tcPr>
            <w:tcW w:type="dxa" w:w="5783"/>
          </w:tcPr>
          <w:p>
            <w:pPr>
              <w:spacing w:after="20"/>
            </w:pPr>
            <w:r>
              <w:rPr>
                <w:rFonts w:ascii="Arial" w:hAnsi="Arial"/>
                <w:b w:val="0"/>
                <w:sz w:val="16"/>
              </w:rPr>
              <w:t>CH4 and N2O done (v2.8), local pollutants (v2.9); inventory-adjusted EFs and process CO2 remain.</w:t>
            </w:r>
          </w:p>
        </w:tc>
      </w:tr>
      <w:tr>
        <w:tc>
          <w:tcPr>
            <w:tcW w:type="dxa" w:w="680"/>
          </w:tcPr>
          <w:p>
            <w:pPr>
              <w:spacing w:after="20"/>
            </w:pPr>
            <w:r>
              <w:rPr>
                <w:rFonts w:ascii="Arial" w:hAnsi="Arial"/>
                <w:b w:val="0"/>
                <w:sz w:val="16"/>
              </w:rPr>
              <w:t>U7</w:t>
            </w:r>
          </w:p>
        </w:tc>
        <w:tc>
          <w:tcPr>
            <w:tcW w:type="dxa" w:w="2608"/>
          </w:tcPr>
          <w:p>
            <w:pPr>
              <w:spacing w:after="20"/>
            </w:pPr>
            <w:r>
              <w:rPr>
                <w:rFonts w:ascii="Arial" w:hAnsi="Arial"/>
                <w:b w:val="0"/>
                <w:sz w:val="16"/>
              </w:rPr>
              <w:t>Regulations as shadow prices</w:t>
            </w:r>
          </w:p>
        </w:tc>
        <w:tc>
          <w:tcPr>
            <w:tcW w:type="dxa" w:w="5783"/>
          </w:tcPr>
          <w:p>
            <w:pPr>
              <w:spacing w:after="20"/>
            </w:pPr>
            <w:r>
              <w:rPr>
                <w:rFonts w:ascii="Arial" w:hAnsi="Arial"/>
                <w:b w:val="0"/>
                <w:sz w:val="16"/>
              </w:rPr>
              <w:t>Fill the regulation rows (placeholder 0) and their efficiency-margin adjustments (MTInputs 247-250).</w:t>
            </w:r>
          </w:p>
        </w:tc>
      </w:tr>
      <w:tr>
        <w:tc>
          <w:tcPr>
            <w:tcW w:type="dxa" w:w="680"/>
          </w:tcPr>
          <w:p>
            <w:pPr>
              <w:spacing w:after="20"/>
            </w:pPr>
            <w:r>
              <w:rPr>
                <w:rFonts w:ascii="Arial" w:hAnsi="Arial"/>
                <w:b w:val="0"/>
                <w:sz w:val="16"/>
              </w:rPr>
              <w:t>U10</w:t>
            </w:r>
          </w:p>
        </w:tc>
        <w:tc>
          <w:tcPr>
            <w:tcW w:type="dxa" w:w="2608"/>
          </w:tcPr>
          <w:p>
            <w:pPr>
              <w:spacing w:after="20"/>
            </w:pPr>
            <w:r>
              <w:rPr>
                <w:rFonts w:ascii="Arial" w:hAnsi="Arial"/>
                <w:b w:val="0"/>
                <w:sz w:val="16"/>
              </w:rPr>
              <w:t>Data for more countries</w:t>
            </w:r>
          </w:p>
        </w:tc>
        <w:tc>
          <w:tcPr>
            <w:tcW w:type="dxa" w:w="5783"/>
          </w:tcPr>
          <w:p>
            <w:pPr>
              <w:spacing w:after="20"/>
            </w:pPr>
            <w:r>
              <w:rPr>
                <w:rFonts w:ascii="Arial" w:hAnsi="Arial"/>
                <w:b w:val="0"/>
                <w:sz w:val="16"/>
              </w:rPr>
              <w:t>Energy balances, GDP and EFs beyond Egypt (I13).</w:t>
            </w:r>
          </w:p>
        </w:tc>
      </w:tr>
    </w:tbl>
    <w:p/>
    <w:p>
      <w:pPr>
        <w:pStyle w:val="Heading2"/>
      </w:pPr>
      <w:r>
        <w:t>5.3 Low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U13</w:t>
            </w:r>
          </w:p>
        </w:tc>
        <w:tc>
          <w:tcPr>
            <w:tcW w:type="dxa" w:w="2608"/>
          </w:tcPr>
          <w:p>
            <w:pPr>
              <w:spacing w:after="20"/>
            </w:pPr>
            <w:r>
              <w:rPr>
                <w:rFonts w:ascii="Arial" w:hAnsi="Arial"/>
                <w:b w:val="0"/>
                <w:sz w:val="16"/>
              </w:rPr>
              <w:t>Planned retirement data for Egypt</w:t>
            </w:r>
          </w:p>
        </w:tc>
        <w:tc>
          <w:tcPr>
            <w:tcW w:type="dxa" w:w="5783"/>
          </w:tcPr>
          <w:p>
            <w:pPr>
              <w:spacing w:after="20"/>
            </w:pPr>
            <w:r>
              <w:rPr>
                <w:rFonts w:ascii="Arial" w:hAnsi="Arial"/>
                <w:b w:val="0"/>
                <w:sz w:val="16"/>
              </w:rPr>
              <w:t>Enter PowerPaths pret|&lt;type&gt; where plans exist.</w:t>
            </w:r>
          </w:p>
        </w:tc>
      </w:tr>
      <w:tr>
        <w:tc>
          <w:tcPr>
            <w:tcW w:type="dxa" w:w="680"/>
          </w:tcPr>
          <w:p>
            <w:pPr>
              <w:spacing w:after="20"/>
            </w:pPr>
            <w:r>
              <w:rPr>
                <w:rFonts w:ascii="Arial" w:hAnsi="Arial"/>
                <w:b w:val="0"/>
                <w:sz w:val="16"/>
              </w:rPr>
              <w:t>U14</w:t>
            </w:r>
          </w:p>
        </w:tc>
        <w:tc>
          <w:tcPr>
            <w:tcW w:type="dxa" w:w="2608"/>
          </w:tcPr>
          <w:p>
            <w:pPr>
              <w:spacing w:after="20"/>
            </w:pPr>
            <w:r>
              <w:rPr>
                <w:rFonts w:ascii="Arial" w:hAnsi="Arial"/>
                <w:b w:val="0"/>
                <w:sz w:val="16"/>
              </w:rPr>
              <w:t>Python port</w:t>
            </w:r>
          </w:p>
        </w:tc>
        <w:tc>
          <w:tcPr>
            <w:tcW w:type="dxa" w:w="5783"/>
          </w:tcPr>
          <w:p>
            <w:pPr>
              <w:spacing w:after="20"/>
            </w:pPr>
            <w:r>
              <w:rPr>
                <w:rFonts w:ascii="Arial" w:hAnsi="Arial"/>
                <w:b w:val="0"/>
                <w:sz w:val="16"/>
              </w:rPr>
              <w:t>The check script already recomputes every value in Python.</w:t>
            </w:r>
          </w:p>
        </w:tc>
      </w:tr>
    </w:tbl>
    <w:p/>
    <w:p>
      <w:pPr>
        <w:pStyle w:val="Heading2"/>
      </w:pPr>
      <w:r>
        <w:t>5.4 Improvements already made in the prototype</w:t>
      </w:r>
    </w:p>
    <w:p>
      <w:pPr>
        <w:pStyle w:val="ListBullet"/>
      </w:pPr>
      <w:r>
        <w:rPr>
          <w:sz w:val="18"/>
        </w:rPr>
        <w:t>One plain formula per block for 2022-2040, at most 100 characters, no LAMBDA support needed; the last year 2041 calls the named LAMBDA of every calculated row (sheet Lambdas lists them).</w:t>
      </w:r>
    </w:p>
    <w:p>
      <w:pPr>
        <w:pStyle w:val="ListBullet"/>
      </w:pPr>
      <w:r>
        <w:rPr>
          <w:sz w:val="18"/>
        </w:rPr>
        <w:t>Fuel prices for power and the levelised-cost window as legacy (moving average, horizon 2041).</w:t>
      </w:r>
    </w:p>
    <w:p>
      <w:pPr>
        <w:pStyle w:val="ListBullet"/>
      </w:pPr>
      <w:r>
        <w:rPr>
          <w:sz w:val="18"/>
        </w:rPr>
        <w:t>The second investment round (legacy tables L11-L17, about 60 rows) is one row: permit x MAX(0, MIN(space, deficit - space of cheaper types)); coal and gas dispatch (legacy I2, 19 rows) is five rows.</w:t>
      </w:r>
    </w:p>
    <w:p>
      <w:pPr>
        <w:pStyle w:val="ListBullet"/>
      </w:pPr>
      <w:r>
        <w:rPr>
          <w:sz w:val="18"/>
        </w:rPr>
        <w:t>Amortised and levelised fixed costs are one row per type each, with constants derived once in Inputs_power.</w:t>
      </w:r>
    </w:p>
    <w:p>
      <w:pPr>
        <w:pStyle w:val="ListBullet"/>
      </w:pPr>
      <w:r>
        <w:rPr>
          <w:sz w:val="18"/>
        </w:rPr>
        <w:t>Electricity prices are telescoped, so components held at their last historical value drop out.</w:t>
      </w:r>
    </w:p>
    <w:p>
      <w:pPr>
        <w:pStyle w:val="ListBullet"/>
      </w:pPr>
      <w:r>
        <w:rPr>
          <w:sz w:val="18"/>
        </w:rPr>
        <w:t>Power is part of the main thread: fuel use, revenues and CO2 enter the totals, and a new ETS that covers power sees power emissions.</w:t>
      </w:r>
    </w:p>
    <w:p>
      <w:pPr>
        <w:pStyle w:val="ListBullet"/>
      </w:pPr>
      <w:r>
        <w:rPr>
          <w:sz w:val="18"/>
        </w:rPr>
        <w:t>Every number is checked: a Python reference reproduces 208 legacy rows of the baseline and the carbon-tax run to 1e-13 with the bugs switched on, and the workbook equals the reference with the bugs fixed.</w:t>
      </w:r>
    </w:p>
    <w:p>
      <w:pPr>
        <w:pStyle w:val="Heading2"/>
      </w:pPr>
      <w:r>
        <w:t>5.5 Sources and how this register is kept consistent</w:t>
      </w:r>
    </w:p>
    <w:p>
      <w:pPr>
        <w:pStyle w:val="ListBullet"/>
      </w:pPr>
      <w:r>
        <w:rPr>
          <w:sz w:val="18"/>
        </w:rPr>
        <w:t>issues_register.py: the register (L, M, I, U items); LegacyDiff rows come from build.py; cell-level plans from excel_ai/legacy/bugfixes/data (fixes_*.json; the other-mitigation areas in cfg_other_sections.json).</w:t>
      </w:r>
    </w:p>
    <w:p>
      <w:pPr>
        <w:pStyle w:val="ListBullet"/>
      </w:pPr>
      <w:r>
        <w:rPr>
          <w:sz w:val="18"/>
        </w:rPr>
        <w:t>CPAT-AI_BugsAndIssues_v8.3.json: this whole register, cell plans included, as one JSON file for code (written with this document).</w:t>
      </w:r>
    </w:p>
    <w:p>
      <w:pPr>
        <w:pStyle w:val="ListBullet"/>
      </w:pPr>
      <w:r>
        <w:rPr>
          <w:sz w:val="18"/>
        </w:rPr>
        <w:t>BUGSandISSUES.xlsx (make_bugs_issues_sheet.py): the same register as one table, and the CPAT team tracker (update_tracker.py), for machines and filters.</w:t>
      </w:r>
    </w:p>
    <w:p>
      <w:pPr>
        <w:pStyle w:val="ListBullet"/>
      </w:pPr>
      <w:r>
        <w:rPr>
          <w:sz w:val="18"/>
        </w:rPr>
        <w:t>check_full.py: codes unique, every LegacyDiff row of these types included, workbook texts free of stale statements, file references valid.</w:t>
      </w:r>
    </w:p>
    <w:p>
      <w:pPr>
        <w:pStyle w:val="ListBullet"/>
      </w:pPr>
      <w:r>
        <w:rPr>
          <w:sz w:val="18"/>
        </w:rPr>
        <w:t>make_bugfix_book.py builds this document (the power-fix effects are computed when it runs).</w:t>
      </w:r>
    </w:p>
    <w:p>
      <w:r>
        <w:br w:type="page"/>
      </w:r>
    </w:p>
    <w:p>
      <w:pPr>
        <w:pStyle w:val="Heading1"/>
      </w:pPr>
      <w:r>
        <w:t>Appendix A. Reference table in code order</w:t>
      </w:r>
    </w:p>
    <w:tbl>
      <w:tblPr>
        <w:tblStyle w:val="TableGrid"/>
        <w:tblW w:type="dxa" w:w="9637"/>
        <w:jc w:val="left"/>
        <w:tblLayout w:type="fixed"/>
        <w:tblLook w:firstColumn="1" w:firstRow="1" w:lastColumn="0" w:lastRow="0" w:noHBand="0" w:noVBand="1" w:val="04A0"/>
      </w:tblPr>
      <w:tblGrid>
        <w:gridCol w:w="716"/>
        <w:gridCol w:w="1542"/>
        <w:gridCol w:w="4020"/>
        <w:gridCol w:w="936"/>
        <w:gridCol w:w="1762"/>
        <w:gridCol w:w="661"/>
      </w:tblGrid>
      <w:tr>
        <w:trPr>
          <w:tblHeader w:val="true"/>
        </w:trPr>
        <w:tc>
          <w:tcPr>
            <w:tcW w:type="dxa" w:w="716"/>
            <w:shd w:val="clear" w:color="auto" w:fill="D9E8C4"/>
          </w:tcPr>
          <w:p>
            <w:pPr>
              <w:spacing w:after="20"/>
            </w:pPr>
            <w:r>
              <w:rPr>
                <w:rFonts w:ascii="Arial" w:hAnsi="Arial"/>
                <w:b/>
                <w:sz w:val="15"/>
              </w:rPr>
              <w:t>Code</w:t>
            </w:r>
          </w:p>
        </w:tc>
        <w:tc>
          <w:tcPr>
            <w:tcW w:type="dxa" w:w="1542"/>
            <w:shd w:val="clear" w:color="auto" w:fill="D9E8C4"/>
          </w:tcPr>
          <w:p>
            <w:pPr>
              <w:spacing w:after="20"/>
            </w:pPr>
            <w:r>
              <w:rPr>
                <w:rFonts w:ascii="Arial" w:hAnsi="Arial"/>
                <w:b/>
                <w:sz w:val="15"/>
              </w:rPr>
              <w:t>Type</w:t>
            </w:r>
          </w:p>
        </w:tc>
        <w:tc>
          <w:tcPr>
            <w:tcW w:type="dxa" w:w="4020"/>
            <w:shd w:val="clear" w:color="auto" w:fill="D9E8C4"/>
          </w:tcPr>
          <w:p>
            <w:pPr>
              <w:spacing w:after="20"/>
            </w:pPr>
            <w:r>
              <w:rPr>
                <w:rFonts w:ascii="Arial" w:hAnsi="Arial"/>
                <w:b/>
                <w:sz w:val="15"/>
              </w:rPr>
              <w:t>Title</w:t>
            </w:r>
          </w:p>
        </w:tc>
        <w:tc>
          <w:tcPr>
            <w:tcW w:type="dxa" w:w="936"/>
            <w:shd w:val="clear" w:color="auto" w:fill="D9E8C4"/>
          </w:tcPr>
          <w:p>
            <w:pPr>
              <w:spacing w:after="20"/>
            </w:pPr>
            <w:r>
              <w:rPr>
                <w:rFonts w:ascii="Arial" w:hAnsi="Arial"/>
                <w:b/>
                <w:sz w:val="15"/>
              </w:rPr>
              <w:t>Priority / severity</w:t>
            </w:r>
          </w:p>
        </w:tc>
        <w:tc>
          <w:tcPr>
            <w:tcW w:type="dxa" w:w="1762"/>
            <w:shd w:val="clear" w:color="auto" w:fill="D9E8C4"/>
          </w:tcPr>
          <w:p>
            <w:pPr>
              <w:spacing w:after="20"/>
            </w:pPr>
            <w:r>
              <w:rPr>
                <w:rFonts w:ascii="Arial" w:hAnsi="Arial"/>
                <w:b/>
                <w:sz w:val="15"/>
              </w:rPr>
              <w:t>Status</w:t>
            </w:r>
          </w:p>
        </w:tc>
        <w:tc>
          <w:tcPr>
            <w:tcW w:type="dxa" w:w="661"/>
            <w:shd w:val="clear" w:color="auto" w:fill="D9E8C4"/>
          </w:tcPr>
          <w:p>
            <w:pPr>
              <w:spacing w:after="20"/>
            </w:pPr>
            <w:r>
              <w:rPr>
                <w:rFonts w:ascii="Arial" w:hAnsi="Arial"/>
                <w:b/>
                <w:sz w:val="15"/>
              </w:rPr>
              <w:t>Cell plan</w:t>
            </w:r>
          </w:p>
        </w:tc>
      </w:tr>
      <w:tr>
        <w:tc>
          <w:tcPr>
            <w:tcW w:type="dxa" w:w="716"/>
          </w:tcPr>
          <w:p>
            <w:pPr>
              <w:spacing w:after="20"/>
            </w:pPr>
            <w:r>
              <w:rPr>
                <w:rFonts w:ascii="Arial" w:hAnsi="Arial"/>
                <w:b w:val="0"/>
                <w:sz w:val="15"/>
              </w:rPr>
              <w:t>L1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Services electricity demand grows with the industrial multiple after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Autonomous efficiency gains use the efficiency elasticity instead of the usage 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Income factor on the GDP elasticity applied twice and anchored to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Long-term storage cost allocation (33%) applied twice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spending uses the capital cost at time factor 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logit normalised by the cheapest type, including types that may not be built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Early coal retirement mixes nameplate and effective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Effective coal retirement is not capped like the nameplate retirement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Feebate rebate per kWh consumed is added to the cost per kWh generated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Capacity needed is computed from last year's plan, not from actual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Stray reference in dispatch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Total nameplate investment row is zero</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oil products: hardcoded pass-through 1 and margin 0</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Pass-through applied twice in the first projected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hardcoded relative price 1.1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quick estimate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Non-energy methane never changes</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Flaring CO2 counted as methane</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Population growth path</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Waste abated with the livestock curve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Navigation missing from the local pollutant totals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and food &amp; forestry missing from the pollutant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 added to GDP growth every year</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distance tax and 2-3 wheeler EV subsidy apply in the baseline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and 2-3 wheeler income growth read coal subsidies from 2038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vehicle ownership calibration only scales up (and uses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freight-share cap and 2-3 wheeler peak use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ownership of cars and trucks cannot fall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fuel scaled by the wrong rows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share grossed up as x(1+share)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L32</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industry emission factors for road diesel and LPG</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L33</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elasticities and rows in freight and 2-3 wheeler distance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L34</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discounted at the power-sector WACC</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negative PHEV sales 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charging-station subsidy ramp</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new BEV maintenance at the ICEV rate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used ICEV and BEV depreciation over different periods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distance output omits LPG and LNG trucks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rows in average gas and EV fuel economy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PHEVs carry the full BEV range anxiety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Domestic aviation: GDP growth and shock swapped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GDP growth</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other oil products priced at the biomass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to biomass inconsistent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Road other biofuels: wrong price and terms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Self-generated renewables in aviation and navigation take the shock from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initially-exempt rows: no income factor; starred "Yes*" exemption test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oil without the share traded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current account #NAME?, column lag, sign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Energy trade balance of coal valued at the oil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Renewables take the world power parameters, never the country ones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Actual capacity factors are never 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Hydro investment always starts in the first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China, Japan and Korea take regional power data</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Countries without CoC risk data get Sri Lanka's WACC parameters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New ETS: the quick price estimate is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subsectors without a GAINS match get zero factors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and combustion CH4: fuels without a GAINS factor emit nothing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VAT payment on oil products divided by the full VAT rate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EU ETS price grows with the carbon-tax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on transport diesel, LPG and kerosene uses the rate row as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not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fuel coverage: lookup range cut short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not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existing ETS on other oil products outside power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Carbon tax complementary to an existing ETS: last year's ETS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additional policy efficiency gains on fossil fuels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capacity bought for this year's demand, although it comes online next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multiplier of lag 1 acts in the impulse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first cohort's excise drag is lost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industry gas excise uses the coal rate and coal use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biomass taxes, subsidies and VAT divided by the unit conversion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next-year references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wrong coverage shares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reports: hard-coded row and mixed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Multipliers: empty CIT table, WAGE on the GNFS table, approximate country match, default to Estimated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Average prices: index rows point at the wrong rows, gas test on the policy total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auctioned share drops to 0 after the target year unless "Constant"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industry and transport priced as a whole when one subsector is covered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the carbon-tax trajectory rescaled when the ETS is 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Consumer subsidy phase-out: the fixed subsidy takes last year's factor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producer subsidy reads the oil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producer subsidy compounds the factor and lags a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consumer subsidy phased with the price-control factor; option text mismatch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Electricity consumer subsidy info row subtracts industry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manual override for the electricity producer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Regulations never act: share 0 and the adjustments unused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Regulations never reach power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Coal in road, residential and services reads the residential coal shadow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breaks the useful-energy balance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 residential fuel still leaks to biomass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ExemptMostCook never reaches Mitigation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 coverage rows test text labels and contain #REF!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Exemption phase-in rules differ between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demand: efficiency increment sits on the net-exports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Fuel-use block: mislabelled parameter and fuel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Iron &amp; steel memo rows unused; one reads next year's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Feebate inclusion of industry reads the ETS industry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inclusion of machinery and other manufacturing uses the buildings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domestic prices: the electricity rows are never read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services income elasticities read the industries column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non-energy elasticities can never take effect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SCC reads a path typed on Mitigation, not the Manual inputs block</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Name CH4Feebate points to an empty cell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Dashboard industry feebate rates are lost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inputs memo swaps the renewables and electricity price elasticities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 subsidy: start year of the additional subsidy reuses the consumer-subsidy phase-out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Cost of renewable subsidies counts the base subsidy twice, ignores the hydro switch and omits biomass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Capex decline options Low and Vhigh have no wind and solar series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revenue rebate counts VAT that was never collected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Manual electricity excise revenue counts the whole excise, also where the price does not include it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Policy copies of the shadow-price rows read the baseline carbon price in the regulation term</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Power switches tested for the exact "Yes" (was issue I58)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Renewable subsidies: nominal inputs used as real (was issue I55)</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current ETS price reads the LPG transport row</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 with caveats</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gasoline and diesel income elasticities: step-change column reads the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Transfers multiplier (TRNS): estimated lag-0 table read two rows off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power investment: the need net of manual investment is never used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year adjustment applied twice for BAU targets and never for Fixed or Historical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index rows: unconditional and conditional ratios inverted against the average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Historical NDC: the target "level" is the emissions cut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incl. LULUCF adds a blank cell instead of LULUCF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reference-year GDP read from a fixed cell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the residential gas block reads the oil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other oil products add a per-liter value to a per-barrel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fuel price for power averages later years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levelised variable cost reads the variable cost to 2041</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Net revenue report rows read the next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fixed</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Baseline renewable subsidy counted twice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conditional and unconditional rows use different base years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one output code on rows with different contents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capitals and empty tokens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nox.tot holds N2O, oc.tot. holds NOx</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Price-increase units: other oil products "$/bbn", default "$/liter" for other oil products and biomass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transfer capped at 10 points, not the decile's population share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Basket uses decile 1's elasticity adjustment and exemption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Current spending tests the ASPIRE flag of the targeted transfer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vanish with the transfer settings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exemption capped by all revenue; urban and rural not per capita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Urban and rural compensation shares on overall weights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Deadweight loss in mixed units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Analysis year and statistic read MTInputs column 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Rural rows labelled Urban; fuel code oil vs oop</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transfer pays out more than the revenue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program without country data: the transfer vanishes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branch skips the median flag and the zero-coverage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use the targeted-transfer median flag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share receiving ignores targeting, coverage and leakage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urban and rural pay out about half of the funds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share x 10 assumes deciles of 10%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values converted without a PPP factor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p25/p75 effects inflated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"chosen statistic" recycling divides by median consumption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brackets always divided by 1000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 labels unusable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Sector table "ordered by demand" sorts each column independently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Ordered sector tables show 11 of 12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Chemicals and power missing from the CPAT-sector table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Chart 19 labels ranked separately from their values; ties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Pass-through coefficients one row off</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outpriin labels do not match their values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codes without a dot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ppic.fuel empty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Lorenz equality line in 10% steps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Absolute overall rows carry wrong codes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prototype: fixed; legacy 465: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N1</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Methane intensity decline of agriculture and waste computed but not applied</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N2</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Other oil products: new ETS left out of the new-policy total, VAT factor on a blank row</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M1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Version-log rows rewritten with the current version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VAT left out on the policy term</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long-term storage allocation left out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VRE share without other renewables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M5</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Defined name clashed with a LAMBDA name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M6</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ETS revenue valued at the tax-equivalent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M7</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Stale texts in the workbook and notes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M8</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LegacyDiff rows out of date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M9</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 comparison note from v1.01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M10</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Total rows labelled "All subsectors"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Macros read 19 year columns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Sheet Lambdas: formula texts named merged sheets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Road vehicle feebate counted the carbon price twice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LAMBDA library texts named a merged-away sheet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Not yet run in Excel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versions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New sector | fuel pairs need a label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 vintage: data prices end in 2022, as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Totals include power since v1.09</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subsidy gap is signed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The LAMBDA year 2041 needs LAMBDA support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Without LAMBDA support the power model looks ahead without 2041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Changing the last historical price year</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Values after 2030</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for other countries: proprietary tables are Egypt only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Distance to the legacy cached baseline</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Subsidy rows changed sign in v2.4</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 new block needs its label row</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Egypt GHG inventory: energy CH4 breaks after 2021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totals use energy CO2 without inventory adjustment (resolved v3.2)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Jet fuel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price data differ from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one auctioned share for every sector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Fuel-use shock of 2023-2024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Industrial process emissions below legacy, not explained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defaults not yet checked against legacy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calibration open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repair prompt (resolved v3.7)</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goal seek short of the cap in definition 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Average prices mix price and composition changes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Energy CO2 calibration to the inventory: as legacy since v4.11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step overwrites the corrected Egypt prices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CH4 of the air-pollution input table: methane sources by convention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Effective carbon rate counts VAT and subsidies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Primary energy of renewables: efficiencies not exactly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Legacy's stored run: wind and solar capex time factors 2039-2041 differ from its Power tab</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VAT on oil products charged on the household share only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Road biofuels: feebate CO2 per liter scaled by the fossil share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the impulse is the change in revenue over this year's GDP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impulses only from GDPStartYear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revenue uses 0 before the carbon price starts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the income-group spread added to manual and country multipliers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excise estimates from the "Excise tax" table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Revenue by policy: transport and renewable subsidies not modelled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methane fee in the fiscal space on stored scenario-1 gas and biomass activity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Price-control phase-out uses the consumer subsidy share (replicated v4.16)</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Producer subsidies: fiscal line only, no price effect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LPG and kerosene always exempted: all new policy removed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leakage: the fossil change is efficiency-weighted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inclusion: construction, fuel transformation and other energy use follow the buildings flag</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Manual domestic prices switch on only with a 2021 value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PPAs: phase-out switch only on the exact text "Yes*"; share to phase out typed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Renewable subsidies: nominal inputs used as real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excise: base-year grid intensity of the energy balance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Final deficit to gas: a typed switch outside MTInputs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Power switches tested for the exact "Yes"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fuel price reform not applied to electricity prices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End-user electricity price not floored at MinPostSubsidyPowerPrice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follow-ups parked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no partial-adjustment model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Demand responds to real USD prices, not real local-currency prices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Combustion emission factor paths missing (GAINS, proprietary)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Blank VAT cells in the IMF price dataset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production for supply methane held at the base year (not replicated)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Intensity NDC: China CO2 hard-coded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NDC reference years outside the data</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Air-pollution co-benefits (health, mortality)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Transport externalities (congestion, accidents, road damage)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grows with total GDP: population gets the income elasticity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feedback timing: same-year effects must never reach same-year demand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Scenario-1 lookups must end at the current column</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Methane calibration bases must be data or base-year values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 code inconsistencies (CPAT code protocol)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Spending in the base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DI2</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GTAP values converted with the local GDP deflator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DI3</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Elasticities always overall, mean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DI4</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Recycled amounts per capita from the overall sample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DI5</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Gini from a fitted Lorenz curve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DI6</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Carbon-pricing revenue stands for the revenue to recycle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DI7</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ASPIRE-targeted transfers (TransferType other than Cash)</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DI8</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Poverty-line targeting (TargetBelow, with Cash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DI9</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Pass-through switch wired into the production-sector prices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DI10</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Median statistic: the targeted transfer only reaches deciles where more than half receive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Elasticities: food &amp; forestry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Other oil products: pass-through and margin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VAT rate where the dataset is blank</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Egypt price data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Oil-product share in the VAT of transport fuels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New ETS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volatility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Policy paths after the target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Biomass carbon-tax coverage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Sign of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Constants and row pointers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Margins and production costs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Producer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bug fixes (v1.06)</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features not built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historical electricity prices and VAT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Existing carbon pricing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Horizon and indices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Data vintage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non-energy methane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flaring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population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combustion emission factors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factor mapping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navigation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total (v3.0)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feedback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legacy values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engineer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policy inputs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inputs from the rest of the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Assumption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biofuels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range anxiety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kept as legacy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Exemption phase-out of uncovered fuels and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goal-seek settings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Non-energy GHG elasticities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inputs by scenario (v5.4, P2)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renewable subsidies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revenue rebate and electricity excise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capex decline options Low and Vhigh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Review in Excel 365</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U2</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Numerical check against legacy CPAT for Egypt</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Report the legacy bugs to the CPAT team</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U5</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Copy-paste stress test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U6</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Other gases, local pollutants and process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U7</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Regulations as shadow prices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U10</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Data for more countries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U13</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Planned retirement data for Egypt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Python port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bl>
    <w:p/>
    <w:p>
      <w:r>
        <w:br w:type="page"/>
      </w:r>
    </w:p>
    <w:p>
      <w:pPr>
        <w:pStyle w:val="Heading1"/>
      </w:pPr>
      <w:r>
        <w:t>Appendix B. Bugs fixed with caveats in legacy CPAT 1.0pre_465</w:t>
      </w:r>
    </w:p>
    <w:p>
      <w:pPr>
        <w:spacing w:after="80"/>
      </w:pPr>
      <w:r>
        <w:rPr>
          <w:color w:val="C00000"/>
          <w:sz w:val="20"/>
        </w:rPr>
        <w:t>Bugs the CPAT team marked fixed in CPAT 1.0pre_465 - No Prop Data.xlsb whose fix is incomplete, differs from the plan, or was not found in the file (checked 2026-10-22, cell by cell against the plans). The red status says what remains. The prototype issues I18 and I29, also on the team's list, stay in section 4 (nothing to fix in legacy). 10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C. Bugs confirmed fixed in legacy CPAT 1.0pre_465</w:t>
      </w:r>
    </w:p>
    <w:p>
      <w:pPr>
        <w:spacing w:after="80"/>
      </w:pPr>
      <w:r>
        <w:rPr>
          <w:color w:val="C00000"/>
          <w:sz w:val="20"/>
        </w:rPr>
        <w:t>Bugs fixed in CPAT 1.0pre_465 - No Prop 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L126  Power: fuel price for power averages later years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