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v1.1.0</w:t>
      </w:r>
    </w:p>
    <w:p>
      <w:pPr>
        <w:spacing w:after="80"/>
      </w:pPr>
      <w:r>
        <w:rPr>
          <w:sz w:val="18"/>
        </w:rPr>
        <w:t>Version 1.1.0, 2026-10-30, the version of CPAT-AI-Mitigation-Prototype v1.1.0. Generated from the CPAT-AI repository (make_bugfix_book.py). Legacy workbook: CPAT 1.0pre_465_NoPropData.xlsb. Master list: tracker Tracking_Legacy_Bugs_v1.1.0.xlsx.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L1-L233</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Tracking_Legacy_Bugs_v1.1.0.xlsx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Tracking_Legacy_Bugs_v1.1.0.xlsx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Tracking_Legacy_Bugs_v1.1.0.xlsx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Tracking_Legacy_Bugs_v1.1.0.xlsx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Tracking_Legacy_Bugs_v1.1.0.xlsx</w:t>
            </w:r>
          </w:p>
        </w:tc>
      </w:tr>
      <w:tr>
        <w:tc>
          <w:tcPr>
            <w:tcW w:type="dxa" w:w="1020"/>
          </w:tcPr>
          <w:p>
            <w:pPr>
              <w:spacing w:after="20"/>
            </w:pPr>
            <w:r>
              <w:rPr>
                <w:rFonts w:ascii="Arial" w:hAnsi="Arial"/>
                <w:b w:val="0"/>
                <w:sz w:val="16"/>
              </w:rPr>
              <w:t>U1-U19</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Tracking_Legacy_Bugs_v1.1.0.xlsx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Tracking_Legacy_Bugs_v1.1.0.xlsx,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231</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223 fixed, 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168</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"Disaggregated energy consumption (Policy)": rows read shifted, stale Mitigation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methane-fee price-change codes of coal and gas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rows that read cells other than their labels name (Markups, capacity, GHG)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199 legacy bugs of the mitigation sheets (29 engineer power, 17 engineer transport, 153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311 TWh (2030) and 439 TWh (2040); power CO2 106.9 MtCO2 (2040); carbon-tax run gas share 50.2% and VRE share 36.6% (2040); investment USD 170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+11.0%</w:t>
            </w:r>
          </w:p>
        </w:tc>
        <w:tc>
          <w:tcPr>
            <w:tcW w:type="dxa" w:w="1134"/>
          </w:tcPr>
          <w:p>
            <w:pPr>
              <w:spacing w:after="20"/>
            </w:pPr>
            <w:r>
              <w:rPr>
                <w:rFonts w:ascii="Arial" w:hAnsi="Arial"/>
                <w:b w:val="0"/>
                <w:sz w:val="15"/>
              </w:rPr>
              <w:t>+14.9%</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-5.5%</w:t>
            </w:r>
          </w:p>
        </w:tc>
        <w:tc>
          <w:tcPr>
            <w:tcW w:type="dxa" w:w="1134"/>
          </w:tcPr>
          <w:p>
            <w:pPr>
              <w:spacing w:after="20"/>
            </w:pPr>
            <w:r>
              <w:rPr>
                <w:rFonts w:ascii="Arial" w:hAnsi="Arial"/>
                <w:b w:val="0"/>
                <w:sz w:val="15"/>
              </w:rPr>
              <w:t>+13.3%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-2.2%</w:t>
            </w:r>
          </w:p>
        </w:tc>
        <w:tc>
          <w:tcPr>
            <w:tcW w:type="dxa" w:w="1134"/>
          </w:tcPr>
          <w:p>
            <w:pPr>
              <w:spacing w:after="20"/>
            </w:pPr>
            <w:r>
              <w:rPr>
                <w:rFonts w:ascii="Arial" w:hAnsi="Arial"/>
                <w:b w:val="0"/>
                <w:sz w:val="15"/>
              </w:rPr>
              <w:t>-7.4%</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+8.6%</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+5.1%</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-7.0%</w:t>
            </w:r>
          </w:p>
        </w:tc>
        <w:tc>
          <w:tcPr>
            <w:tcW w:type="dxa" w:w="1134"/>
          </w:tcPr>
          <w:p>
            <w:pPr>
              <w:spacing w:after="20"/>
            </w:pPr>
            <w:r>
              <w:rPr>
                <w:rFonts w:ascii="Arial" w:hAnsi="Arial"/>
                <w:b w:val="0"/>
                <w:sz w:val="15"/>
              </w:rPr>
              <w:t>-4.9%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+12.5%</w:t>
            </w:r>
          </w:p>
        </w:tc>
        <w:tc>
          <w:tcPr>
            <w:tcW w:type="dxa" w:w="1134"/>
          </w:tcPr>
          <w:p>
            <w:pPr>
              <w:spacing w:after="20"/>
            </w:pPr>
            <w:r>
              <w:rPr>
                <w:rFonts w:ascii="Arial" w:hAnsi="Arial"/>
                <w:b w:val="0"/>
                <w:sz w:val="15"/>
              </w:rPr>
              <w:t>+16.3%</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+26.9%</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118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21</w:t>
            </w:r>
          </w:p>
        </w:tc>
        <w:tc>
          <w:tcPr>
            <w:tcW w:type="dxa" w:w="567"/>
          </w:tcPr>
          <w:p>
            <w:pPr>
              <w:spacing w:after="20"/>
            </w:pPr>
            <w:r>
              <w:rPr>
                <w:rFonts w:ascii="Arial" w:hAnsi="Arial"/>
                <w:b w:val="0"/>
                <w:sz w:val="16"/>
              </w:rPr>
              <w:t>29</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 L231, L232, L233</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MTOutputs "Disaggregated energy consumption (Policy)": rows read shifted, stale Mitigation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MTOutputs: methane-fee price-change codes of coal and gas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MTOutputs: rows that read cells other than their labels name (Markups, capacity, GHG)</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L231  MTOutputs "Disaggregated energy consumption (Policy)": rows read shifted, stale Mitigation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590-776 (K:AD and the codes in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Almost every cell of the section reads a Mitigation row other than the one its label names (shifted and stale references): e.g. K591 "road, coal" reads L11644 (road natural gas, 495.2); K615 "navigation, other oil products" reads L11730 (an after-tax price); others read blank rows or headings. The codes in E are taken from the rows actually read, so they are wrong too; rows 767-776 show #REF!.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prototype MTOutputs (v1.0.4) maps each row by its label (data_old/mvp_legacy_extracts/mtoutputs_map_465.csv, column reason gives the cell legacy reads).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(MTOutputs, the MT exports): the disaggregated fuel use by subsector is wrong in legacy outputs; no model value changes.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(v1.0.4): MTOutputs rows map to the quantities their labels name.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K590:AD776, E590:E776</w:t>
            </w:r>
          </w:p>
        </w:tc>
        <w:tc>
          <w:tcPr>
            <w:tcW w:type="dxa" w:w="2608"/>
          </w:tcPr>
          <w:p>
            <w:pPr>
              <w:spacing w:after="20"/>
            </w:pPr>
            <w:r>
              <w:rPr>
                <w:rFonts w:ascii="Consolas" w:hAnsi="Consolas"/>
                <w:b w:val="0"/>
                <w:sz w:val="14"/>
              </w:rPr>
              <w:t>references to shifted rows (​e.g. K591 =​Mitigation!​L11644)</w:t>
            </w:r>
          </w:p>
        </w:tc>
        <w:tc>
          <w:tcPr>
            <w:tcW w:type="dxa" w:w="2608"/>
          </w:tcPr>
          <w:p>
            <w:pPr>
              <w:spacing w:after="20"/>
            </w:pPr>
            <w:r>
              <w:rPr>
                <w:rFonts w:ascii="Consolas" w:hAnsi="Consolas"/>
                <w:b w:val="0"/>
                <w:sz w:val="14"/>
              </w:rPr>
              <w:t>each row reads the Mitigation row its label names (​fuel use of the subsector and fuel,​ policy group);​ the code formula from the same row</w:t>
            </w:r>
          </w:p>
        </w:tc>
        <w:tc>
          <w:tcPr>
            <w:tcW w:type="dxa" w:w="1247"/>
          </w:tcPr>
          <w:p>
            <w:pPr>
              <w:spacing w:after="20"/>
            </w:pPr>
            <w:r>
              <w:rPr>
                <w:rFonts w:ascii="Arial" w:hAnsi="Arial"/>
                <w:b w:val="0"/>
                <w:sz w:val="14"/>
              </w:rPr>
              <w:t>K:AD</w:t>
            </w:r>
          </w:p>
        </w:tc>
        <w:tc>
          <w:tcPr>
            <w:tcW w:type="dxa" w:w="1701"/>
          </w:tcPr>
          <w:p>
            <w:pPr>
              <w:spacing w:after="20"/>
            </w:pPr>
            <w:r>
              <w:rPr>
                <w:rFonts w:ascii="Arial" w:hAnsi="Arial"/>
                <w:b w:val="0"/>
                <w:sz w:val="14"/>
              </w:rPr>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4"/>
      </w:pPr>
      <w:r>
        <w:t>L232  MTOutputs: methane-fee price-change codes of coal and gas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E1221:E1222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1221 (label and value: natural gas) carries the code mfpct.coa, row 1222 (coal) the code mfpct.nga.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a reader by code takes the coal value for gas and the reverse.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the prototype codes come from the row (v1.0.4).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E1221, E1222</w:t>
            </w:r>
          </w:p>
        </w:tc>
        <w:tc>
          <w:tcPr>
            <w:tcW w:type="dxa" w:w="2608"/>
          </w:tcPr>
          <w:p>
            <w:pPr>
              <w:spacing w:after="20"/>
            </w:pPr>
            <w:r>
              <w:rPr>
                <w:rFonts w:ascii="Consolas" w:hAnsi="Consolas"/>
                <w:b w:val="0"/>
                <w:sz w:val="14"/>
              </w:rPr>
              <w:t>...mfpct.coa (​row 1221),​ ...mfpct.nga (​row 1222)</w:t>
            </w:r>
          </w:p>
        </w:tc>
        <w:tc>
          <w:tcPr>
            <w:tcW w:type="dxa" w:w="2608"/>
          </w:tcPr>
          <w:p>
            <w:pPr>
              <w:spacing w:after="20"/>
            </w:pPr>
            <w:r>
              <w:rPr>
                <w:rFonts w:ascii="Consolas" w:hAnsi="Consolas"/>
                <w:b w:val="0"/>
                <w:sz w:val="14"/>
              </w:rPr>
              <w:t>...mfpct.nga (​row 1221),​ ...mfpct.coa (​row 1222)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L233  MTOutputs: rows that read cells other than their labels name (Markups, capacity, GHG)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1152-1174 (Markups), 1099-1100 (Capacity), 109-111 (Emissions)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Markups block: labels and codes shifted against each other, the cells read unrelated rows. Row 1099 (nameplate capacity) reads a hydro storage cost; row 1100 (effective capacity, total) reads the manual capacity of oil. Rows 109-111 read GHG including LULUCF though labelled excluding.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prototype MTOutputs (v1.0.4) maps by the label (data_old/mvp_legacy_extracts/mtoutputs_map_465.csv).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Reports only (MTOutputs and the MT exports).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(v1.0.4): MTOutputs rows map to the quantities their labels name; legacy-only rows kept with Include? = No.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MTOutputs mapping of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K1152:AD1174, K1099:AD1100, K109:AD111</w:t>
            </w:r>
          </w:p>
        </w:tc>
        <w:tc>
          <w:tcPr>
            <w:tcW w:type="dxa" w:w="2608"/>
          </w:tcPr>
          <w:p>
            <w:pPr>
              <w:spacing w:after="20"/>
            </w:pPr>
            <w:r>
              <w:rPr>
                <w:rFonts w:ascii="Consolas" w:hAnsi="Consolas"/>
                <w:b w:val="0"/>
                <w:sz w:val="14"/>
              </w:rPr>
              <w:t>references to unrelated or neighbouring rows</w:t>
            </w:r>
          </w:p>
        </w:tc>
        <w:tc>
          <w:tcPr>
            <w:tcW w:type="dxa" w:w="2608"/>
          </w:tcPr>
          <w:p>
            <w:pPr>
              <w:spacing w:after="20"/>
            </w:pPr>
            <w:r>
              <w:rPr>
                <w:rFonts w:ascii="Consolas" w:hAnsi="Consolas"/>
                <w:b w:val="0"/>
                <w:sz w:val="14"/>
              </w:rPr>
              <w:t>each row reads the Mitigation row its label names (​GHG excluding LULUCF for 109-​111)</w:t>
            </w:r>
          </w:p>
        </w:tc>
        <w:tc>
          <w:tcPr>
            <w:tcW w:type="dxa" w:w="1247"/>
          </w:tcPr>
          <w:p>
            <w:pPr>
              <w:spacing w:after="20"/>
            </w:pPr>
            <w:r>
              <w:rPr>
                <w:rFonts w:ascii="Arial" w:hAnsi="Arial"/>
                <w:b w:val="0"/>
                <w:sz w:val="14"/>
              </w:rPr>
              <w:t>K:AD</w:t>
            </w:r>
          </w:p>
        </w:tc>
        <w:tc>
          <w:tcPr>
            <w:tcW w:type="dxa" w:w="1701"/>
          </w:tcPr>
          <w:p>
            <w:pPr>
              <w:spacing w:after="20"/>
            </w:pPr>
            <w:r>
              <w:rPr>
                <w:rFonts w:ascii="Arial" w:hAnsi="Arial"/>
                <w:b w:val="0"/>
                <w:sz w:val="14"/>
              </w:rPr>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