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заявка-на-изменение"/>
      <w:r>
        <w:t xml:space="preserve">Заявка на изменение</w:t>
      </w:r>
      <w:bookmarkEnd w:id="20"/>
    </w:p>
    <w:p>
      <w:pPr>
        <w:pStyle w:val="FirstParagraph"/>
      </w:pPr>
      <w:r>
        <w:rPr>
          <w:b/>
        </w:rPr>
        <w:t xml:space="preserve">Программный комплекс «Цифровой полигон»</w:t>
      </w:r>
    </w:p>
    <w:p>
      <w:pPr>
        <w:pStyle w:val="Heading2"/>
      </w:pPr>
      <w:bookmarkStart w:id="21" w:name="содержание"/>
      <w:r>
        <w:t xml:space="preserve">Содержание</w:t>
      </w:r>
      <w:bookmarkEnd w:id="21"/>
    </w:p>
    <w:p>
      <w:pPr>
        <w:pStyle w:val="FirstParagraph"/>
      </w:pPr>
      <w:hyperlink w:anchor="введение">
        <w:r>
          <w:rPr>
            <w:rStyle w:val="Hyperlink"/>
          </w:rPr>
          <w:t xml:space="preserve">Введение</w:t>
        </w:r>
      </w:hyperlink>
    </w:p>
    <w:p>
      <w:pPr>
        <w:pStyle w:val="BodyText"/>
      </w:pPr>
      <w:hyperlink w:anchor="X2eeef4adb4c0dbfc0f696ad57ec757e7a931a58">
        <w:r>
          <w:rPr>
            <w:rStyle w:val="Hyperlink"/>
          </w:rPr>
          <w:t xml:space="preserve">1 Цель изменения</w:t>
        </w:r>
      </w:hyperlink>
    </w:p>
    <w:p>
      <w:pPr>
        <w:pStyle w:val="BodyText"/>
      </w:pPr>
      <w:hyperlink w:anchor="X60a3060255f558b994b382dc334e9f7fd682f72">
        <w:r>
          <w:rPr>
            <w:rStyle w:val="Hyperlink"/>
          </w:rPr>
          <w:t xml:space="preserve">2 Зоны ответственности</w:t>
        </w:r>
      </w:hyperlink>
    </w:p>
    <w:p>
      <w:pPr>
        <w:pStyle w:val="BodyText"/>
      </w:pPr>
      <w:hyperlink w:anchor="Xd6ee95f80dd495179dbc5749a07e0d0594ba34b">
        <w:r>
          <w:rPr>
            <w:rStyle w:val="Hyperlink"/>
          </w:rPr>
          <w:t xml:space="preserve">3 Список используемых в тексте АЗ сокращений</w:t>
        </w:r>
      </w:hyperlink>
    </w:p>
    <w:p>
      <w:pPr>
        <w:pStyle w:val="BodyText"/>
      </w:pPr>
      <w:hyperlink w:anchor="Xdca8fa019ffaa094a05b47b159116836e153b44">
        <w:r>
          <w:rPr>
            <w:rStyle w:val="Hyperlink"/>
          </w:rPr>
          <w:t xml:space="preserve">4 Архитектурное решение</w:t>
        </w:r>
      </w:hyperlink>
    </w:p>
    <w:p>
      <w:pPr>
        <w:pStyle w:val="BodyText"/>
      </w:pPr>
      <w:hyperlink w:anchor="X60f398f020a9788b6b4b23aea33a6bd60baa13b">
        <w:r>
          <w:rPr>
            <w:rStyle w:val="Hyperlink"/>
          </w:rPr>
          <w:t xml:space="preserve">5 Характеристики серверного оборудования</w:t>
        </w:r>
      </w:hyperlink>
    </w:p>
    <w:p>
      <w:pPr>
        <w:pStyle w:val="BodyText"/>
      </w:pPr>
      <w:hyperlink w:anchor="Xac6c647560a35ea7c1bc1a36e5a2200b2cd3129">
        <w:r>
          <w:rPr>
            <w:rStyle w:val="Hyperlink"/>
          </w:rPr>
          <w:t xml:space="preserve">6 Программное обеспечение и лицензирование</w:t>
        </w:r>
      </w:hyperlink>
    </w:p>
    <w:p>
      <w:pPr>
        <w:pStyle w:val="BodyText"/>
      </w:pPr>
      <w:hyperlink w:anchor="X6da28d2904d0175ee8d83247e4e45ffed1b8cb9">
        <w:r>
          <w:rPr>
            <w:rStyle w:val="Hyperlink"/>
          </w:rPr>
          <w:t xml:space="preserve">7 Объекты, создаваемые в АД, DNS</w:t>
        </w:r>
      </w:hyperlink>
    </w:p>
    <w:p>
      <w:pPr>
        <w:pStyle w:val="BodyText"/>
      </w:pPr>
      <w:hyperlink w:anchor="Xcdc04cd63919647f8119c6e64f81d3aa46b2d50">
        <w:r>
          <w:rPr>
            <w:rStyle w:val="Hyperlink"/>
          </w:rPr>
          <w:t xml:space="preserve">8 Права доступа и привилегии</w:t>
        </w:r>
      </w:hyperlink>
    </w:p>
    <w:p>
      <w:pPr>
        <w:pStyle w:val="BodyText"/>
      </w:pPr>
      <w:hyperlink w:anchor="Xff20d354fda3aa114edf4646a1de2e010fe43de">
        <w:r>
          <w:rPr>
            <w:rStyle w:val="Hyperlink"/>
          </w:rPr>
          <w:t xml:space="preserve">9 Интеграция с системами ИТ</w:t>
        </w:r>
      </w:hyperlink>
    </w:p>
    <w:p>
      <w:pPr>
        <w:pStyle w:val="Heading2"/>
      </w:pPr>
      <w:bookmarkStart w:id="22" w:name="введение"/>
      <w:r>
        <w:t xml:space="preserve">Введение</w:t>
      </w:r>
      <w:bookmarkEnd w:id="22"/>
    </w:p>
    <w:p>
      <w:pPr>
        <w:pStyle w:val="FirstParagraph"/>
      </w:pPr>
      <w:r>
        <w:t xml:space="preserve">Настоящий документ является основанием для выполнения работ по развертыванию и настройке программного комплекса «Цифровой полигон» (далее — Система). Система предназначена для работы с документами ГОСТ и включает компоненты Backend, Frontend, базу данных PostgreSQL, брокер сообщений RabbitMQ и сервисы машинного обучения.</w:t>
      </w:r>
    </w:p>
    <w:p>
      <w:pPr>
        <w:pStyle w:val="BodyText"/>
      </w:pPr>
      <w:r>
        <w:t xml:space="preserve">Система обеспечивает обработку, хранение и отображение документов ГОСТ, а также импорт документов из системы мастер-данных (МДМ) через API. В документе определены цель изменения, архитектурное решение, состав программного обеспечения, размещение компонентов, требования к сетевому взаимодействию, доступу и интеграции с внешними системами.</w:t>
      </w:r>
    </w:p>
    <w:p>
      <w:pPr>
        <w:pStyle w:val="Heading2"/>
      </w:pPr>
      <w:bookmarkStart w:id="23" w:name="цель-изменения"/>
      <w:r>
        <w:t xml:space="preserve">1. Цель изменения</w:t>
      </w:r>
      <w:bookmarkEnd w:id="23"/>
    </w:p>
    <w:p>
      <w:pPr>
        <w:pStyle w:val="FirstParagraph"/>
      </w:pPr>
      <w:r>
        <w:t xml:space="preserve">Обеспечить вычислительными и сетевыми ресурсами продуктивный ландшафт программного комплекса «Цифровой полигон» для работы с документами ГОСТ и импорта документов из МДМ через API.</w:t>
      </w:r>
    </w:p>
    <w:p>
      <w:pPr>
        <w:pStyle w:val="BodyText"/>
      </w:pPr>
      <w:r>
        <w:t xml:space="preserve">В рамках изменения необходимо:</w:t>
      </w:r>
    </w:p>
    <w:p>
      <w:pPr>
        <w:pStyle w:val="Compact"/>
        <w:numPr>
          <w:numId w:val="1001"/>
          <w:ilvl w:val="0"/>
        </w:numPr>
      </w:pPr>
      <w:r>
        <w:t xml:space="preserve">развернуть и настроить Backend, включающий Nginx, PHP-FPM, Symfony и RabbitMQ;</w:t>
      </w:r>
    </w:p>
    <w:p>
      <w:pPr>
        <w:pStyle w:val="Compact"/>
        <w:numPr>
          <w:numId w:val="1001"/>
          <w:ilvl w:val="0"/>
        </w:numPr>
      </w:pPr>
      <w:r>
        <w:t xml:space="preserve">развернуть базу данных PostgreSQL;</w:t>
      </w:r>
    </w:p>
    <w:p>
      <w:pPr>
        <w:pStyle w:val="Compact"/>
        <w:numPr>
          <w:numId w:val="1001"/>
          <w:ilvl w:val="0"/>
        </w:numPr>
      </w:pPr>
      <w:r>
        <w:t xml:space="preserve">развернуть Frontend на базе Node.js и Nuxt.js;</w:t>
      </w:r>
    </w:p>
    <w:p>
      <w:pPr>
        <w:pStyle w:val="Compact"/>
        <w:numPr>
          <w:numId w:val="1001"/>
          <w:ilvl w:val="0"/>
        </w:numPr>
      </w:pPr>
      <w:r>
        <w:t xml:space="preserve">развернуть компоненты машинного обучения на отдельном сервере;</w:t>
      </w:r>
    </w:p>
    <w:p>
      <w:pPr>
        <w:pStyle w:val="Compact"/>
        <w:numPr>
          <w:numId w:val="1001"/>
          <w:ilvl w:val="0"/>
        </w:numPr>
      </w:pPr>
      <w:r>
        <w:t xml:space="preserve">обеспечить сетевое взаимодействие между компонентами Системы;</w:t>
      </w:r>
    </w:p>
    <w:p>
      <w:pPr>
        <w:pStyle w:val="Compact"/>
        <w:numPr>
          <w:numId w:val="1001"/>
          <w:ilvl w:val="0"/>
        </w:numPr>
      </w:pPr>
      <w:r>
        <w:t xml:space="preserve">обеспечить взаимодействие Backend с API системы МДМ;</w:t>
      </w:r>
    </w:p>
    <w:p>
      <w:pPr>
        <w:pStyle w:val="Compact"/>
        <w:numPr>
          <w:numId w:val="1001"/>
          <w:ilvl w:val="0"/>
        </w:numPr>
      </w:pPr>
      <w:r>
        <w:t xml:space="preserve">выполнить проверку доступности и работоспособности Системы.</w:t>
      </w:r>
    </w:p>
    <w:p>
      <w:pPr>
        <w:pStyle w:val="FirstParagraph"/>
      </w:pPr>
      <w:r>
        <w:rPr>
          <w:b/>
        </w:rPr>
        <w:t xml:space="preserve">Назначение Системы:</w:t>
      </w:r>
      <w:r>
        <w:t xml:space="preserve"> </w:t>
      </w:r>
      <w:r>
        <w:t xml:space="preserve">работа с документами ГОСТ, включая загрузку, обработку, хранение, поиск и отображение документов.</w:t>
      </w:r>
    </w:p>
    <w:p>
      <w:pPr>
        <w:pStyle w:val="BodyText"/>
      </w:pPr>
      <w:r>
        <w:rPr>
          <w:b/>
        </w:rPr>
        <w:t xml:space="preserve">Владелец создаваемых виртуальных машин:</w:t>
      </w:r>
      <w:r>
        <w:t xml:space="preserve"> </w:t>
      </w:r>
      <w:r>
        <w:t xml:space="preserve">определяется руководителем проекта.</w:t>
      </w:r>
    </w:p>
    <w:p>
      <w:pPr>
        <w:pStyle w:val="Heading2"/>
      </w:pPr>
      <w:bookmarkStart w:id="24" w:name="зоны-ответственности"/>
      <w:r>
        <w:t xml:space="preserve">2. Зоны ответственности</w:t>
      </w:r>
      <w:bookmarkEnd w:id="24"/>
    </w:p>
    <w:p>
      <w:pPr>
        <w:pStyle w:val="FirstParagraph"/>
      </w:pPr>
      <w:r>
        <w:t xml:space="preserve">В таблице 1 перечислены лица, ответственные за различные аспекты реализации изменений.</w:t>
      </w:r>
    </w:p>
    <w:p>
      <w:pPr>
        <w:pStyle w:val="BodyText"/>
      </w:pPr>
      <w:r>
        <w:rPr>
          <w:b/>
        </w:rPr>
        <w:t xml:space="preserve">Таблица 1 — Таблица ответственных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Подразделение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Ответственное лицо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Куратор проекта</w:t>
            </w:r>
          </w:p>
        </w:tc>
        <w:tc>
          <w:p>
            <w:pPr>
              <w:pStyle w:val="Compact"/>
              <w:jc w:val="left"/>
            </w:pPr>
            <w:r>
              <w:t xml:space="preserve">ИТ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Руководитель проекта</w:t>
            </w:r>
          </w:p>
        </w:tc>
        <w:tc>
          <w:p>
            <w:pPr>
              <w:pStyle w:val="Compact"/>
              <w:jc w:val="left"/>
            </w:pPr>
            <w:r>
              <w:t xml:space="preserve">ИТ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Администратор информационной системы</w:t>
            </w:r>
          </w:p>
        </w:tc>
        <w:tc>
          <w:p>
            <w:pPr>
              <w:pStyle w:val="Compact"/>
              <w:jc w:val="left"/>
            </w:pPr>
            <w:r>
              <w:t xml:space="preserve">ИТ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Администратор инфраструктуры</w:t>
            </w:r>
          </w:p>
        </w:tc>
        <w:tc>
          <w:p>
            <w:pPr>
              <w:pStyle w:val="Compact"/>
              <w:jc w:val="left"/>
            </w:pPr>
            <w:r>
              <w:t xml:space="preserve">ИТ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Администратор сети</w:t>
            </w:r>
          </w:p>
        </w:tc>
        <w:tc>
          <w:p>
            <w:pPr>
              <w:pStyle w:val="Compact"/>
              <w:jc w:val="left"/>
            </w:pPr>
            <w:r>
              <w:t xml:space="preserve">ИТ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Администратор базы данных</w:t>
            </w:r>
          </w:p>
        </w:tc>
        <w:tc>
          <w:p>
            <w:pPr>
              <w:pStyle w:val="Compact"/>
              <w:jc w:val="left"/>
            </w:pPr>
            <w:r>
              <w:t xml:space="preserve">ИТ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Администратор информационной безопасности</w:t>
            </w:r>
          </w:p>
        </w:tc>
        <w:tc>
          <w:p>
            <w:pPr>
              <w:pStyle w:val="Compact"/>
              <w:jc w:val="left"/>
            </w:pPr>
            <w:r>
              <w:t xml:space="preserve">ИБ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Представитель исполнителя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Примечание</w:t>
      </w:r>
      <w:r>
        <w:t xml:space="preserve"> </w:t>
      </w:r>
      <w:r>
        <w:t xml:space="preserve">— Заполняется руководителем проекта.</w:t>
      </w:r>
    </w:p>
    <w:p>
      <w:pPr>
        <w:pStyle w:val="Heading2"/>
      </w:pPr>
      <w:bookmarkStart w:id="25" w:name="X29fe54e5ab21b120b1f189d2069fad105fa2684"/>
      <w:r>
        <w:t xml:space="preserve">3. Список используемых в тексте АЗ сокращений</w:t>
      </w:r>
      <w:bookmarkEnd w:id="25"/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ГОСТ</w:t>
      </w:r>
      <w:r>
        <w:t xml:space="preserve"> </w:t>
      </w:r>
      <w:r>
        <w:t xml:space="preserve">— государственный стандарт;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МДМ</w:t>
      </w:r>
      <w:r>
        <w:t xml:space="preserve"> </w:t>
      </w:r>
      <w:r>
        <w:t xml:space="preserve">— система управления мастер-данными;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Backend</w:t>
      </w:r>
      <w:r>
        <w:t xml:space="preserve"> </w:t>
      </w:r>
      <w:r>
        <w:t xml:space="preserve">— серверная часть приложения;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Frontend</w:t>
      </w:r>
      <w:r>
        <w:t xml:space="preserve"> </w:t>
      </w:r>
      <w:r>
        <w:t xml:space="preserve">— клиентская часть приложения;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ML</w:t>
      </w:r>
      <w:r>
        <w:t xml:space="preserve"> </w:t>
      </w:r>
      <w:r>
        <w:t xml:space="preserve">— Machine Learning, машинное обучение;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API</w:t>
      </w:r>
      <w:r>
        <w:t xml:space="preserve"> </w:t>
      </w:r>
      <w:r>
        <w:t xml:space="preserve">— Application Programming Interface, программный интерфейс приложения;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HTTP/HTTPS</w:t>
      </w:r>
      <w:r>
        <w:t xml:space="preserve"> </w:t>
      </w:r>
      <w:r>
        <w:t xml:space="preserve">— протоколы передачи гипертекста;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Nginx</w:t>
      </w:r>
      <w:r>
        <w:t xml:space="preserve"> </w:t>
      </w:r>
      <w:r>
        <w:t xml:space="preserve">— веб-сервер и обратный прокси-сервер;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PHP-FPM</w:t>
      </w:r>
      <w:r>
        <w:t xml:space="preserve"> </w:t>
      </w:r>
      <w:r>
        <w:t xml:space="preserve">— менеджер процессов для PHP;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Symfony</w:t>
      </w:r>
      <w:r>
        <w:t xml:space="preserve"> </w:t>
      </w:r>
      <w:r>
        <w:t xml:space="preserve">— фреймворк для разработки приложений на PHP;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PostgreSQL</w:t>
      </w:r>
      <w:r>
        <w:t xml:space="preserve"> </w:t>
      </w:r>
      <w:r>
        <w:t xml:space="preserve">— система управления реляционными базами данных;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RabbitMQ</w:t>
      </w:r>
      <w:r>
        <w:t xml:space="preserve"> </w:t>
      </w:r>
      <w:r>
        <w:t xml:space="preserve">— брокер сообщений;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Node.js</w:t>
      </w:r>
      <w:r>
        <w:t xml:space="preserve"> </w:t>
      </w:r>
      <w:r>
        <w:t xml:space="preserve">— программная платформа для выполнения JavaScript;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Nuxt.js</w:t>
      </w:r>
      <w:r>
        <w:t xml:space="preserve"> </w:t>
      </w:r>
      <w:r>
        <w:t xml:space="preserve">— фреймворк для разработки веб-приложений;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Composer</w:t>
      </w:r>
      <w:r>
        <w:t xml:space="preserve"> </w:t>
      </w:r>
      <w:r>
        <w:t xml:space="preserve">— менеджер зависимостей PHP;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NPM</w:t>
      </w:r>
      <w:r>
        <w:t xml:space="preserve"> </w:t>
      </w:r>
      <w:r>
        <w:t xml:space="preserve">— менеджер пакетов Node.js;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PM2</w:t>
      </w:r>
      <w:r>
        <w:t xml:space="preserve"> </w:t>
      </w:r>
      <w:r>
        <w:t xml:space="preserve">— менеджер процессов приложений;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Apache FOP</w:t>
      </w:r>
      <w:r>
        <w:t xml:space="preserve"> </w:t>
      </w:r>
      <w:r>
        <w:t xml:space="preserve">— средство формирования PDF-документов;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JEuclid</w:t>
      </w:r>
      <w:r>
        <w:t xml:space="preserve"> </w:t>
      </w:r>
      <w:r>
        <w:t xml:space="preserve">— компонент обработки математических формул;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OCR</w:t>
      </w:r>
      <w:r>
        <w:t xml:space="preserve"> </w:t>
      </w:r>
      <w:r>
        <w:t xml:space="preserve">— оптическое распознавание символов;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DNS</w:t>
      </w:r>
      <w:r>
        <w:t xml:space="preserve"> </w:t>
      </w:r>
      <w:r>
        <w:t xml:space="preserve">— система доменных имен;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NTP</w:t>
      </w:r>
      <w:r>
        <w:t xml:space="preserve"> </w:t>
      </w:r>
      <w:r>
        <w:t xml:space="preserve">— протокол синхронизации времени;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СУБД</w:t>
      </w:r>
      <w:r>
        <w:t xml:space="preserve"> </w:t>
      </w:r>
      <w:r>
        <w:t xml:space="preserve">— система управления базами данных;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ВМ</w:t>
      </w:r>
      <w:r>
        <w:t xml:space="preserve"> </w:t>
      </w:r>
      <w:r>
        <w:t xml:space="preserve">— виртуальная машина;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ЛВС</w:t>
      </w:r>
      <w:r>
        <w:t xml:space="preserve"> </w:t>
      </w:r>
      <w:r>
        <w:t xml:space="preserve">— локальная вычислительная сеть;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СХД</w:t>
      </w:r>
      <w:r>
        <w:t xml:space="preserve"> </w:t>
      </w:r>
      <w:r>
        <w:t xml:space="preserve">— система хранения данных.</w:t>
      </w:r>
    </w:p>
    <w:p>
      <w:pPr>
        <w:pStyle w:val="Heading2"/>
      </w:pPr>
      <w:bookmarkStart w:id="26" w:name="архитектурное-решение"/>
      <w:r>
        <w:t xml:space="preserve">4. Архитектурное решение</w:t>
      </w:r>
      <w:bookmarkEnd w:id="26"/>
    </w:p>
    <w:p>
      <w:pPr>
        <w:pStyle w:val="Heading3"/>
      </w:pPr>
      <w:bookmarkStart w:id="27" w:name="общая-архитектура"/>
      <w:r>
        <w:t xml:space="preserve">4.1. Общая архитектура</w:t>
      </w:r>
      <w:bookmarkEnd w:id="27"/>
    </w:p>
    <w:p>
      <w:pPr>
        <w:pStyle w:val="FirstParagraph"/>
      </w:pPr>
      <w:r>
        <w:t xml:space="preserve">Система построена по распределенной схеме. Компоненты Системы размещаются на отдельных серверах и взаимодействуют по внутренней сети.</w:t>
      </w:r>
    </w:p>
    <w:p>
      <w:pPr>
        <w:pStyle w:val="BodyText"/>
      </w:pPr>
      <w:r>
        <w:rPr>
          <w:b/>
        </w:rPr>
        <w:t xml:space="preserve">Уровень представления</w:t>
      </w:r>
      <w:r>
        <w:t xml:space="preserve"> </w:t>
      </w:r>
      <w:r>
        <w:t xml:space="preserve">— Frontend обеспечивает пользовательский доступ к Системе и отображает документы ГОСТ. Frontend размещается на сервере</w:t>
      </w:r>
      <w:r>
        <w:t xml:space="preserve"> </w:t>
      </w:r>
      <w:r>
        <w:rPr>
          <w:rStyle w:val="VerbatimChar"/>
        </w:rPr>
        <w:t xml:space="preserve">192.168.120.222</w:t>
      </w:r>
      <w:r>
        <w:t xml:space="preserve">.</w:t>
      </w:r>
    </w:p>
    <w:p>
      <w:pPr>
        <w:pStyle w:val="BodyText"/>
      </w:pPr>
      <w:r>
        <w:rPr>
          <w:b/>
        </w:rPr>
        <w:t xml:space="preserve">Уровень бизнес-логики</w:t>
      </w:r>
      <w:r>
        <w:t xml:space="preserve"> </w:t>
      </w:r>
      <w:r>
        <w:t xml:space="preserve">— Backend реализует обработку запросов, бизнес-логику, работу с документами, взаимодействие с PostgreSQL, RabbitMQ и ML, а также импорт документов из МДМ через API. Backend, Nginx и RabbitMQ размещаются на сервере</w:t>
      </w:r>
      <w:r>
        <w:t xml:space="preserve"> </w:t>
      </w:r>
      <w:r>
        <w:rPr>
          <w:rStyle w:val="VerbatimChar"/>
        </w:rPr>
        <w:t xml:space="preserve">192.168.120.220</w:t>
      </w:r>
      <w:r>
        <w:t xml:space="preserve">.</w:t>
      </w:r>
    </w:p>
    <w:p>
      <w:pPr>
        <w:pStyle w:val="BodyText"/>
      </w:pPr>
      <w:r>
        <w:rPr>
          <w:b/>
        </w:rPr>
        <w:t xml:space="preserve">Уровень данных</w:t>
      </w:r>
      <w:r>
        <w:t xml:space="preserve"> </w:t>
      </w:r>
      <w:r>
        <w:t xml:space="preserve">— PostgreSQL обеспечивает хранение данных Системы и размещается на сервере</w:t>
      </w:r>
      <w:r>
        <w:t xml:space="preserve"> </w:t>
      </w:r>
      <w:r>
        <w:rPr>
          <w:rStyle w:val="VerbatimChar"/>
        </w:rPr>
        <w:t xml:space="preserve">192.168.120.221</w:t>
      </w:r>
      <w:r>
        <w:t xml:space="preserve">.</w:t>
      </w:r>
    </w:p>
    <w:p>
      <w:pPr>
        <w:pStyle w:val="BodyText"/>
      </w:pPr>
      <w:r>
        <w:rPr>
          <w:b/>
        </w:rPr>
        <w:t xml:space="preserve">Уровень машинного обучения</w:t>
      </w:r>
      <w:r>
        <w:t xml:space="preserve"> </w:t>
      </w:r>
      <w:r>
        <w:t xml:space="preserve">— ML-компоненты выполняют распознавание, анализ и обработку документов. Компонент ML размещается на сервере</w:t>
      </w:r>
      <w:r>
        <w:t xml:space="preserve"> </w:t>
      </w:r>
      <w:r>
        <w:rPr>
          <w:rStyle w:val="VerbatimChar"/>
        </w:rPr>
        <w:t xml:space="preserve">192.168.120.219</w:t>
      </w:r>
      <w:r>
        <w:t xml:space="preserve">.</w:t>
      </w:r>
    </w:p>
    <w:p>
      <w:pPr>
        <w:pStyle w:val="Heading3"/>
      </w:pPr>
      <w:bookmarkStart w:id="28" w:name="взаимодействие-компонентов"/>
      <w:r>
        <w:t xml:space="preserve">4.2. Взаимодействие компонентов</w:t>
      </w:r>
      <w:bookmarkEnd w:id="28"/>
    </w:p>
    <w:p>
      <w:pPr>
        <w:pStyle w:val="Compact"/>
        <w:numPr>
          <w:numId w:val="1003"/>
          <w:ilvl w:val="0"/>
        </w:numPr>
      </w:pPr>
      <w:r>
        <w:t xml:space="preserve">Пользователь обращается к Frontend по адресу сервера</w:t>
      </w:r>
      <w:r>
        <w:t xml:space="preserve"> </w:t>
      </w:r>
      <w:r>
        <w:rPr>
          <w:rStyle w:val="VerbatimChar"/>
        </w:rPr>
        <w:t xml:space="preserve">192.168.120.222</w:t>
      </w:r>
      <w:r>
        <w:t xml:space="preserve">.</w:t>
      </w:r>
    </w:p>
    <w:p>
      <w:pPr>
        <w:pStyle w:val="Compact"/>
        <w:numPr>
          <w:numId w:val="1003"/>
          <w:ilvl w:val="0"/>
        </w:numPr>
      </w:pPr>
      <w:r>
        <w:t xml:space="preserve">Frontend направляет запросы к Backend на сервер</w:t>
      </w:r>
      <w:r>
        <w:t xml:space="preserve"> </w:t>
      </w:r>
      <w:r>
        <w:rPr>
          <w:rStyle w:val="VerbatimChar"/>
        </w:rPr>
        <w:t xml:space="preserve">192.168.120.220</w:t>
      </w:r>
      <w:r>
        <w:t xml:space="preserve">.</w:t>
      </w:r>
    </w:p>
    <w:p>
      <w:pPr>
        <w:pStyle w:val="Compact"/>
        <w:numPr>
          <w:numId w:val="1003"/>
          <w:ilvl w:val="0"/>
        </w:numPr>
      </w:pPr>
      <w:r>
        <w:t xml:space="preserve">Nginx принимает внешние HTTP/HTTPS-запросы и передает их приложению Backend.</w:t>
      </w:r>
    </w:p>
    <w:p>
      <w:pPr>
        <w:pStyle w:val="Compact"/>
        <w:numPr>
          <w:numId w:val="1003"/>
          <w:ilvl w:val="0"/>
        </w:numPr>
      </w:pPr>
      <w:r>
        <w:t xml:space="preserve">Backend обращается к PostgreSQL на сервере</w:t>
      </w:r>
      <w:r>
        <w:t xml:space="preserve"> </w:t>
      </w:r>
      <w:r>
        <w:rPr>
          <w:rStyle w:val="VerbatimChar"/>
        </w:rPr>
        <w:t xml:space="preserve">192.168.120.221</w:t>
      </w:r>
      <w:r>
        <w:t xml:space="preserve"> </w:t>
      </w:r>
      <w:r>
        <w:t xml:space="preserve">для хранения и получения данных.</w:t>
      </w:r>
    </w:p>
    <w:p>
      <w:pPr>
        <w:pStyle w:val="Compact"/>
        <w:numPr>
          <w:numId w:val="1003"/>
          <w:ilvl w:val="0"/>
        </w:numPr>
      </w:pPr>
      <w:r>
        <w:t xml:space="preserve">Backend использует RabbitMQ на сервере</w:t>
      </w:r>
      <w:r>
        <w:t xml:space="preserve"> </w:t>
      </w:r>
      <w:r>
        <w:rPr>
          <w:rStyle w:val="VerbatimChar"/>
        </w:rPr>
        <w:t xml:space="preserve">192.168.120.220</w:t>
      </w:r>
      <w:r>
        <w:t xml:space="preserve"> </w:t>
      </w:r>
      <w:r>
        <w:t xml:space="preserve">для асинхронной обработки задач.</w:t>
      </w:r>
    </w:p>
    <w:p>
      <w:pPr>
        <w:pStyle w:val="Compact"/>
        <w:numPr>
          <w:numId w:val="1003"/>
          <w:ilvl w:val="0"/>
        </w:numPr>
      </w:pPr>
      <w:r>
        <w:t xml:space="preserve">Backend передает ML-компонентам задания на обработку документов и получает результаты от сервера</w:t>
      </w:r>
      <w:r>
        <w:t xml:space="preserve"> </w:t>
      </w:r>
      <w:r>
        <w:rPr>
          <w:rStyle w:val="VerbatimChar"/>
        </w:rPr>
        <w:t xml:space="preserve">192.168.120.219</w:t>
      </w:r>
      <w:r>
        <w:t xml:space="preserve">.</w:t>
      </w:r>
    </w:p>
    <w:p>
      <w:pPr>
        <w:pStyle w:val="Compact"/>
        <w:numPr>
          <w:numId w:val="1003"/>
          <w:ilvl w:val="0"/>
        </w:numPr>
      </w:pPr>
      <w:r>
        <w:t xml:space="preserve">Backend обращается к API МДМ для импорта документов и связанных данных.</w:t>
      </w:r>
    </w:p>
    <w:p>
      <w:pPr>
        <w:pStyle w:val="Heading3"/>
      </w:pPr>
      <w:bookmarkStart w:id="29" w:name="интеграция-с-мдм"/>
      <w:r>
        <w:t xml:space="preserve">4.3. Интеграция с МДМ</w:t>
      </w:r>
      <w:bookmarkEnd w:id="29"/>
    </w:p>
    <w:p>
      <w:pPr>
        <w:pStyle w:val="FirstParagraph"/>
      </w:pPr>
      <w:r>
        <w:t xml:space="preserve">Программный комплекс «Цифровой полигон» имеет возможность импорта документов ГОСТ из МДМ через API. Инициатором взаимодействия является Backend на сервере</w:t>
      </w:r>
      <w:r>
        <w:t xml:space="preserve"> </w:t>
      </w:r>
      <w:r>
        <w:rPr>
          <w:rStyle w:val="VerbatimChar"/>
        </w:rPr>
        <w:t xml:space="preserve">192.168.120.220</w:t>
      </w:r>
      <w:r>
        <w:t xml:space="preserve">.</w:t>
      </w:r>
    </w:p>
    <w:p>
      <w:pPr>
        <w:pStyle w:val="BodyText"/>
      </w:pPr>
      <w:r>
        <w:t xml:space="preserve">Для обеспечения интеграции необходимо:</w:t>
      </w:r>
    </w:p>
    <w:p>
      <w:pPr>
        <w:pStyle w:val="Compact"/>
        <w:numPr>
          <w:numId w:val="1004"/>
          <w:ilvl w:val="0"/>
        </w:numPr>
      </w:pPr>
      <w:r>
        <w:t xml:space="preserve">разрешить сетевой доступ от</w:t>
      </w:r>
      <w:r>
        <w:t xml:space="preserve"> </w:t>
      </w:r>
      <w:r>
        <w:rPr>
          <w:rStyle w:val="VerbatimChar"/>
        </w:rPr>
        <w:t xml:space="preserve">192.168.120.220</w:t>
      </w:r>
      <w:r>
        <w:t xml:space="preserve"> </w:t>
      </w:r>
      <w:r>
        <w:t xml:space="preserve">к API МДМ;</w:t>
      </w:r>
    </w:p>
    <w:p>
      <w:pPr>
        <w:pStyle w:val="Compact"/>
        <w:numPr>
          <w:numId w:val="1004"/>
          <w:ilvl w:val="0"/>
        </w:numPr>
      </w:pPr>
      <w:r>
        <w:t xml:space="preserve">определить адрес, порт и протокол API МДМ;</w:t>
      </w:r>
    </w:p>
    <w:p>
      <w:pPr>
        <w:pStyle w:val="Compact"/>
        <w:numPr>
          <w:numId w:val="1004"/>
          <w:ilvl w:val="0"/>
        </w:numPr>
      </w:pPr>
      <w:r>
        <w:t xml:space="preserve">настроить параметры подключения в переменных окружения Backend;</w:t>
      </w:r>
    </w:p>
    <w:p>
      <w:pPr>
        <w:pStyle w:val="Compact"/>
        <w:numPr>
          <w:numId w:val="1004"/>
          <w:ilvl w:val="0"/>
        </w:numPr>
      </w:pPr>
      <w:r>
        <w:t xml:space="preserve">настроить авторизацию в API МДМ в соответствии с требованиями владельца системы;</w:t>
      </w:r>
    </w:p>
    <w:p>
      <w:pPr>
        <w:pStyle w:val="Compact"/>
        <w:numPr>
          <w:numId w:val="1004"/>
          <w:ilvl w:val="0"/>
        </w:numPr>
      </w:pPr>
      <w:r>
        <w:t xml:space="preserve">обеспечить журналирование операций импорта;</w:t>
      </w:r>
    </w:p>
    <w:p>
      <w:pPr>
        <w:pStyle w:val="Compact"/>
        <w:numPr>
          <w:numId w:val="1004"/>
          <w:ilvl w:val="0"/>
        </w:numPr>
      </w:pPr>
      <w:r>
        <w:t xml:space="preserve">выполнить проверку успешного получения и обработки документов.</w:t>
      </w:r>
    </w:p>
    <w:p>
      <w:pPr>
        <w:pStyle w:val="FirstParagraph"/>
      </w:pPr>
      <w:r>
        <w:t xml:space="preserve">Конкретный URL API МДМ, порт, способ авторизации и формат сообщений определяются владельцем МДМ и указываются в эксплуатационной конфигурации.</w:t>
      </w:r>
    </w:p>
    <w:p>
      <w:pPr>
        <w:pStyle w:val="Heading2"/>
      </w:pPr>
      <w:bookmarkStart w:id="30" w:name="характеристики-серверного-оборудования"/>
      <w:r>
        <w:t xml:space="preserve">5. Характеристики серверного оборудования</w:t>
      </w:r>
      <w:bookmarkEnd w:id="30"/>
    </w:p>
    <w:p>
      <w:pPr>
        <w:pStyle w:val="FirstParagraph"/>
      </w:pPr>
      <w:r>
        <w:t xml:space="preserve">В таблице 2 приведены серверы, на которых размещаются компоненты Системы.</w:t>
      </w:r>
    </w:p>
    <w:p>
      <w:pPr>
        <w:pStyle w:val="BodyText"/>
      </w:pPr>
      <w:r>
        <w:rPr>
          <w:b/>
        </w:rPr>
        <w:t xml:space="preserve">Таблица 2 — Перечень серверов и компонентов</w:t>
      </w:r>
    </w:p>
    <w:tbl>
      <w:tblPr>
        <w:tblStyle w:val="Table"/>
        <w:tblW w:type="pct" w:w="5000.0"/>
        <w:tblLook w:firstRow="1"/>
      </w:tblPr>
      <w:tblGrid>
        <w:gridCol w:w="1980"/>
        <w:gridCol w:w="1485"/>
        <w:gridCol w:w="1485"/>
        <w:gridCol w:w="1485"/>
        <w:gridCol w:w="148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Размещаемые компоненты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192.168.120.220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Backend, Nginx, RabbitMQ, PHP-FPM, Symfony, Composer, Apache FOP</w:t>
            </w:r>
          </w:p>
        </w:tc>
        <w:tc>
          <w:p>
            <w:pPr>
              <w:pStyle w:val="Compact"/>
              <w:jc w:val="left"/>
            </w:pPr>
            <w:r>
              <w:t xml:space="preserve">Сервер бизнес-логики, API, очередей и формирования документов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192.168.120.221</w:t>
            </w:r>
          </w:p>
        </w:tc>
        <w:tc>
          <w:p>
            <w:pPr>
              <w:pStyle w:val="Compact"/>
              <w:jc w:val="left"/>
            </w:pPr>
            <w:r>
              <w:t xml:space="preserve">СУБД</w:t>
            </w:r>
          </w:p>
        </w:tc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Хранение данных Системы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192.168.120.222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Node.js, Nuxt.js, NPM, Frontend</w:t>
            </w:r>
          </w:p>
        </w:tc>
        <w:tc>
          <w:p>
            <w:pPr>
              <w:pStyle w:val="Compact"/>
              <w:jc w:val="left"/>
            </w:pPr>
            <w:r>
              <w:t xml:space="preserve">Пользовательский интерфейс Системы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192.168.120.219</w:t>
            </w:r>
          </w:p>
        </w:tc>
        <w:tc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p>
            <w:pPr>
              <w:pStyle w:val="Compact"/>
              <w:jc w:val="left"/>
            </w:pPr>
            <w:r>
              <w:t xml:space="preserve">Python, виртуальное окружение, ML-модели, OCR, PM2</w:t>
            </w:r>
          </w:p>
        </w:tc>
        <w:tc>
          <w:p>
            <w:pPr>
              <w:pStyle w:val="Compact"/>
              <w:jc w:val="left"/>
            </w:pPr>
            <w:r>
              <w:t xml:space="preserve">Машинное обучение, распознавание и обработка документов</w:t>
            </w:r>
          </w:p>
        </w:tc>
      </w:tr>
    </w:tbl>
    <w:p>
      <w:pPr>
        <w:pStyle w:val="BodyText"/>
      </w:pPr>
      <w:r>
        <w:t xml:space="preserve">Операционная система серверов — Debian 11. Фактические значения CPU, RAM, дисковой подсистемы, FQDN, VLAN и владельца ВМ заполняются руководителем проекта совместно с администратором инфраструктуры.</w:t>
      </w:r>
    </w:p>
    <w:p>
      <w:pPr>
        <w:pStyle w:val="BodyText"/>
      </w:pPr>
      <w:r>
        <w:rPr>
          <w:b/>
        </w:rPr>
        <w:t xml:space="preserve">Таблица 3 — Спецификация серверов</w:t>
      </w:r>
    </w:p>
    <w:tbl>
      <w:tblPr>
        <w:tblStyle w:val="Table"/>
        <w:tblW w:type="pct" w:w="4999.999999999999"/>
        <w:tblLook w:firstRow="1"/>
      </w:tblPr>
      <w:tblGrid>
        <w:gridCol w:w="1440"/>
        <w:gridCol w:w="1080"/>
        <w:gridCol w:w="1080"/>
        <w:gridCol w:w="1080"/>
        <w:gridCol w:w="1080"/>
        <w:gridCol w:w="1080"/>
        <w:gridCol w:w="10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Сервер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Операционная система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Вирт.</w:t>
            </w:r>
          </w:p>
        </w:tc>
        <w:tc>
          <w:p>
            <w:pPr>
              <w:pStyle w:val="Compact"/>
              <w:jc w:val="left"/>
            </w:pPr>
            <w:r>
              <w:t xml:space="preserve">Debian 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192.168.120.220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Symfony, PHP-FPM, Nginx, RabbitMQ, Apache FOP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Вирт.</w:t>
            </w:r>
          </w:p>
        </w:tc>
        <w:tc>
          <w:p>
            <w:pPr>
              <w:pStyle w:val="Compact"/>
              <w:jc w:val="left"/>
            </w:pPr>
            <w:r>
              <w:t xml:space="preserve">Debian 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192.168.120.221</w:t>
            </w:r>
          </w:p>
        </w:tc>
        <w:tc>
          <w:p>
            <w:pPr>
              <w:pStyle w:val="Compact"/>
              <w:jc w:val="left"/>
            </w:pPr>
            <w:r>
              <w:t xml:space="preserve">СУБД</w:t>
            </w:r>
          </w:p>
        </w:tc>
        <w:tc>
          <w:p>
            <w:pPr>
              <w:pStyle w:val="Compact"/>
              <w:jc w:val="left"/>
            </w:pPr>
            <w:r>
              <w:t xml:space="preserve">PostgreSQL и хранение данных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Вирт.</w:t>
            </w:r>
          </w:p>
        </w:tc>
        <w:tc>
          <w:p>
            <w:pPr>
              <w:pStyle w:val="Compact"/>
              <w:jc w:val="left"/>
            </w:pPr>
            <w:r>
              <w:t xml:space="preserve">Debian 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192.168.120.222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Node.js, Nuxt.js и пользовательский интерфейс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p>
            <w:pPr>
              <w:pStyle w:val="Compact"/>
              <w:jc w:val="left"/>
            </w:pPr>
            <w:r>
              <w:t xml:space="preserve">Вирт.</w:t>
            </w:r>
          </w:p>
        </w:tc>
        <w:tc>
          <w:p>
            <w:pPr>
              <w:pStyle w:val="Compact"/>
              <w:jc w:val="left"/>
            </w:pPr>
            <w:r>
              <w:t xml:space="preserve">Debian 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192.168.120.219</w:t>
            </w:r>
          </w:p>
        </w:tc>
        <w:tc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p>
            <w:pPr>
              <w:pStyle w:val="Compact"/>
              <w:jc w:val="left"/>
            </w:pPr>
            <w:r>
              <w:t xml:space="preserve">Python, OCR и модели машинного обучения</w:t>
            </w:r>
          </w:p>
        </w:tc>
      </w:tr>
    </w:tbl>
    <w:p>
      <w:pPr>
        <w:pStyle w:val="BodyText"/>
      </w:pPr>
      <w:r>
        <w:rPr>
          <w:b/>
        </w:rPr>
        <w:t xml:space="preserve">Примечания</w:t>
      </w:r>
    </w:p>
    <w:p>
      <w:pPr>
        <w:pStyle w:val="Compact"/>
        <w:numPr>
          <w:numId w:val="1005"/>
          <w:ilvl w:val="0"/>
        </w:numPr>
      </w:pPr>
      <w:r>
        <w:t xml:space="preserve">Допускается использование следующих типов размещения: «физ.», «вирт.».</w:t>
      </w:r>
    </w:p>
    <w:p>
      <w:pPr>
        <w:pStyle w:val="Compact"/>
        <w:numPr>
          <w:numId w:val="1005"/>
          <w:ilvl w:val="0"/>
        </w:numPr>
      </w:pPr>
      <w:r>
        <w:t xml:space="preserve">После выполнения работ фактические характеристики серверов должны быть внесены в документ.</w:t>
      </w:r>
    </w:p>
    <w:p>
      <w:pPr>
        <w:pStyle w:val="Compact"/>
        <w:numPr>
          <w:numId w:val="1005"/>
          <w:ilvl w:val="0"/>
        </w:numPr>
      </w:pPr>
      <w:r>
        <w:t xml:space="preserve">FQDN и сетевые параметры уточняются системным администратором.</w:t>
      </w:r>
    </w:p>
    <w:p>
      <w:pPr>
        <w:pStyle w:val="Heading2"/>
      </w:pPr>
      <w:bookmarkStart w:id="31" w:name="программное-обеспечение-и-лицензирование"/>
      <w:r>
        <w:t xml:space="preserve">6. Программное обеспечение и лицензирование</w:t>
      </w:r>
      <w:bookmarkEnd w:id="31"/>
    </w:p>
    <w:p>
      <w:pPr>
        <w:pStyle w:val="Heading3"/>
      </w:pPr>
      <w:bookmarkStart w:id="32" w:name="проводимые-изменения"/>
      <w:r>
        <w:t xml:space="preserve">6.1. Проводимые изменения</w:t>
      </w:r>
      <w:bookmarkEnd w:id="32"/>
    </w:p>
    <w:p>
      <w:pPr>
        <w:pStyle w:val="FirstParagraph"/>
      </w:pPr>
      <w:r>
        <w:rPr>
          <w:b/>
        </w:rPr>
        <w:t xml:space="preserve">Таблица 4 — Проводимые изменения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Действие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Х</w:t>
            </w:r>
          </w:p>
        </w:tc>
        <w:tc>
          <w:p>
            <w:pPr>
              <w:pStyle w:val="Compact"/>
              <w:jc w:val="left"/>
            </w:pPr>
            <w:r>
              <w:t xml:space="preserve">Развертывание серверов Backend, PostgreSQL, Frontend и 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Х</w:t>
            </w:r>
          </w:p>
        </w:tc>
        <w:tc>
          <w:p>
            <w:pPr>
              <w:pStyle w:val="Compact"/>
              <w:jc w:val="left"/>
            </w:pPr>
            <w:r>
              <w:t xml:space="preserve">Установка и настройка Debian 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Х</w:t>
            </w:r>
          </w:p>
        </w:tc>
        <w:tc>
          <w:p>
            <w:pPr>
              <w:pStyle w:val="Compact"/>
              <w:jc w:val="left"/>
            </w:pPr>
            <w:r>
              <w:t xml:space="preserve">Установка и настройка Nginx, PHP-FPM и Symfony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Х</w:t>
            </w:r>
          </w:p>
        </w:tc>
        <w:tc>
          <w:p>
            <w:pPr>
              <w:pStyle w:val="Compact"/>
              <w:jc w:val="left"/>
            </w:pPr>
            <w:r>
              <w:t xml:space="preserve">Установка и настройка RabbitMQ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Х</w:t>
            </w:r>
          </w:p>
        </w:tc>
        <w:tc>
          <w:p>
            <w:pPr>
              <w:pStyle w:val="Compact"/>
              <w:jc w:val="left"/>
            </w:pPr>
            <w:r>
              <w:t xml:space="preserve">Установка и настройка 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Х</w:t>
            </w:r>
          </w:p>
        </w:tc>
        <w:tc>
          <w:p>
            <w:pPr>
              <w:pStyle w:val="Compact"/>
              <w:jc w:val="left"/>
            </w:pPr>
            <w:r>
              <w:t xml:space="preserve">Установка Node.js, NPM и Nuxt.js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Х</w:t>
            </w:r>
          </w:p>
        </w:tc>
        <w:tc>
          <w:p>
            <w:pPr>
              <w:pStyle w:val="Compact"/>
              <w:jc w:val="left"/>
            </w:pPr>
            <w:r>
              <w:t xml:space="preserve">Создание виртуального окружения Python и установка ML-зависимостей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Х</w:t>
            </w:r>
          </w:p>
        </w:tc>
        <w:tc>
          <w:p>
            <w:pPr>
              <w:pStyle w:val="Compact"/>
              <w:jc w:val="left"/>
            </w:pPr>
            <w:r>
              <w:t xml:space="preserve">Настройка Apache FOP и JEuclid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Х</w:t>
            </w:r>
          </w:p>
        </w:tc>
        <w:tc>
          <w:p>
            <w:pPr>
              <w:pStyle w:val="Compact"/>
              <w:jc w:val="left"/>
            </w:pPr>
            <w:r>
              <w:t xml:space="preserve">Настройка взаимодействия Backend с API МДМ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Х</w:t>
            </w:r>
          </w:p>
        </w:tc>
        <w:tc>
          <w:p>
            <w:pPr>
              <w:pStyle w:val="Compact"/>
              <w:jc w:val="left"/>
            </w:pPr>
            <w:r>
              <w:t xml:space="preserve">Настройка сетевых правил доступа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Х</w:t>
            </w:r>
          </w:p>
        </w:tc>
        <w:tc>
          <w:p>
            <w:pPr>
              <w:pStyle w:val="Compact"/>
              <w:jc w:val="left"/>
            </w:pPr>
            <w:r>
              <w:t xml:space="preserve">Проверка доступности сервисов и импорта документов</w:t>
            </w:r>
          </w:p>
        </w:tc>
      </w:tr>
    </w:tbl>
    <w:p>
      <w:pPr>
        <w:pStyle w:val="Heading3"/>
      </w:pPr>
      <w:bookmarkStart w:id="33" w:name="состав-устанавливаемого-по"/>
      <w:r>
        <w:t xml:space="preserve">6.2. Состав устанавливаемого ПО</w:t>
      </w:r>
      <w:bookmarkEnd w:id="33"/>
    </w:p>
    <w:p>
      <w:pPr>
        <w:pStyle w:val="FirstParagraph"/>
      </w:pPr>
      <w:r>
        <w:rPr>
          <w:b/>
        </w:rPr>
        <w:t xml:space="preserve">Таблица 5 — Перечень программного обеспечения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Сервер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Программное обеспечение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192.168.120.220</w:t>
            </w:r>
            <w:r>
              <w:t xml:space="preserve"> </w:t>
            </w: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Debian 11, Nginx, PHP 8.2, PHP-FPM, Symfony, Composer, RabbitMQ, Apache FOP, JEuclid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192.168.120.221</w:t>
            </w:r>
            <w:r>
              <w:t xml:space="preserve"> </w:t>
            </w: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Debian 11, PostgreSQL, средства резервного копирования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192.168.120.222</w:t>
            </w:r>
            <w:r>
              <w:t xml:space="preserve"> </w:t>
            </w: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Debian 11, Node.js 18, NPM, Nuxt.js, PM2 при необходимости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192.168.120.219</w:t>
            </w:r>
            <w:r>
              <w:t xml:space="preserve"> </w:t>
            </w:r>
            <w:r>
              <w:t xml:space="preserve">ML</w:t>
            </w:r>
          </w:p>
        </w:tc>
        <w:tc>
          <w:p>
            <w:pPr>
              <w:pStyle w:val="Compact"/>
              <w:jc w:val="left"/>
            </w:pPr>
            <w:r>
              <w:t xml:space="preserve">Debian 11, Python 3, pip, venv, TensorFlow, ONNX Runtime, EasyOCR, Tesseract OCR, Pillow, Pandas, PyEnchant, Pymorphy3, Pika, Flask, Waitress, PM2</w:t>
            </w:r>
          </w:p>
        </w:tc>
      </w:tr>
    </w:tbl>
    <w:p>
      <w:pPr>
        <w:pStyle w:val="Heading3"/>
      </w:pPr>
      <w:bookmarkStart w:id="34" w:name="лицензирование"/>
      <w:r>
        <w:t xml:space="preserve">6.3. Лицензирование</w:t>
      </w:r>
      <w:bookmarkEnd w:id="34"/>
    </w:p>
    <w:p>
      <w:pPr>
        <w:pStyle w:val="FirstParagraph"/>
      </w:pPr>
      <w:r>
        <w:t xml:space="preserve">В составе Системы используется программное обеспечение с открытыми лицензиями либо программное обеспечение, лицензирование которого определяется владельцем соответствующего компонента. Необходимость приобретения дополнительных проприетарных лицензий уточняется руководителем проекта.</w:t>
      </w:r>
    </w:p>
    <w:p>
      <w:pPr>
        <w:pStyle w:val="Heading2"/>
      </w:pPr>
      <w:bookmarkStart w:id="35" w:name="объекты-создаваемые-в-ад-dns"/>
      <w:r>
        <w:t xml:space="preserve">7. Объекты, создаваемые в АД, DNS</w:t>
      </w:r>
      <w:bookmarkEnd w:id="35"/>
    </w:p>
    <w:p>
      <w:pPr>
        <w:pStyle w:val="FirstParagraph"/>
      </w:pPr>
      <w:r>
        <w:t xml:space="preserve">Создание объектов AD и DNS выполняется системным администратором при наличии соответствующей корпоративной инфраструктуры.</w:t>
      </w:r>
    </w:p>
    <w:p>
      <w:pPr>
        <w:pStyle w:val="BodyText"/>
      </w:pPr>
      <w:r>
        <w:rPr>
          <w:b/>
        </w:rPr>
        <w:t xml:space="preserve">Таблица 6 — DNS-записи серверов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Имя объекта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IP-адрес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A-запись</w:t>
            </w:r>
          </w:p>
        </w:tc>
        <w:tc>
          <w:p>
            <w:pPr>
              <w:pStyle w:val="Compact"/>
              <w:jc w:val="left"/>
            </w:pPr>
            <w:r>
              <w:t xml:space="preserve">Сервер Backend, Nginx и RabbitMQ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192.168.120.220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p>
            <w:pPr>
              <w:pStyle w:val="Compact"/>
              <w:jc w:val="left"/>
            </w:pPr>
            <w:r>
              <w:t xml:space="preserve">A-запись</w:t>
            </w:r>
          </w:p>
        </w:tc>
        <w:tc>
          <w:p>
            <w:pPr>
              <w:pStyle w:val="Compact"/>
              <w:jc w:val="left"/>
            </w:pPr>
            <w:r>
              <w:t xml:space="preserve">Сервер PostgreSQL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192.168.120.221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A-запись</w:t>
            </w:r>
          </w:p>
        </w:tc>
        <w:tc>
          <w:p>
            <w:pPr>
              <w:pStyle w:val="Compact"/>
              <w:jc w:val="left"/>
            </w:pPr>
            <w:r>
              <w:t xml:space="preserve">Сервер Frontend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192.168.120.222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p>
            <w:pPr>
              <w:pStyle w:val="Compact"/>
              <w:jc w:val="left"/>
            </w:pPr>
            <w:r>
              <w:t xml:space="preserve">A-запись</w:t>
            </w:r>
          </w:p>
        </w:tc>
        <w:tc>
          <w:p>
            <w:pPr>
              <w:pStyle w:val="Compact"/>
              <w:jc w:val="left"/>
            </w:pPr>
            <w:r>
              <w:t xml:space="preserve">Сервер машинного обучения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192.168.120.219</w:t>
            </w:r>
          </w:p>
        </w:tc>
      </w:tr>
    </w:tbl>
    <w:p>
      <w:pPr>
        <w:pStyle w:val="BodyText"/>
      </w:pPr>
      <w:r>
        <w:t xml:space="preserve">При использовании обратной зоны DNS для указанных адресов создаются соответствующие PTR-записи. Фактические FQDN определяются администратором DNS.</w:t>
      </w:r>
    </w:p>
    <w:p>
      <w:pPr>
        <w:pStyle w:val="Heading2"/>
      </w:pPr>
      <w:bookmarkStart w:id="36" w:name="права-доступа-и-привилегии"/>
      <w:r>
        <w:t xml:space="preserve">8. Права доступа и привилегии</w:t>
      </w:r>
      <w:bookmarkEnd w:id="36"/>
    </w:p>
    <w:p>
      <w:pPr>
        <w:pStyle w:val="FirstParagraph"/>
      </w:pPr>
      <w:r>
        <w:t xml:space="preserve">Доступ к серверам предоставляется только администраторам и сервисным учетным записям, необходимым для работы компонентов Системы.</w:t>
      </w:r>
    </w:p>
    <w:p>
      <w:pPr>
        <w:pStyle w:val="BodyText"/>
      </w:pPr>
      <w:r>
        <w:rPr>
          <w:b/>
        </w:rPr>
        <w:t xml:space="preserve">Таблица 7 — Назначение прав доступа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Учетная запись или группа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Ресурс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Права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Администраторы ИТ</w:t>
            </w:r>
          </w:p>
        </w:tc>
        <w:tc>
          <w:p>
            <w:pPr>
              <w:pStyle w:val="Compact"/>
              <w:jc w:val="left"/>
            </w:pPr>
            <w:r>
              <w:t xml:space="preserve">Все серверы</w:t>
            </w:r>
          </w:p>
        </w:tc>
        <w:tc>
          <w:p>
            <w:pPr>
              <w:pStyle w:val="Compact"/>
              <w:jc w:val="left"/>
            </w:pPr>
            <w:r>
              <w:t xml:space="preserve">Административный доступ по SSH</w:t>
            </w:r>
          </w:p>
        </w:tc>
        <w:tc>
          <w:p>
            <w:pPr>
              <w:pStyle w:val="Compact"/>
              <w:jc w:val="left"/>
            </w:pPr>
            <w:r>
              <w:t xml:space="preserve">Доступ ограничивается доверенной сетью или bastion host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Пользователь приложения</w:t>
            </w:r>
          </w:p>
        </w:tc>
        <w:tc>
          <w:p>
            <w:pPr>
              <w:pStyle w:val="Compact"/>
              <w:jc w:val="left"/>
            </w:pPr>
            <w:r>
              <w:t xml:space="preserve">Backend, Frontend, ML</w:t>
            </w:r>
          </w:p>
        </w:tc>
        <w:tc>
          <w:p>
            <w:pPr>
              <w:pStyle w:val="Compact"/>
              <w:jc w:val="left"/>
            </w:pPr>
            <w:r>
              <w:t xml:space="preserve">Доступ к каталогам приложений</w:t>
            </w:r>
          </w:p>
        </w:tc>
        <w:tc>
          <w:p>
            <w:pPr>
              <w:pStyle w:val="Compact"/>
              <w:jc w:val="left"/>
            </w:pPr>
            <w:r>
              <w:t xml:space="preserve">Без административных прав ОС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www-data</w:t>
            </w:r>
            <w:r>
              <w:t xml:space="preserve"> </w:t>
            </w:r>
            <w:r>
              <w:t xml:space="preserve">или пользователь PHP-FPM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192.168.120.220</w:t>
            </w:r>
          </w:p>
        </w:tc>
        <w:tc>
          <w:p>
            <w:pPr>
              <w:pStyle w:val="Compact"/>
              <w:jc w:val="left"/>
            </w:pPr>
            <w:r>
              <w:t xml:space="preserve">Выполнение PHP-приложения и доступ к каталогу Backend</w:t>
            </w:r>
          </w:p>
        </w:tc>
        <w:tc>
          <w:p>
            <w:pPr>
              <w:pStyle w:val="Compact"/>
              <w:jc w:val="left"/>
            </w:pPr>
            <w:r>
              <w:t xml:space="preserve">Права назначаются по принципу минимальных привилегий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192.168.120.221</w:t>
            </w:r>
          </w:p>
        </w:tc>
        <w:tc>
          <w:p>
            <w:pPr>
              <w:pStyle w:val="Compact"/>
              <w:jc w:val="left"/>
            </w:pPr>
            <w:r>
              <w:t xml:space="preserve">Управление PostgreSQL и файлами базы данных</w:t>
            </w:r>
          </w:p>
        </w:tc>
        <w:tc>
          <w:p>
            <w:pPr>
              <w:pStyle w:val="Compact"/>
              <w:jc w:val="left"/>
            </w:pPr>
            <w:r>
              <w:t xml:space="preserve">Используется только для работы СУБД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rabbitmq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192.168.120.220</w:t>
            </w:r>
          </w:p>
        </w:tc>
        <w:tc>
          <w:p>
            <w:pPr>
              <w:pStyle w:val="Compact"/>
              <w:jc w:val="left"/>
            </w:pPr>
            <w:r>
              <w:t xml:space="preserve">Управление очередями RabbitMQ</w:t>
            </w:r>
          </w:p>
        </w:tc>
        <w:tc>
          <w:p>
            <w:pPr>
              <w:pStyle w:val="Compact"/>
              <w:jc w:val="left"/>
            </w:pPr>
            <w:r>
              <w:t xml:space="preserve">Доступ к Management ограничивается администраторами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Пользователь 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192.168.120.219</w:t>
            </w:r>
          </w:p>
        </w:tc>
        <w:tc>
          <w:p>
            <w:pPr>
              <w:pStyle w:val="Compact"/>
              <w:jc w:val="left"/>
            </w:pPr>
            <w:r>
              <w:t xml:space="preserve">Запуск Python-приложения, моделей и виртуального окружения</w:t>
            </w:r>
          </w:p>
        </w:tc>
        <w:tc>
          <w:p>
            <w:pPr>
              <w:pStyle w:val="Compact"/>
              <w:jc w:val="left"/>
            </w:pPr>
            <w:r>
              <w:t xml:space="preserve">Запуск процессов через PM2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API МДМ</w:t>
            </w:r>
          </w:p>
        </w:tc>
        <w:tc>
          <w:p>
            <w:pPr>
              <w:pStyle w:val="Compact"/>
              <w:jc w:val="left"/>
            </w:pPr>
            <w:r>
              <w:t xml:space="preserve">Доступ к API импорта</w:t>
            </w:r>
          </w:p>
        </w:tc>
        <w:tc>
          <w:p>
            <w:pPr>
              <w:pStyle w:val="Compact"/>
              <w:jc w:val="left"/>
            </w:pPr>
            <w:r>
              <w:t xml:space="preserve">Учетные данные хранятся в защищенной конфигурации</w:t>
            </w:r>
          </w:p>
        </w:tc>
      </w:tr>
    </w:tbl>
    <w:p>
      <w:pPr>
        <w:pStyle w:val="Heading2"/>
      </w:pPr>
      <w:bookmarkStart w:id="37" w:name="интеграция-с-системами-ит"/>
      <w:r>
        <w:t xml:space="preserve">9. Интеграция с системами ИТ</w:t>
      </w:r>
      <w:bookmarkEnd w:id="37"/>
    </w:p>
    <w:p>
      <w:pPr>
        <w:pStyle w:val="Heading3"/>
      </w:pPr>
      <w:bookmarkStart w:id="38" w:name="системы-мониторинга-и-управления"/>
      <w:r>
        <w:t xml:space="preserve">9.1. Системы мониторинга и управления</w:t>
      </w:r>
      <w:bookmarkEnd w:id="38"/>
    </w:p>
    <w:p>
      <w:pPr>
        <w:pStyle w:val="FirstParagraph"/>
      </w:pPr>
      <w:r>
        <w:t xml:space="preserve">Необходимо обеспечить возможность мониторинга доступности и состояния серверов и сервисов Системы. Рекомендуется контролировать:</w:t>
      </w:r>
    </w:p>
    <w:p>
      <w:pPr>
        <w:pStyle w:val="Compact"/>
        <w:numPr>
          <w:numId w:val="1006"/>
          <w:ilvl w:val="0"/>
        </w:numPr>
      </w:pPr>
      <w:r>
        <w:t xml:space="preserve">доступность IP-адресов</w:t>
      </w:r>
      <w:r>
        <w:t xml:space="preserve"> </w:t>
      </w:r>
      <w:r>
        <w:rPr>
          <w:rStyle w:val="VerbatimChar"/>
        </w:rPr>
        <w:t xml:space="preserve">192.168.120.219</w:t>
      </w:r>
      <w:r>
        <w:t xml:space="preserve">–</w:t>
      </w:r>
      <w:r>
        <w:rPr>
          <w:rStyle w:val="VerbatimChar"/>
        </w:rPr>
        <w:t xml:space="preserve">192.168.120.222</w:t>
      </w:r>
      <w:r>
        <w:t xml:space="preserve">;</w:t>
      </w:r>
    </w:p>
    <w:p>
      <w:pPr>
        <w:pStyle w:val="Compact"/>
        <w:numPr>
          <w:numId w:val="1006"/>
          <w:ilvl w:val="0"/>
        </w:numPr>
      </w:pPr>
      <w:r>
        <w:t xml:space="preserve">состояние Nginx, PHP-FPM, RabbitMQ, PostgreSQL, Frontend и ML-приложения;</w:t>
      </w:r>
    </w:p>
    <w:p>
      <w:pPr>
        <w:pStyle w:val="Compact"/>
        <w:numPr>
          <w:numId w:val="1006"/>
          <w:ilvl w:val="0"/>
        </w:numPr>
      </w:pPr>
      <w:r>
        <w:t xml:space="preserve">заполнение дискового пространства;</w:t>
      </w:r>
    </w:p>
    <w:p>
      <w:pPr>
        <w:pStyle w:val="Compact"/>
        <w:numPr>
          <w:numId w:val="1006"/>
          <w:ilvl w:val="0"/>
        </w:numPr>
      </w:pPr>
      <w:r>
        <w:t xml:space="preserve">загрузку CPU и RAM;</w:t>
      </w:r>
    </w:p>
    <w:p>
      <w:pPr>
        <w:pStyle w:val="Compact"/>
        <w:numPr>
          <w:numId w:val="1006"/>
          <w:ilvl w:val="0"/>
        </w:numPr>
      </w:pPr>
      <w:r>
        <w:t xml:space="preserve">наличие ошибок в журналах;</w:t>
      </w:r>
    </w:p>
    <w:p>
      <w:pPr>
        <w:pStyle w:val="Compact"/>
        <w:numPr>
          <w:numId w:val="1006"/>
          <w:ilvl w:val="0"/>
        </w:numPr>
      </w:pPr>
      <w:r>
        <w:t xml:space="preserve">успешность операций импорта документов из МДМ.</w:t>
      </w:r>
    </w:p>
    <w:p>
      <w:pPr>
        <w:pStyle w:val="Heading3"/>
      </w:pPr>
      <w:bookmarkStart w:id="39" w:name="X3467dd3ca52a9dc43b3336461335f169bf8a371"/>
      <w:r>
        <w:t xml:space="preserve">9.2. Интеграция с системами информационной безопасности</w:t>
      </w:r>
      <w:bookmarkEnd w:id="39"/>
    </w:p>
    <w:p>
      <w:pPr>
        <w:pStyle w:val="FirstParagraph"/>
      </w:pPr>
      <w:r>
        <w:t xml:space="preserve">Необходимость интеграции с антивирусом, DLP, SIEM и WAF определяется подразделением информационной безопасности. При наличии корпоративной системы SIEM рекомендуется передавать в нее журналы Nginx, Backend, RabbitMQ, PostgreSQL, Frontend и ML.</w:t>
      </w:r>
    </w:p>
    <w:p>
      <w:pPr>
        <w:pStyle w:val="Heading3"/>
      </w:pPr>
      <w:bookmarkStart w:id="40" w:name="dns-и-ntp"/>
      <w:r>
        <w:t xml:space="preserve">9.3. DNS и NTP</w:t>
      </w:r>
      <w:bookmarkEnd w:id="40"/>
    </w:p>
    <w:p>
      <w:pPr>
        <w:pStyle w:val="FirstParagraph"/>
      </w:pPr>
      <w:r>
        <w:t xml:space="preserve">Серверы Системы должны использовать согласованные DNS-серверы и синхронизировать время с корпоративным NTP-сервером. Синхронизация времени необходима для корректного формирования журналов, обработки очередей и расследования инцидентов.</w:t>
      </w:r>
    </w:p>
    <w:p>
      <w:pPr>
        <w:pStyle w:val="Heading3"/>
      </w:pPr>
      <w:bookmarkStart w:id="41" w:name="интеграция-с-мдм-через-api"/>
      <w:r>
        <w:t xml:space="preserve">9.4. Интеграция с МДМ через API</w:t>
      </w:r>
      <w:bookmarkEnd w:id="41"/>
    </w:p>
    <w:p>
      <w:pPr>
        <w:pStyle w:val="FirstParagraph"/>
      </w:pPr>
      <w:r>
        <w:rPr>
          <w:b/>
        </w:rPr>
        <w:t xml:space="preserve">Таблица 8 — Взаимодействие с внешними системами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Протокол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 взаимодействия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192.168.120.220</w:t>
            </w:r>
          </w:p>
        </w:tc>
        <w:tc>
          <w:p>
            <w:pPr>
              <w:pStyle w:val="Compact"/>
              <w:jc w:val="left"/>
            </w:pPr>
            <w:r>
              <w:t xml:space="preserve">API МДМ</w:t>
            </w:r>
          </w:p>
        </w:tc>
        <w:tc>
          <w:p>
            <w:pPr>
              <w:pStyle w:val="Compact"/>
              <w:jc w:val="left"/>
            </w:pPr>
            <w:r>
              <w:t xml:space="preserve">HTTP/HTTPS</w:t>
            </w:r>
          </w:p>
        </w:tc>
        <w:tc>
          <w:p>
            <w:pPr>
              <w:pStyle w:val="Compact"/>
              <w:jc w:val="left"/>
            </w:pPr>
            <w:r>
              <w:t xml:space="preserve">Импорт документов ГОСТ и связанных данных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  <w:r>
              <w:t xml:space="preserve"> </w:t>
            </w:r>
            <w:r>
              <w:rPr>
                <w:rStyle w:val="VerbatimChar"/>
              </w:rPr>
              <w:t xml:space="preserve">192.168.120.222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192.168.120.220</w:t>
            </w:r>
          </w:p>
        </w:tc>
        <w:tc>
          <w:p>
            <w:pPr>
              <w:pStyle w:val="Compact"/>
              <w:jc w:val="left"/>
            </w:pPr>
            <w:r>
              <w:t xml:space="preserve">HTTP/HTTPS</w:t>
            </w:r>
          </w:p>
        </w:tc>
        <w:tc>
          <w:p>
            <w:pPr>
              <w:pStyle w:val="Compact"/>
              <w:jc w:val="left"/>
            </w:pPr>
            <w:r>
              <w:t xml:space="preserve">Пользовательские запросы и отображение данных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192.168.120.220</w:t>
            </w:r>
          </w:p>
        </w:tc>
        <w:tc>
          <w:p>
            <w:pPr>
              <w:pStyle w:val="Compact"/>
              <w:jc w:val="lef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192.168.120.221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Хранение и получение данных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192.168.120.220</w:t>
            </w:r>
          </w:p>
        </w:tc>
        <w:tc>
          <w:p>
            <w:pPr>
              <w:pStyle w:val="Compact"/>
              <w:jc w:val="left"/>
            </w:pPr>
            <w:r>
              <w:t xml:space="preserve">RabbitMQ на</w:t>
            </w:r>
            <w:r>
              <w:t xml:space="preserve"> </w:t>
            </w:r>
            <w:r>
              <w:rPr>
                <w:rStyle w:val="VerbatimChar"/>
              </w:rPr>
              <w:t xml:space="preserve">192.168.120.220</w:t>
            </w:r>
          </w:p>
        </w:tc>
        <w:tc>
          <w:p>
            <w:pPr>
              <w:pStyle w:val="Compact"/>
              <w:jc w:val="left"/>
            </w:pPr>
            <w:r>
              <w:t xml:space="preserve">AMQP/TCP</w:t>
            </w:r>
          </w:p>
        </w:tc>
        <w:tc>
          <w:p>
            <w:pPr>
              <w:pStyle w:val="Compact"/>
              <w:jc w:val="left"/>
            </w:pPr>
            <w:r>
              <w:t xml:space="preserve">Асинхронная обработка задач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192.168.120.220</w:t>
            </w:r>
          </w:p>
        </w:tc>
        <w:tc>
          <w:p>
            <w:pPr>
              <w:pStyle w:val="Compact"/>
              <w:jc w:val="left"/>
            </w:pPr>
            <w:r>
              <w:t xml:space="preserve">ML</w:t>
            </w:r>
            <w:r>
              <w:t xml:space="preserve"> </w:t>
            </w:r>
            <w:r>
              <w:rPr>
                <w:rStyle w:val="VerbatimChar"/>
              </w:rPr>
              <w:t xml:space="preserve">192.168.120.219</w:t>
            </w:r>
          </w:p>
        </w:tc>
        <w:tc>
          <w:p>
            <w:pPr>
              <w:pStyle w:val="Compact"/>
              <w:jc w:val="left"/>
            </w:pPr>
            <w:r>
              <w:t xml:space="preserve">HTTP/HTTPS или внутренний API</w:t>
            </w:r>
          </w:p>
        </w:tc>
        <w:tc>
          <w:p>
            <w:pPr>
              <w:pStyle w:val="Compact"/>
              <w:jc w:val="left"/>
            </w:pPr>
            <w:r>
              <w:t xml:space="preserve">Обработка документов и получение результатов</w:t>
            </w:r>
          </w:p>
        </w:tc>
      </w:tr>
    </w:tbl>
    <w:p>
      <w:pPr>
        <w:pStyle w:val="BodyText"/>
      </w:pPr>
      <w:r>
        <w:t xml:space="preserve">Адрес, порт и параметры авторизации API МДМ предоставляются владельцем МДМ и не должны включаться в открытый текст документа, если содержат конфиденциальные сведения.</w:t>
      </w:r>
    </w:p>
    <w:p>
      <w:pPr>
        <w:pStyle w:val="Heading3"/>
      </w:pPr>
      <w:bookmarkStart w:id="42" w:name="сетевые-правила-доступа"/>
      <w:r>
        <w:t xml:space="preserve">9.5. Сетевые правила доступа</w:t>
      </w:r>
      <w:bookmarkEnd w:id="42"/>
    </w:p>
    <w:p>
      <w:pPr>
        <w:pStyle w:val="FirstParagraph"/>
      </w:pPr>
      <w:r>
        <w:rPr>
          <w:b/>
        </w:rPr>
        <w:t xml:space="preserve">Таблица 9 — Основные правила межсетевого экрана</w:t>
      </w:r>
    </w:p>
    <w:tbl>
      <w:tblPr>
        <w:tblStyle w:val="Table"/>
        <w:tblW w:type="pct" w:w="5000.0"/>
        <w:tblLook w:firstRow="1"/>
      </w:tblPr>
      <w:tblGrid>
        <w:gridCol w:w="1485"/>
        <w:gridCol w:w="1485"/>
        <w:gridCol w:w="1980"/>
        <w:gridCol w:w="1485"/>
        <w:gridCol w:w="148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Порт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Протокол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Пользователи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  <w:r>
              <w:t xml:space="preserve"> </w:t>
            </w:r>
            <w:r>
              <w:rPr>
                <w:rStyle w:val="VerbatimChar"/>
              </w:rPr>
              <w:t xml:space="preserve">192.168.120.222</w:t>
            </w:r>
          </w:p>
        </w:tc>
        <w:tc>
          <w:p>
            <w:pPr>
              <w:pStyle w:val="Compact"/>
              <w:jc w:val="right"/>
            </w:pPr>
            <w:r>
              <w:t xml:space="preserve">80, 443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Доступ к пользовательскому интерфейсу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  <w:r>
              <w:t xml:space="preserve"> </w:t>
            </w:r>
            <w:r>
              <w:rPr>
                <w:rStyle w:val="VerbatimChar"/>
              </w:rPr>
              <w:t xml:space="preserve">192.168.120.222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192.168.120.220</w:t>
            </w:r>
          </w:p>
        </w:tc>
        <w:tc>
          <w:p>
            <w:pPr>
              <w:pStyle w:val="Compact"/>
              <w:jc w:val="right"/>
            </w:pPr>
            <w:r>
              <w:t xml:space="preserve">Порт API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Запросы Frontend к 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192.168.120.220</w:t>
            </w:r>
          </w:p>
        </w:tc>
        <w:tc>
          <w:p>
            <w:pPr>
              <w:pStyle w:val="Compact"/>
              <w:jc w:val="left"/>
            </w:pPr>
            <w:r>
              <w:t xml:space="preserve">PostgreSQL</w:t>
            </w:r>
            <w:r>
              <w:t xml:space="preserve"> </w:t>
            </w:r>
            <w:r>
              <w:rPr>
                <w:rStyle w:val="VerbatimChar"/>
              </w:rPr>
              <w:t xml:space="preserve">192.168.120.221</w:t>
            </w:r>
          </w:p>
        </w:tc>
        <w:tc>
          <w:p>
            <w:pPr>
              <w:pStyle w:val="Compact"/>
              <w:jc w:val="right"/>
            </w:pPr>
            <w:r>
              <w:t xml:space="preserve">5432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Работа с базой данных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192.168.120.220</w:t>
            </w:r>
          </w:p>
        </w:tc>
        <w:tc>
          <w:p>
            <w:pPr>
              <w:pStyle w:val="Compact"/>
              <w:jc w:val="left"/>
            </w:pPr>
            <w:r>
              <w:t xml:space="preserve">RabbitMQ</w:t>
            </w:r>
            <w:r>
              <w:t xml:space="preserve"> </w:t>
            </w:r>
            <w:r>
              <w:rPr>
                <w:rStyle w:val="VerbatimChar"/>
              </w:rPr>
              <w:t xml:space="preserve">192.168.120.220</w:t>
            </w:r>
          </w:p>
        </w:tc>
        <w:tc>
          <w:p>
            <w:pPr>
              <w:pStyle w:val="Compact"/>
              <w:jc w:val="right"/>
            </w:pPr>
            <w:r>
              <w:t xml:space="preserve">5672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Работа с очередью сообщений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Администраторы</w:t>
            </w:r>
          </w:p>
        </w:tc>
        <w:tc>
          <w:p>
            <w:pPr>
              <w:pStyle w:val="Compact"/>
              <w:jc w:val="left"/>
            </w:pPr>
            <w:r>
              <w:t xml:space="preserve">RabbitMQ Management</w:t>
            </w:r>
          </w:p>
        </w:tc>
        <w:tc>
          <w:p>
            <w:pPr>
              <w:pStyle w:val="Compact"/>
              <w:jc w:val="right"/>
            </w:pPr>
            <w:r>
              <w:t xml:space="preserve">15672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Администрирование RabbitMQ, при необходимости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192.168.120.220</w:t>
            </w:r>
          </w:p>
        </w:tc>
        <w:tc>
          <w:p>
            <w:pPr>
              <w:pStyle w:val="Compact"/>
              <w:jc w:val="left"/>
            </w:pPr>
            <w:r>
              <w:t xml:space="preserve">ML</w:t>
            </w:r>
            <w:r>
              <w:t xml:space="preserve"> </w:t>
            </w:r>
            <w:r>
              <w:rPr>
                <w:rStyle w:val="VerbatimChar"/>
              </w:rPr>
              <w:t xml:space="preserve">192.168.120.219</w:t>
            </w:r>
          </w:p>
        </w:tc>
        <w:tc>
          <w:p>
            <w:pPr>
              <w:pStyle w:val="Compact"/>
              <w:jc w:val="right"/>
            </w:pPr>
            <w:r>
              <w:t xml:space="preserve">Порт ML API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Обработка документов моделями ML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192.168.120.220</w:t>
            </w:r>
          </w:p>
        </w:tc>
        <w:tc>
          <w:p>
            <w:pPr>
              <w:pStyle w:val="Compact"/>
              <w:jc w:val="left"/>
            </w:pPr>
            <w:r>
              <w:t xml:space="preserve">API МДМ</w:t>
            </w:r>
          </w:p>
        </w:tc>
        <w:tc>
          <w:p>
            <w:pPr>
              <w:pStyle w:val="Compact"/>
              <w:jc w:val="right"/>
            </w:pPr>
            <w:r>
              <w:t xml:space="preserve">Порт API МДМ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Импорт документов из МДМ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Администраторы</w:t>
            </w:r>
          </w:p>
        </w:tc>
        <w:tc>
          <w:p>
            <w:pPr>
              <w:pStyle w:val="Compact"/>
              <w:jc w:val="left"/>
            </w:pPr>
            <w:r>
              <w:t xml:space="preserve">Все серверы</w:t>
            </w:r>
          </w:p>
        </w:tc>
        <w:tc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Администрирование по SSH</w:t>
            </w:r>
          </w:p>
        </w:tc>
      </w:tr>
    </w:tbl>
    <w:p>
      <w:pPr>
        <w:pStyle w:val="BodyText"/>
      </w:pPr>
      <w:r>
        <w:t xml:space="preserve">Порты API Backend, ML и МДМ должны быть указаны администратором приложений и владельцем МДМ перед вводом Системы в эксплуатацию.</w:t>
      </w:r>
    </w:p>
    <w:p>
      <w:pPr>
        <w:pStyle w:val="Heading3"/>
      </w:pPr>
      <w:bookmarkStart w:id="43" w:name="правила-доступа-в-интернет"/>
      <w:r>
        <w:t xml:space="preserve">9.6. Правила доступа в Интернет</w:t>
      </w:r>
      <w:bookmarkEnd w:id="43"/>
    </w:p>
    <w:p>
      <w:pPr>
        <w:pStyle w:val="FirstParagraph"/>
      </w:pPr>
      <w:r>
        <w:t xml:space="preserve">Исходящий доступ в Интернет предоставляется только при необходимости:</w:t>
      </w:r>
    </w:p>
    <w:p>
      <w:pPr>
        <w:pStyle w:val="Compact"/>
        <w:numPr>
          <w:numId w:val="1007"/>
          <w:ilvl w:val="0"/>
        </w:numPr>
      </w:pPr>
      <w:r>
        <w:t xml:space="preserve">обновления пакетов Debian;</w:t>
      </w:r>
    </w:p>
    <w:p>
      <w:pPr>
        <w:pStyle w:val="Compact"/>
        <w:numPr>
          <w:numId w:val="1007"/>
          <w:ilvl w:val="0"/>
        </w:numPr>
      </w:pPr>
      <w:r>
        <w:t xml:space="preserve">установки зависимостей Composer, NPM и Python;</w:t>
      </w:r>
    </w:p>
    <w:p>
      <w:pPr>
        <w:pStyle w:val="Compact"/>
        <w:numPr>
          <w:numId w:val="1007"/>
          <w:ilvl w:val="0"/>
        </w:numPr>
      </w:pPr>
      <w:r>
        <w:t xml:space="preserve">загрузки языковых моделей и компонентов ML;</w:t>
      </w:r>
    </w:p>
    <w:p>
      <w:pPr>
        <w:pStyle w:val="Compact"/>
        <w:numPr>
          <w:numId w:val="1007"/>
          <w:ilvl w:val="0"/>
        </w:numPr>
      </w:pPr>
      <w:r>
        <w:t xml:space="preserve">обращения Backend к внешнему API МДМ, если API размещен вне корпоративной сети.</w:t>
      </w:r>
    </w:p>
    <w:p>
      <w:pPr>
        <w:pStyle w:val="FirstParagraph"/>
      </w:pPr>
      <w:r>
        <w:t xml:space="preserve">Входящие соединения из Интернета к PostgreSQL, RabbitMQ и ML должны быть запрещены. Пользовательский доступ к Frontend ограничивается согласованными сетевыми зонами.</w:t>
      </w:r>
    </w:p>
    <w:p>
      <w:pPr>
        <w:pStyle w:val="Heading3"/>
      </w:pPr>
      <w:bookmarkStart w:id="44" w:name="влияние-на-существующую-инфраструктуру"/>
      <w:r>
        <w:t xml:space="preserve">9.7. Влияние на существующую инфраструктуру</w:t>
      </w:r>
      <w:bookmarkEnd w:id="44"/>
    </w:p>
    <w:p>
      <w:pPr>
        <w:pStyle w:val="FirstParagraph"/>
      </w:pPr>
      <w:r>
        <w:t xml:space="preserve">Развертывание Системы требует выделения четырех серверов с адресами</w:t>
      </w:r>
      <w:r>
        <w:t xml:space="preserve"> </w:t>
      </w:r>
      <w:r>
        <w:rPr>
          <w:rStyle w:val="VerbatimChar"/>
        </w:rPr>
        <w:t xml:space="preserve">192.168.120.219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192.168.120.220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192.168.120.221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192.168.120.222</w:t>
      </w:r>
      <w:r>
        <w:t xml:space="preserve">, настройки сетевого взаимодействия между ними, регистрации DNS-записей и предоставления доступа Backend к API МДМ.</w:t>
      </w:r>
    </w:p>
    <w:p>
      <w:pPr>
        <w:pStyle w:val="BodyText"/>
      </w:pPr>
      <w:r>
        <w:t xml:space="preserve">Изменение существующей инфраструктуры ограничивается созданием сетевых правил, DNS-записей, учетных записей и правил мониторинга. Перед промышленным вводом необходимо выполнить функциональное тестирование импорта документов из МДМ и проверить корректность работы всех компонентов.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Документ разработан: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/>
        </w:rPr>
        <w:t xml:space="preserve">Дата:</w:t>
      </w:r>
      <w:r>
        <w:t xml:space="preserve"> </w:t>
      </w:r>
      <w:r>
        <w:t xml:space="preserve">_____________</w:t>
      </w:r>
    </w:p>
    <w:p>
      <w:pPr>
        <w:pStyle w:val="BodyText"/>
      </w:pPr>
      <w:r>
        <w:rPr>
          <w:b/>
        </w:rPr>
        <w:t xml:space="preserve">Согласовано: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ФИО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Подпись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Дата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Руководитель проекта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Администратор инфраструктуры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Администратор сети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Администратор информационной безопасности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Владелец системы МДМ</w:t>
            </w:r>
          </w:p>
        </w:tc>
        <w:tc>
          <w:p/>
        </w:tc>
        <w:tc>
          <w:p/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2026-09-26T18:07:10Z</dcterms:created>
  <dcterms:modified xsi:type="dcterms:W3CDTF">2026-09-26T18:07:10Z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