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0"/>
        <w:rPr/>
      </w:pPr>
      <w:r>
        <w:rPr/>
        <w:t>Proposition commerciale — Sinnes Automobiles</w:t>
      </w:r>
    </w:p>
    <w:p>
      <w:pPr>
        <w:pStyle w:val="BodyText"/>
        <w:bidi w:val="0"/>
        <w:spacing w:before="100" w:after="160"/>
        <w:ind w:start="100" w:end="100"/>
        <w:rPr/>
      </w:pPr>
      <w:r>
        <w:rPr>
          <w:rStyle w:val="Strong"/>
        </w:rPr>
        <w:t>Objet :</w:t>
      </w:r>
      <w:r>
        <w:rPr/>
        <w:t xml:space="preserve"> création d’un site vitrine et deux niveaux d’accompagnement après sa livraison.</w:t>
      </w:r>
    </w:p>
    <w:p>
      <w:pPr>
        <w:pStyle w:val="BodyText"/>
        <w:bidi w:val="0"/>
        <w:spacing w:before="100" w:after="160"/>
        <w:ind w:start="100" w:end="100"/>
        <w:rPr/>
      </w:pPr>
      <w:r>
        <w:rPr/>
        <w:t>La création du site est une prestation ponctuelle. Après la livraison, le client peut choisir entre une maintenance technique essentielle à 200 € par mois et un suivi SEO complet à 800 € par mois. Ces deux formules mensuelles sont alternatives : la maintenance est déjà comprise dans le suivi SEO complet.</w:t>
      </w:r>
    </w:p>
    <w:p>
      <w:pPr>
        <w:pStyle w:val="Heading2"/>
        <w:numPr>
          <w:ilvl w:val="0"/>
          <w:numId w:val="0"/>
        </w:numPr>
        <w:bidi w:val="0"/>
        <w:spacing w:before="380" w:after="160"/>
        <w:ind w:start="380" w:end="380"/>
        <w:rPr/>
      </w:pPr>
      <w:r>
        <w:rPr/>
        <w:t>Création du site — 7 000 € HT</w:t>
      </w:r>
    </w:p>
    <w:p>
      <w:pPr>
        <w:pStyle w:val="BodyText"/>
        <w:bidi w:val="0"/>
        <w:spacing w:before="100" w:after="160"/>
        <w:ind w:start="100" w:end="100"/>
        <w:rPr/>
      </w:pPr>
      <w:r>
        <w:rPr/>
        <w:t>La prestation comprend le cadrage, la structure des pages validées, la conception et le développement du site, l’intégration des contenus prévus, l’adaptation mobile, les réglages SEO techniques de base, le contrôle avant livraison et la remise du code source après paiement complet.</w:t>
      </w:r>
    </w:p>
    <w:p>
      <w:pPr>
        <w:pStyle w:val="BodyText"/>
        <w:bidi w:val="0"/>
        <w:spacing w:before="100" w:after="160"/>
        <w:ind w:start="100" w:end="100"/>
        <w:rPr/>
      </w:pPr>
      <w:r>
        <w:rPr/>
        <w:t>Le devis annexé fixera la liste des pages, les contenus attendus, les accès, les jalons et la date prévisionnelle. Le calendrier débute lorsque le premier paiement et les éléments nécessaires ont été reçus.</w:t>
      </w:r>
    </w:p>
    <w:p>
      <w:pPr>
        <w:pStyle w:val="BodyText"/>
        <w:bidi w:val="0"/>
        <w:spacing w:before="100" w:after="160"/>
        <w:ind w:start="100" w:end="100"/>
        <w:rPr/>
      </w:pPr>
      <w:r>
        <w:rPr>
          <w:rStyle w:val="Strong"/>
        </w:rPr>
        <w:t>Échéancier proposé :</w:t>
      </w:r>
      <w:r>
        <w:rPr/>
        <w:t xml:space="preserve"> 40 % à la commande, 30 % à la validation de la structure et des maquettes, 30 % à la livraison.</w:t>
      </w:r>
    </w:p>
    <w:p>
      <w:pPr>
        <w:pStyle w:val="BodyText"/>
        <w:bidi w:val="0"/>
        <w:spacing w:before="100" w:after="160"/>
        <w:ind w:start="100" w:end="100"/>
        <w:rPr/>
      </w:pPr>
      <w:r>
        <w:rPr/>
        <w:t>L’hébergement, le nom de domaine, les licences payantes, la photographie, les achats de liens et les demandes hors périmètre sont facturés séparément après accord écrit.</w:t>
      </w:r>
    </w:p>
    <w:p>
      <w:pPr>
        <w:pStyle w:val="Heading2"/>
        <w:numPr>
          <w:ilvl w:val="0"/>
          <w:numId w:val="0"/>
        </w:numPr>
        <w:bidi w:val="0"/>
        <w:spacing w:before="380" w:after="160"/>
        <w:ind w:start="380" w:end="380"/>
        <w:rPr/>
      </w:pPr>
      <w:r>
        <w:rPr/>
        <w:t>Abonnement A — Maintenance technique seule — 200 € HT par mois</w:t>
      </w:r>
    </w:p>
    <w:p>
      <w:pPr>
        <w:pStyle w:val="BodyText"/>
        <w:bidi w:val="0"/>
        <w:spacing w:before="100" w:after="160"/>
        <w:ind w:start="100" w:end="100"/>
        <w:rPr/>
      </w:pPr>
      <w:r>
        <w:rPr/>
        <w:t>Pour conserver le site à jour et surveillé sans accompagnement SEO :</w:t>
      </w:r>
    </w:p>
    <w:p>
      <w:pPr>
        <w:pStyle w:val="BodyText"/>
        <w:numPr>
          <w:ilvl w:val="0"/>
          <w:numId w:val="2"/>
        </w:numPr>
        <w:tabs>
          <w:tab w:val="clear" w:pos="1134"/>
          <w:tab w:val="left" w:pos="809" w:leader="none"/>
        </w:tabs>
        <w:bidi w:val="0"/>
        <w:spacing w:before="100" w:after="0"/>
        <w:ind w:hanging="283" w:start="809"/>
        <w:rPr/>
      </w:pPr>
      <w:r>
        <w:rPr/>
        <w:t>vérification de la disponibilité du site ;</w:t>
      </w:r>
    </w:p>
    <w:p>
      <w:pPr>
        <w:pStyle w:val="BodyText"/>
        <w:numPr>
          <w:ilvl w:val="0"/>
          <w:numId w:val="2"/>
        </w:numPr>
        <w:tabs>
          <w:tab w:val="clear" w:pos="1134"/>
          <w:tab w:val="left" w:pos="809" w:leader="none"/>
        </w:tabs>
        <w:bidi w:val="0"/>
        <w:spacing w:before="100" w:after="0"/>
        <w:ind w:hanging="283" w:start="809"/>
        <w:rPr/>
      </w:pPr>
      <w:r>
        <w:rPr/>
        <w:t>mises à jour courantes et de sécurité ;</w:t>
      </w:r>
    </w:p>
    <w:p>
      <w:pPr>
        <w:pStyle w:val="BodyText"/>
        <w:numPr>
          <w:ilvl w:val="0"/>
          <w:numId w:val="2"/>
        </w:numPr>
        <w:tabs>
          <w:tab w:val="clear" w:pos="1134"/>
          <w:tab w:val="left" w:pos="809" w:leader="none"/>
        </w:tabs>
        <w:bidi w:val="0"/>
        <w:ind w:hanging="283" w:start="809"/>
        <w:rPr/>
      </w:pPr>
      <w:r>
        <w:rPr/>
        <w:t>jusqu’à une heure par mois de petites corrections de texte ou de présentation.</w:t>
      </w:r>
    </w:p>
    <w:p>
      <w:pPr>
        <w:pStyle w:val="BodyText"/>
        <w:bidi w:val="0"/>
        <w:spacing w:before="100" w:after="160"/>
        <w:ind w:start="100" w:end="100"/>
        <w:rPr/>
      </w:pPr>
      <w:r>
        <w:rPr/>
        <w:t>Cette formule ne comprend pas de création de contenu, de suivi des requêtes, d’analyse de concurrence ni d’optimisation SEO. L’hébergement, le domaine et les licences restent à la charge du client.</w:t>
      </w:r>
    </w:p>
    <w:p>
      <w:pPr>
        <w:pStyle w:val="Heading2"/>
        <w:numPr>
          <w:ilvl w:val="0"/>
          <w:numId w:val="0"/>
        </w:numPr>
        <w:bidi w:val="0"/>
        <w:spacing w:before="380" w:after="160"/>
        <w:ind w:start="380" w:end="380"/>
        <w:rPr/>
      </w:pPr>
      <w:r>
        <w:rPr/>
        <w:t>Abonnement B — Suivi SEO local complet — 800 € HT par mois</w:t>
      </w:r>
    </w:p>
    <w:p>
      <w:pPr>
        <w:pStyle w:val="BodyText"/>
        <w:bidi w:val="0"/>
        <w:spacing w:before="100" w:after="160"/>
        <w:ind w:start="100" w:end="100"/>
        <w:rPr/>
      </w:pPr>
      <w:r>
        <w:rPr/>
        <w:t>Cette formule inclut la maintenance ci-dessus et ajoute :</w:t>
      </w:r>
    </w:p>
    <w:p>
      <w:pPr>
        <w:pStyle w:val="BodyText"/>
        <w:numPr>
          <w:ilvl w:val="0"/>
          <w:numId w:val="3"/>
        </w:numPr>
        <w:tabs>
          <w:tab w:val="clear" w:pos="1134"/>
          <w:tab w:val="left" w:pos="809" w:leader="none"/>
        </w:tabs>
        <w:bidi w:val="0"/>
        <w:spacing w:before="100" w:after="0"/>
        <w:ind w:hanging="283" w:start="809"/>
        <w:rPr/>
      </w:pPr>
      <w:r>
        <w:rPr/>
        <w:t>optimisation d’une page existante ou d’un contenu ciblé par mois ;</w:t>
      </w:r>
    </w:p>
    <w:p>
      <w:pPr>
        <w:pStyle w:val="BodyText"/>
        <w:numPr>
          <w:ilvl w:val="0"/>
          <w:numId w:val="3"/>
        </w:numPr>
        <w:tabs>
          <w:tab w:val="clear" w:pos="1134"/>
          <w:tab w:val="left" w:pos="809" w:leader="none"/>
        </w:tabs>
        <w:bidi w:val="0"/>
        <w:spacing w:before="100" w:after="0"/>
        <w:ind w:hanging="283" w:start="809"/>
        <w:rPr/>
      </w:pPr>
      <w:r>
        <w:rPr/>
        <w:t>suivi des requêtes définies ensemble au démarrage ;</w:t>
      </w:r>
    </w:p>
    <w:p>
      <w:pPr>
        <w:pStyle w:val="BodyText"/>
        <w:numPr>
          <w:ilvl w:val="0"/>
          <w:numId w:val="3"/>
        </w:numPr>
        <w:tabs>
          <w:tab w:val="clear" w:pos="1134"/>
          <w:tab w:val="left" w:pos="809" w:leader="none"/>
        </w:tabs>
        <w:bidi w:val="0"/>
        <w:spacing w:before="100" w:after="0"/>
        <w:ind w:hanging="283" w:start="809"/>
        <w:rPr/>
      </w:pPr>
      <w:r>
        <w:rPr/>
        <w:t>observation de trois concurrents locaux ;</w:t>
      </w:r>
    </w:p>
    <w:p>
      <w:pPr>
        <w:pStyle w:val="BodyText"/>
        <w:numPr>
          <w:ilvl w:val="0"/>
          <w:numId w:val="3"/>
        </w:numPr>
        <w:tabs>
          <w:tab w:val="clear" w:pos="1134"/>
          <w:tab w:val="left" w:pos="809" w:leader="none"/>
        </w:tabs>
        <w:bidi w:val="0"/>
        <w:ind w:hanging="283" w:start="809"/>
        <w:rPr/>
      </w:pPr>
      <w:r>
        <w:rPr/>
        <w:t>compte rendu mensuel et échange de suivi de 30 minutes.</w:t>
      </w:r>
    </w:p>
    <w:p>
      <w:pPr>
        <w:pStyle w:val="BodyText"/>
        <w:bidi w:val="0"/>
        <w:spacing w:before="100" w:after="160"/>
        <w:ind w:start="100" w:end="100"/>
        <w:rPr/>
      </w:pPr>
      <w:r>
        <w:rPr/>
        <w:t>Les nouvelles fonctionnalités et pages, les campagnes de liens payantes et les interventions sur des services tiers sont hors forfait. Elles nécessitent un devis accepté avant intervention. La maintenance à 200 € n’est pas ajoutée au prix de 800 € : elle est incluse dans cette formule complète.</w:t>
      </w:r>
    </w:p>
    <w:p>
      <w:pPr>
        <w:pStyle w:val="Heading2"/>
        <w:numPr>
          <w:ilvl w:val="0"/>
          <w:numId w:val="0"/>
        </w:numPr>
        <w:bidi w:val="0"/>
        <w:spacing w:before="380" w:after="160"/>
        <w:ind w:start="380" w:end="380"/>
        <w:rPr/>
      </w:pPr>
      <w:r>
        <w:rPr/>
        <w:t>Facturation et limites</w:t>
      </w:r>
    </w:p>
    <w:p>
      <w:pPr>
        <w:pStyle w:val="BodyText"/>
        <w:bidi w:val="0"/>
        <w:spacing w:before="100" w:after="160"/>
        <w:ind w:start="100" w:end="100"/>
        <w:rPr/>
      </w:pPr>
      <w:r>
        <w:rPr/>
        <w:t>Les deux abonnements sont facturés mensuellement, payables à 30 jours, sans durée minimale, et peuvent être arrêtés par écrit avec un préavis de 30 jours. Le client choisit un seul abonnement pour une période donnée.</w:t>
      </w:r>
    </w:p>
    <w:p>
      <w:pPr>
        <w:pStyle w:val="BodyText"/>
        <w:bidi w:val="0"/>
        <w:spacing w:before="100" w:after="160"/>
        <w:ind w:start="100" w:end="100"/>
        <w:rPr/>
      </w:pPr>
      <w:r>
        <w:rPr/>
        <w:t>Les montants sont hors taxes. Le devis et la facture préciseront la TVA applicable selon le régime du prestataire et le total à payer. Le suivi SEO prévoit des actions et des comptes rendus, sans garantir un classement, du trafic, des appels ou un chiffre d’affaires.</w:t>
      </w:r>
    </w:p>
    <w:p>
      <w:pPr>
        <w:pStyle w:val="BodyText"/>
        <w:bidi w:val="0"/>
        <w:spacing w:before="100" w:after="160"/>
        <w:ind w:start="100" w:end="100"/>
        <w:rPr/>
      </w:pPr>
      <w:r>
        <w:rPr/>
        <w:t xml:space="preserve">Le </w:t>
      </w:r>
      <w:hyperlink r:id="rId2">
        <w:r>
          <w:rPr>
            <w:rStyle w:val="Hyperlink"/>
          </w:rPr>
          <w:t>modèle de contrat de prestation</w:t>
        </w:r>
      </w:hyperlink>
      <w:r>
        <w:rPr/>
        <w:t xml:space="preserve"> complète cette proposition. Le devis accepté précisera la formule mensuelle choisie, son périmètre et ses paramètres particuliers.</w:t>
      </w:r>
    </w:p>
    <w:sectPr>
      <w:type w:val="nextPage"/>
      <w:pgSz w:w="11906" w:h="16838"/>
      <w:pgMar w:left="1020" w:right="1020"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Arial;sans-serif" w:hAnsi="Arial;sans-serif" w:eastAsia="Arial;sans-serif" w:cs="Arial;sans-serif"/>
      <w:color w:val="202A36"/>
      <w:sz w:val="21"/>
      <w:szCs w:val="21"/>
      <w:lang w:val="fr-FR" w:eastAsia="zh-CN" w:bidi="hi-IN"/>
    </w:rPr>
  </w:style>
  <w:style w:type="paragraph" w:styleId="Heading1">
    <w:name w:val="heading 1"/>
    <w:basedOn w:val="Heading"/>
    <w:next w:val="BodyText"/>
    <w:qFormat/>
    <w:pPr>
      <w:pBdr>
        <w:bottom w:val="single" w:sz="12" w:space="10" w:color="E3A126"/>
      </w:pBdr>
      <w:spacing w:before="240" w:after="400"/>
    </w:pPr>
    <w:rPr>
      <w:b/>
      <w:bCs/>
      <w:color w:val="17365D"/>
      <w:sz w:val="46"/>
      <w:szCs w:val="46"/>
    </w:rPr>
  </w:style>
  <w:style w:type="paragraph" w:styleId="Heading2">
    <w:name w:val="heading 2"/>
    <w:basedOn w:val="Heading"/>
    <w:next w:val="BodyText"/>
    <w:qFormat/>
    <w:pPr>
      <w:numPr>
        <w:ilvl w:val="0"/>
        <w:numId w:val="0"/>
      </w:numPr>
      <w:spacing w:before="380" w:after="160"/>
      <w:ind w:start="380" w:end="380"/>
      <w:outlineLvl w:val="1"/>
    </w:pPr>
    <w:rPr>
      <w:rFonts w:ascii="Liberation Serif" w:hAnsi="Liberation Serif" w:eastAsia="Linux Libertine G" w:cs="Noto Sans"/>
      <w:b/>
      <w:bCs/>
      <w:color w:val="17365D"/>
      <w:sz w:val="30"/>
      <w:szCs w:val="30"/>
    </w:rPr>
  </w:style>
  <w:style w:type="paragraph" w:styleId="Heading3">
    <w:name w:val="heading 3"/>
    <w:basedOn w:val="Heading"/>
    <w:next w:val="BodyText"/>
    <w:qFormat/>
    <w:pPr>
      <w:numPr>
        <w:ilvl w:val="0"/>
        <w:numId w:val="0"/>
      </w:numPr>
      <w:spacing w:before="260" w:after="100"/>
      <w:ind w:start="260" w:end="260"/>
      <w:outlineLvl w:val="2"/>
    </w:pPr>
    <w:rPr>
      <w:rFonts w:ascii="Liberation Serif" w:hAnsi="Liberation Serif" w:eastAsia="Linux Libertine G" w:cs="Noto Sans"/>
      <w:b/>
      <w:bCs/>
      <w:color w:val="23527C"/>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F5E93"/>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1F5E93"/>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0" w:after="160"/>
      <w:ind w:start="100" w:end="10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TableHeading">
    <w:name w:val="Table Heading"/>
    <w:basedOn w:val="TableContents"/>
    <w:qFormat/>
    <w:pPr>
      <w:suppressLineNumbers/>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mp/contrat-prestation-sinnes.m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ages>1</Pages>
  <Words>498</Words>
  <Characters>2553</Characters>
  <CharactersWithSpaces>3025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