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0"/>
        <w:rPr/>
      </w:pPr>
      <w:r>
        <w:rPr/>
        <w:t>Contrat de prestation — Sinnes Automobiles</w:t>
      </w:r>
    </w:p>
    <w:p>
      <w:pPr>
        <w:pStyle w:val="BodyText"/>
        <w:bidi w:val="0"/>
        <w:spacing w:before="100" w:after="160"/>
        <w:ind w:start="100" w:end="100"/>
        <w:rPr/>
      </w:pPr>
      <w:r>
        <w:rPr>
          <w:rStyle w:val="Strong"/>
        </w:rPr>
        <w:t>Modèle professionnel à compléter avec le devis correspondant avant signature.</w:t>
      </w:r>
      <w:r>
        <w:rPr/>
        <w:t xml:space="preserve"> Les champs entre crochets sont à renseigner par les parties.</w:t>
      </w:r>
    </w:p>
    <w:p>
      <w:pPr>
        <w:pStyle w:val="Heading2"/>
        <w:numPr>
          <w:ilvl w:val="0"/>
          <w:numId w:val="0"/>
        </w:numPr>
        <w:bidi w:val="0"/>
        <w:spacing w:before="380" w:after="160"/>
        <w:ind w:start="380" w:end="380"/>
        <w:rPr/>
      </w:pPr>
      <w:r>
        <w:rPr/>
        <w:t>1. Parties</w:t>
      </w:r>
    </w:p>
    <w:p>
      <w:pPr>
        <w:pStyle w:val="BodyText"/>
        <w:bidi w:val="0"/>
        <w:spacing w:before="100" w:after="160"/>
        <w:ind w:start="100" w:end="100"/>
        <w:rPr/>
      </w:pPr>
      <w:r>
        <w:rPr>
          <w:rStyle w:val="Strong"/>
        </w:rPr>
        <w:t>Prestataire :</w:t>
      </w:r>
      <w:r>
        <w:rPr/>
        <w:t xml:space="preserve"> [nom ou dénomination], [forme/statut], [adresse professionnelle], immatriculé(e) sous le numéro [SIREN/SIRET], représenté(e) par [nom], ci-après « le Prestataire ».</w:t>
      </w:r>
    </w:p>
    <w:p>
      <w:pPr>
        <w:pStyle w:val="BodyText"/>
        <w:bidi w:val="0"/>
        <w:spacing w:before="100" w:after="160"/>
        <w:ind w:start="100" w:end="100"/>
        <w:rPr/>
      </w:pPr>
      <w:r>
        <w:rPr>
          <w:rStyle w:val="Strong"/>
        </w:rPr>
        <w:t>Client :</w:t>
      </w:r>
      <w:r>
        <w:rPr/>
        <w:t xml:space="preserve"> [dénomination], [forme], [adresse], immatriculé(e) sous le numéro [SIREN/SIRET], représenté(e) par [nom et qualité], ci-après « le Client ».</w:t>
      </w:r>
    </w:p>
    <w:p>
      <w:pPr>
        <w:pStyle w:val="BodyText"/>
        <w:bidi w:val="0"/>
        <w:spacing w:before="100" w:after="160"/>
        <w:ind w:start="100" w:end="100"/>
        <w:rPr/>
      </w:pPr>
      <w:r>
        <w:rPr/>
        <w:t>Date de prise d’effet : [date]. Devis accepté annexé : [référence et date].</w:t>
      </w:r>
    </w:p>
    <w:p>
      <w:pPr>
        <w:pStyle w:val="Heading2"/>
        <w:numPr>
          <w:ilvl w:val="0"/>
          <w:numId w:val="0"/>
        </w:numPr>
        <w:bidi w:val="0"/>
        <w:spacing w:before="380" w:after="160"/>
        <w:ind w:start="380" w:end="380"/>
        <w:rPr/>
      </w:pPr>
      <w:r>
        <w:rPr/>
        <w:t>2. Prestations commandées</w:t>
      </w:r>
    </w:p>
    <w:p>
      <w:pPr>
        <w:pStyle w:val="BodyText"/>
        <w:bidi w:val="0"/>
        <w:spacing w:before="100" w:after="160"/>
        <w:ind w:start="100" w:end="100"/>
        <w:rPr/>
      </w:pPr>
      <w:r>
        <w:rPr/>
        <w:t>Cocher la formule retenue et reporter son périmètre détaillé dans le devis signé.</w:t>
      </w:r>
    </w:p>
    <w:p>
      <w:pPr>
        <w:pStyle w:val="BodyText"/>
        <w:numPr>
          <w:ilvl w:val="0"/>
          <w:numId w:val="2"/>
        </w:numPr>
        <w:tabs>
          <w:tab w:val="clear" w:pos="1134"/>
          <w:tab w:val="left" w:pos="809" w:leader="none"/>
        </w:tabs>
        <w:bidi w:val="0"/>
        <w:spacing w:before="100" w:after="0"/>
        <w:ind w:hanging="283" w:start="809"/>
        <w:rPr/>
      </w:pPr>
      <w:r>
        <w:rPr/>
        <w:t xml:space="preserve">☐ </w:t>
      </w:r>
      <w:r>
        <w:rPr>
          <w:rStyle w:val="Strong"/>
        </w:rPr>
        <w:t>Création du site : 7 000 € HT.</w:t>
      </w:r>
      <w:r>
        <w:rPr/>
        <w:t xml:space="preserve"> Cadrage, pages et contenus convenus, conception, développement, adaptation mobile, réglages SEO techniques de base, contrôles de livraison et remise des sources après paiement complet.</w:t>
      </w:r>
    </w:p>
    <w:p>
      <w:pPr>
        <w:pStyle w:val="BodyText"/>
        <w:numPr>
          <w:ilvl w:val="0"/>
          <w:numId w:val="2"/>
        </w:numPr>
        <w:tabs>
          <w:tab w:val="clear" w:pos="1134"/>
          <w:tab w:val="left" w:pos="809" w:leader="none"/>
        </w:tabs>
        <w:bidi w:val="0"/>
        <w:ind w:hanging="283" w:start="809"/>
        <w:rPr/>
      </w:pPr>
      <w:r>
        <w:rPr/>
        <w:t xml:space="preserve">☐ </w:t>
      </w:r>
      <w:r>
        <w:rPr>
          <w:rStyle w:val="Strong"/>
        </w:rPr>
        <w:t>Suivi SEO local et entretien : 800 € HT par mois.</w:t>
      </w:r>
      <w:r>
        <w:rPr/>
        <w:t xml:space="preserve"> Une optimisation éditoriale mensuelle, vérifications techniques et mises à jour courantes, suivi des requêtes définies, observation de trois concurrents, compte rendu, échange de 30 minutes et jusqu’à une heure de petites corrections.</w:t>
      </w:r>
    </w:p>
    <w:p>
      <w:pPr>
        <w:pStyle w:val="BodyText"/>
        <w:bidi w:val="0"/>
        <w:spacing w:before="100" w:after="160"/>
        <w:ind w:start="100" w:end="100"/>
        <w:rPr/>
      </w:pPr>
      <w:r>
        <w:rPr/>
        <w:t>Le devis décrit les pages, livrables, accès, calendrier et toute particularité de la formule. En cas de différence, le devis signé prévaut pour son périmètre et son prix ; le présent contrat fixe les conditions générales de la prestation.</w:t>
      </w:r>
    </w:p>
    <w:p>
      <w:pPr>
        <w:pStyle w:val="BodyText"/>
        <w:bidi w:val="0"/>
        <w:spacing w:before="100" w:after="160"/>
        <w:ind w:start="100" w:end="100"/>
        <w:rPr/>
      </w:pPr>
      <w:r>
        <w:rPr/>
        <w:t>Sont exclus sauf ajout écrit au devis : hébergement et nom de domaine, licences payantes, photographie, fonctionnalités non listées, nouvelles pages, achats ou campagnes de liens et interventions sur les services de tiers.</w:t>
      </w:r>
    </w:p>
    <w:p>
      <w:pPr>
        <w:pStyle w:val="Heading2"/>
        <w:numPr>
          <w:ilvl w:val="0"/>
          <w:numId w:val="0"/>
        </w:numPr>
        <w:bidi w:val="0"/>
        <w:spacing w:before="380" w:after="160"/>
        <w:ind w:start="380" w:end="380"/>
        <w:rPr/>
      </w:pPr>
      <w:r>
        <w:rPr/>
        <w:t>3. Délais et coopération</w:t>
      </w:r>
    </w:p>
    <w:p>
      <w:pPr>
        <w:pStyle w:val="BodyText"/>
        <w:bidi w:val="0"/>
        <w:spacing w:before="100" w:after="160"/>
        <w:ind w:start="100" w:end="100"/>
        <w:rPr/>
      </w:pPr>
      <w:r>
        <w:rPr/>
        <w:t>Le calendrier est convenu au devis. Il commence lorsque le Prestataire a reçu l’acompte et les éléments nécessaires. Le Client fournit des informations exactes, les textes, visuels, autorisations et accès dont il dispose, et désigne un interlocuteur habilité à valider les étapes.</w:t>
      </w:r>
    </w:p>
    <w:p>
      <w:pPr>
        <w:pStyle w:val="BodyText"/>
        <w:bidi w:val="0"/>
        <w:spacing w:before="100" w:after="160"/>
        <w:ind w:start="100" w:end="100"/>
        <w:rPr/>
      </w:pPr>
      <w:r>
        <w:rPr/>
        <w:t>Le Prestataire soumet les livrables prévus au devis pour validation. Le Client transmet ses observations consolidées sous dix jours ouvrés. Les corrections conformes au périmètre sont incluses ; les évolutions ou demandes supplémentaires sont chiffrées avant réalisation. Les délais sont prolongés du temps de retard imputable à la réception des éléments ou validations du Client.</w:t>
      </w:r>
    </w:p>
    <w:p>
      <w:pPr>
        <w:pStyle w:val="Heading2"/>
        <w:numPr>
          <w:ilvl w:val="0"/>
          <w:numId w:val="0"/>
        </w:numPr>
        <w:bidi w:val="0"/>
        <w:spacing w:before="380" w:after="160"/>
        <w:ind w:start="380" w:end="380"/>
        <w:rPr/>
      </w:pPr>
      <w:r>
        <w:rPr/>
        <w:t>4. Prix et paiement</w:t>
      </w:r>
    </w:p>
    <w:p>
      <w:pPr>
        <w:pStyle w:val="BodyText"/>
        <w:bidi w:val="0"/>
        <w:spacing w:before="100" w:after="160"/>
        <w:ind w:start="100" w:end="100"/>
        <w:rPr/>
      </w:pPr>
      <w:r>
        <w:rPr/>
        <w:t xml:space="preserve">Les prix sont ceux du devis accepté : </w:t>
      </w:r>
      <w:r>
        <w:rPr>
          <w:rStyle w:val="Strong"/>
        </w:rPr>
        <w:t>7 000 € HT</w:t>
      </w:r>
      <w:r>
        <w:rPr/>
        <w:t xml:space="preserve"> pour la création et/ou </w:t>
      </w:r>
      <w:r>
        <w:rPr>
          <w:rStyle w:val="Strong"/>
        </w:rPr>
        <w:t>800 € HT par mois</w:t>
      </w:r>
      <w:r>
        <w:rPr/>
        <w:t xml:space="preserve"> pour le suivi choisi. La facture précise la TVA applicable selon le régime du Prestataire et le montant total à payer.</w:t>
      </w:r>
    </w:p>
    <w:p>
      <w:pPr>
        <w:pStyle w:val="BodyText"/>
        <w:bidi w:val="0"/>
        <w:spacing w:before="100" w:after="160"/>
        <w:ind w:start="100" w:end="100"/>
        <w:rPr/>
      </w:pPr>
      <w:r>
        <w:rPr/>
        <w:t>Pour la création, l’échéancier proposé est : 40 % à la commande, 30 % à la validation de la structure et des maquettes, 30 % à la livraison. Pour le suivi, la facturation est mensuelle. Les factures sont payables dans les 30 jours de leur émission par virement sur le compte indiqué sur la facture.</w:t>
      </w:r>
    </w:p>
    <w:p>
      <w:pPr>
        <w:pStyle w:val="BodyText"/>
        <w:bidi w:val="0"/>
        <w:spacing w:before="100" w:after="160"/>
        <w:ind w:start="100" w:end="100"/>
        <w:rPr/>
      </w:pPr>
      <w:r>
        <w:rPr/>
        <w:t>En cas de retard entre professionnels, des pénalités sont dues de plein droit au taux de refinancement de la Banque centrale européenne applicable, majoré de dix points. Une indemnité forfaitaire légale de 40 € pour frais de recouvrement est due pour chaque facture payée en retard, sans préjudice d’une indemnisation complémentaire justifiée lorsque les frais dépassent ce montant.</w:t>
      </w:r>
    </w:p>
    <w:p>
      <w:pPr>
        <w:pStyle w:val="Heading2"/>
        <w:numPr>
          <w:ilvl w:val="0"/>
          <w:numId w:val="0"/>
        </w:numPr>
        <w:bidi w:val="0"/>
        <w:spacing w:before="380" w:after="160"/>
        <w:ind w:start="380" w:end="380"/>
        <w:rPr/>
      </w:pPr>
      <w:r>
        <w:rPr/>
        <w:t>5. Livraison, hébergement et maintenance</w:t>
      </w:r>
    </w:p>
    <w:p>
      <w:pPr>
        <w:pStyle w:val="BodyText"/>
        <w:bidi w:val="0"/>
        <w:spacing w:before="100" w:after="160"/>
        <w:ind w:start="100" w:end="100"/>
        <w:rPr/>
      </w:pPr>
      <w:r>
        <w:rPr/>
        <w:t>Les modalités de livraison et de recette sont celles du devis. À défaut de précision, le Client dispose de dix jours ouvrés après remise pour signaler par écrit les écarts précis par rapport au périmètre convenu. Les défauts reproductibles couverts sont corrigés sans frais ; toute demande d’évolution est traitée séparément.</w:t>
      </w:r>
    </w:p>
    <w:p>
      <w:pPr>
        <w:pStyle w:val="BodyText"/>
        <w:bidi w:val="0"/>
        <w:spacing w:before="100" w:after="160"/>
        <w:ind w:start="100" w:end="100"/>
        <w:rPr/>
      </w:pPr>
      <w:r>
        <w:rPr/>
        <w:t>Le Client conserve le contrôle de son nom de domaine, de son hébergement et des comptes de ses services tiers. Le suivi mensuel comprend uniquement les opérations décrites à l’article 2. Il ne comprend pas la garantie de disponibilité des plateformes tierces ni les travaux hors forfait.</w:t>
      </w:r>
    </w:p>
    <w:p>
      <w:pPr>
        <w:pStyle w:val="Heading2"/>
        <w:numPr>
          <w:ilvl w:val="0"/>
          <w:numId w:val="0"/>
        </w:numPr>
        <w:bidi w:val="0"/>
        <w:spacing w:before="380" w:after="160"/>
        <w:ind w:start="380" w:end="380"/>
        <w:rPr/>
      </w:pPr>
      <w:r>
        <w:rPr/>
        <w:t>6. Propriété intellectuelle</w:t>
      </w:r>
    </w:p>
    <w:p>
      <w:pPr>
        <w:pStyle w:val="BodyText"/>
        <w:bidi w:val="0"/>
        <w:spacing w:before="100" w:after="160"/>
        <w:ind w:start="100" w:end="100"/>
        <w:rPr/>
      </w:pPr>
      <w:r>
        <w:rPr/>
        <w:t>Après paiement intégral des sommes dues au titre de la création, le Prestataire cède au Client, pour le monde entier et pour la durée légale de protection, les droits patrimoniaux sur les créations originales réalisées spécifiquement pour le site et identifiées dans le devis. La cession autorise leur reproduction, représentation, adaptation, traduction, correction, intégration et exploitation sur le site, les supports numériques du Client et ses communications commerciales, dans le cadre de son activité.</w:t>
      </w:r>
    </w:p>
    <w:p>
      <w:pPr>
        <w:pStyle w:val="BodyText"/>
        <w:bidi w:val="0"/>
        <w:spacing w:before="100" w:after="160"/>
        <w:ind w:start="100" w:end="100"/>
        <w:rPr/>
      </w:pPr>
      <w:r>
        <w:rPr/>
        <w:t>Les éléments préexistants du Prestataire, bibliothèques, outils, logiciels libres, polices, médias et services de tiers ne sont pas cédés ; ils restent soumis à leurs licences respectives. Le Prestataire identifie les éléments tiers nécessaires à l’exploitation et transmet les informations de licence disponibles. Le Client garantit disposer des droits et autorisations sur les éléments qu’il fournit.</w:t>
      </w:r>
    </w:p>
    <w:p>
      <w:pPr>
        <w:pStyle w:val="Heading2"/>
        <w:numPr>
          <w:ilvl w:val="0"/>
          <w:numId w:val="0"/>
        </w:numPr>
        <w:bidi w:val="0"/>
        <w:spacing w:before="380" w:after="160"/>
        <w:ind w:start="380" w:end="380"/>
        <w:rPr/>
      </w:pPr>
      <w:r>
        <w:rPr/>
        <w:t>7. Référencement et résultats</w:t>
      </w:r>
    </w:p>
    <w:p>
      <w:pPr>
        <w:pStyle w:val="BodyText"/>
        <w:bidi w:val="0"/>
        <w:spacing w:before="100" w:after="160"/>
        <w:ind w:start="100" w:end="100"/>
        <w:rPr/>
      </w:pPr>
      <w:r>
        <w:rPr/>
        <w:t>Le Prestataire est tenu à une obligation de moyens pour les actions SEO prévues. Aucun classement, volume de visites, appel ou vente n’est garanti. Les moteurs de recherche et services tiers peuvent modifier leurs règles ou leur fonctionnement indépendamment des parties.</w:t>
      </w:r>
    </w:p>
    <w:p>
      <w:pPr>
        <w:pStyle w:val="Heading2"/>
        <w:numPr>
          <w:ilvl w:val="0"/>
          <w:numId w:val="0"/>
        </w:numPr>
        <w:bidi w:val="0"/>
        <w:spacing w:before="380" w:after="160"/>
        <w:ind w:start="380" w:end="380"/>
        <w:rPr/>
      </w:pPr>
      <w:r>
        <w:rPr/>
        <w:t>8. Données, confidentialité et accès</w:t>
      </w:r>
    </w:p>
    <w:p>
      <w:pPr>
        <w:pStyle w:val="BodyText"/>
        <w:bidi w:val="0"/>
        <w:spacing w:before="100" w:after="160"/>
        <w:ind w:start="100" w:end="100"/>
        <w:rPr/>
      </w:pPr>
      <w:r>
        <w:rPr/>
        <w:t>Chaque partie protège les informations confidentielles reçues de l’autre et ne les utilise que pour exécuter le contrat. Cette obligation ne couvre pas les informations déjà publiques, déjà connues licitement ou dont la divulgation est imposée par la loi.</w:t>
      </w:r>
    </w:p>
    <w:p>
      <w:pPr>
        <w:pStyle w:val="BodyText"/>
        <w:bidi w:val="0"/>
        <w:spacing w:before="100" w:after="160"/>
        <w:ind w:start="100" w:end="100"/>
        <w:rPr/>
      </w:pPr>
      <w:r>
        <w:rPr/>
        <w:t>Le Client demeure responsable des traitements de données réalisés pour son activité. Si l’exécution nécessite que le Prestataire traite des données personnelles pour le compte du Client, les parties définissent et signent avant ce traitement les instructions et conditions requises par la réglementation applicable. Les accès sont limités aux besoins de la prestation et révoqués à sa fin.</w:t>
      </w:r>
    </w:p>
    <w:p>
      <w:pPr>
        <w:pStyle w:val="Heading2"/>
        <w:numPr>
          <w:ilvl w:val="0"/>
          <w:numId w:val="0"/>
        </w:numPr>
        <w:bidi w:val="0"/>
        <w:spacing w:before="380" w:after="160"/>
        <w:ind w:start="380" w:end="380"/>
        <w:rPr/>
      </w:pPr>
      <w:r>
        <w:rPr/>
        <w:t>9. Durée et fin du contrat</w:t>
      </w:r>
    </w:p>
    <w:p>
      <w:pPr>
        <w:pStyle w:val="BodyText"/>
        <w:bidi w:val="0"/>
        <w:spacing w:before="100" w:after="160"/>
        <w:ind w:start="100" w:end="100"/>
        <w:rPr/>
      </w:pPr>
      <w:r>
        <w:rPr/>
        <w:t>Le présent contrat prend effet à la date indiquée à l’article 1 et couvre la formule cochée. La création prend fin après livraison et règlement. Le suivi mensuel est conclu sans durée minimale et peut être résilié par l’une ou l’autre partie par écrit avec un préavis de 30 jours. Les sommes dues pour les prestations réalisées jusqu’à la date de fin restent exigibles.</w:t>
      </w:r>
    </w:p>
    <w:p>
      <w:pPr>
        <w:pStyle w:val="BodyText"/>
        <w:bidi w:val="0"/>
        <w:spacing w:before="100" w:after="160"/>
        <w:ind w:start="100" w:end="100"/>
        <w:rPr/>
      </w:pPr>
      <w:r>
        <w:rPr/>
        <w:t>En cas de manquement important, la partie lésée adresse une mise en demeure écrite décrivant le manquement et accorde quinze jours pour y remédier. Si le manquement persiste, elle peut résilier le contrat par notification écrite, sans préjudice des sommes dues.</w:t>
      </w:r>
    </w:p>
    <w:p>
      <w:pPr>
        <w:pStyle w:val="Heading2"/>
        <w:numPr>
          <w:ilvl w:val="0"/>
          <w:numId w:val="0"/>
        </w:numPr>
        <w:bidi w:val="0"/>
        <w:spacing w:before="380" w:after="160"/>
        <w:ind w:start="380" w:end="380"/>
        <w:rPr/>
      </w:pPr>
      <w:r>
        <w:rPr/>
        <w:t>10. Responsabilité et événements extérieurs</w:t>
      </w:r>
    </w:p>
    <w:p>
      <w:pPr>
        <w:pStyle w:val="BodyText"/>
        <w:bidi w:val="0"/>
        <w:spacing w:before="100" w:after="160"/>
        <w:ind w:start="100" w:end="100"/>
        <w:rPr/>
      </w:pPr>
      <w:r>
        <w:rPr/>
        <w:t>Chaque partie répond des dommages directs résultant de ses manquements prouvés. Aucune partie ne répond d’un retard ou empêchement causé par un événement répondant aux critères légaux de force majeure. La partie concernée en informe l’autre dans les meilleurs délais et les parties recherchent une solution pour limiter les effets de l’empêchement.</w:t>
      </w:r>
    </w:p>
    <w:p>
      <w:pPr>
        <w:pStyle w:val="Heading2"/>
        <w:numPr>
          <w:ilvl w:val="0"/>
          <w:numId w:val="0"/>
        </w:numPr>
        <w:bidi w:val="0"/>
        <w:spacing w:before="380" w:after="160"/>
        <w:ind w:start="380" w:end="380"/>
        <w:rPr/>
      </w:pPr>
      <w:r>
        <w:rPr/>
        <w:t>11. Droit applicable et différends</w:t>
      </w:r>
    </w:p>
    <w:p>
      <w:pPr>
        <w:pStyle w:val="BodyText"/>
        <w:bidi w:val="0"/>
        <w:spacing w:before="100" w:after="160"/>
        <w:ind w:start="100" w:end="100"/>
        <w:rPr/>
      </w:pPr>
      <w:r>
        <w:rPr/>
        <w:t>Le contrat est soumis au droit français. Les parties cherchent d’abord une solution amiable à tout différend. À défaut d’accord, le litige est porté devant la juridiction compétente selon les règles de droit commun.</w:t>
      </w:r>
    </w:p>
    <w:p>
      <w:pPr>
        <w:pStyle w:val="Heading2"/>
        <w:numPr>
          <w:ilvl w:val="0"/>
          <w:numId w:val="0"/>
        </w:numPr>
        <w:bidi w:val="0"/>
        <w:spacing w:before="380" w:after="160"/>
        <w:ind w:start="380" w:end="380"/>
        <w:rPr/>
      </w:pPr>
      <w:r>
        <w:rPr/>
        <w:t>12. Signatures</w:t>
      </w:r>
    </w:p>
    <w:p>
      <w:pPr>
        <w:pStyle w:val="BodyText"/>
        <w:bidi w:val="0"/>
        <w:spacing w:before="100" w:after="160"/>
        <w:ind w:start="100" w:end="100"/>
        <w:rPr/>
      </w:pPr>
      <w:r>
        <w:rPr/>
        <w:t>Fait à [lieu], le [date], en deux exemplaires.</w:t>
      </w:r>
    </w:p>
    <w:tbl>
      <w:tblPr>
        <w:tblW w:w="5440" w:type="dxa"/>
        <w:jc w:val="start"/>
        <w:tblInd w:w="0" w:type="dxa"/>
        <w:tblLayout w:type="fixed"/>
        <w:tblCellMar>
          <w:top w:w="28" w:type="dxa"/>
          <w:start w:w="28" w:type="dxa"/>
          <w:bottom w:w="28" w:type="dxa"/>
          <w:end w:w="28" w:type="dxa"/>
        </w:tblCellMar>
      </w:tblPr>
      <w:tblGrid>
        <w:gridCol w:w="2705"/>
        <w:gridCol w:w="2735"/>
      </w:tblGrid>
      <w:tr>
        <w:trPr/>
        <w:tc>
          <w:tcPr>
            <w:tcW w:w="2705" w:type="dxa"/>
            <w:tcBorders/>
            <w:vAlign w:val="center"/>
          </w:tcPr>
          <w:p>
            <w:pPr>
              <w:pStyle w:val="TableHeading"/>
              <w:suppressLineNumbers/>
              <w:bidi w:val="0"/>
              <w:spacing w:before="100" w:after="160"/>
              <w:jc w:val="start"/>
              <w:rPr/>
            </w:pPr>
            <w:r>
              <w:rPr/>
              <w:t>Le Prestataire</w:t>
            </w:r>
          </w:p>
        </w:tc>
        <w:tc>
          <w:tcPr>
            <w:tcW w:w="2735" w:type="dxa"/>
            <w:tcBorders/>
            <w:vAlign w:val="center"/>
          </w:tcPr>
          <w:p>
            <w:pPr>
              <w:pStyle w:val="TableHeading"/>
              <w:suppressLineNumbers/>
              <w:bidi w:val="0"/>
              <w:spacing w:before="100" w:after="160"/>
              <w:jc w:val="start"/>
              <w:rPr/>
            </w:pPr>
            <w:r>
              <w:rPr/>
              <w:t>Le Client</w:t>
            </w:r>
          </w:p>
        </w:tc>
      </w:tr>
      <w:tr>
        <w:trPr/>
        <w:tc>
          <w:tcPr>
            <w:tcW w:w="2705" w:type="dxa"/>
            <w:tcBorders/>
            <w:vAlign w:val="center"/>
          </w:tcPr>
          <w:p>
            <w:pPr>
              <w:pStyle w:val="TableContents"/>
              <w:bidi w:val="0"/>
              <w:spacing w:before="100" w:after="160"/>
              <w:rPr/>
            </w:pPr>
            <w:r>
              <w:rPr/>
              <w:t>Nom : [nom]</w:t>
            </w:r>
          </w:p>
        </w:tc>
        <w:tc>
          <w:tcPr>
            <w:tcW w:w="2735" w:type="dxa"/>
            <w:tcBorders/>
            <w:vAlign w:val="center"/>
          </w:tcPr>
          <w:p>
            <w:pPr>
              <w:pStyle w:val="TableContents"/>
              <w:bidi w:val="0"/>
              <w:spacing w:before="100" w:after="160"/>
              <w:rPr/>
            </w:pPr>
            <w:r>
              <w:rPr/>
              <w:t>Nom : [nom]</w:t>
            </w:r>
          </w:p>
        </w:tc>
      </w:tr>
      <w:tr>
        <w:trPr/>
        <w:tc>
          <w:tcPr>
            <w:tcW w:w="2705" w:type="dxa"/>
            <w:tcBorders/>
            <w:vAlign w:val="center"/>
          </w:tcPr>
          <w:p>
            <w:pPr>
              <w:pStyle w:val="TableContents"/>
              <w:bidi w:val="0"/>
              <w:spacing w:before="100" w:after="160"/>
              <w:rPr/>
            </w:pPr>
            <w:r>
              <w:rPr/>
              <w:t>Mention « lu et approuvé »</w:t>
            </w:r>
          </w:p>
        </w:tc>
        <w:tc>
          <w:tcPr>
            <w:tcW w:w="2735" w:type="dxa"/>
            <w:tcBorders/>
            <w:vAlign w:val="center"/>
          </w:tcPr>
          <w:p>
            <w:pPr>
              <w:pStyle w:val="TableContents"/>
              <w:bidi w:val="0"/>
              <w:spacing w:before="100" w:after="160"/>
              <w:rPr/>
            </w:pPr>
            <w:r>
              <w:rPr/>
              <w:t>Mention « lu et approuvé »</w:t>
            </w:r>
          </w:p>
        </w:tc>
      </w:tr>
      <w:tr>
        <w:trPr/>
        <w:tc>
          <w:tcPr>
            <w:tcW w:w="2705" w:type="dxa"/>
            <w:tcBorders/>
            <w:vAlign w:val="center"/>
          </w:tcPr>
          <w:p>
            <w:pPr>
              <w:pStyle w:val="TableContents"/>
              <w:bidi w:val="0"/>
              <w:spacing w:before="100" w:after="160"/>
              <w:rPr/>
            </w:pPr>
            <w:r>
              <w:rPr/>
              <w:t>Signature :</w:t>
            </w:r>
          </w:p>
        </w:tc>
        <w:tc>
          <w:tcPr>
            <w:tcW w:w="2735" w:type="dxa"/>
            <w:tcBorders/>
            <w:vAlign w:val="center"/>
          </w:tcPr>
          <w:p>
            <w:pPr>
              <w:pStyle w:val="TableContents"/>
              <w:bidi w:val="0"/>
              <w:spacing w:before="100" w:after="160"/>
              <w:rPr/>
            </w:pPr>
            <w:r>
              <w:rPr/>
              <w:t>Signature :</w:t>
            </w:r>
          </w:p>
        </w:tc>
      </w:tr>
    </w:tbl>
    <w:p>
      <w:pPr>
        <w:pStyle w:val="Heading3"/>
        <w:numPr>
          <w:ilvl w:val="0"/>
          <w:numId w:val="0"/>
        </w:numPr>
        <w:bidi w:val="0"/>
        <w:spacing w:before="260" w:after="100"/>
        <w:ind w:start="260" w:end="260"/>
        <w:rPr/>
      </w:pPr>
      <w:r>
        <w:rPr/>
        <w:t>Annexes à joindre</w:t>
      </w:r>
    </w:p>
    <w:p>
      <w:pPr>
        <w:pStyle w:val="BodyText"/>
        <w:numPr>
          <w:ilvl w:val="0"/>
          <w:numId w:val="3"/>
        </w:numPr>
        <w:tabs>
          <w:tab w:val="clear" w:pos="1134"/>
          <w:tab w:val="left" w:pos="809" w:leader="none"/>
        </w:tabs>
        <w:bidi w:val="0"/>
        <w:spacing w:before="100" w:after="0"/>
        <w:ind w:hanging="283" w:start="809"/>
        <w:rPr/>
      </w:pPr>
      <w:r>
        <w:rPr/>
        <w:t>Devis accepté avec formule, périmètre, calendrier, prix et traitement de TVA.</w:t>
      </w:r>
    </w:p>
    <w:p>
      <w:pPr>
        <w:pStyle w:val="BodyText"/>
        <w:numPr>
          <w:ilvl w:val="0"/>
          <w:numId w:val="3"/>
        </w:numPr>
        <w:tabs>
          <w:tab w:val="clear" w:pos="1134"/>
          <w:tab w:val="left" w:pos="809" w:leader="none"/>
        </w:tabs>
        <w:bidi w:val="0"/>
        <w:spacing w:before="100" w:after="0"/>
        <w:ind w:hanging="283" w:start="809"/>
        <w:rPr/>
      </w:pPr>
      <w:r>
        <w:rPr/>
        <w:t>Liste des pages, contenus et accès fournis pour la création, le cas échéant.</w:t>
      </w:r>
    </w:p>
    <w:p>
      <w:pPr>
        <w:pStyle w:val="BodyText"/>
        <w:numPr>
          <w:ilvl w:val="0"/>
          <w:numId w:val="3"/>
        </w:numPr>
        <w:tabs>
          <w:tab w:val="clear" w:pos="1134"/>
          <w:tab w:val="left" w:pos="809" w:leader="none"/>
        </w:tabs>
        <w:bidi w:val="0"/>
        <w:spacing w:before="100" w:after="160"/>
        <w:ind w:hanging="283" w:start="809"/>
        <w:rPr/>
      </w:pPr>
      <w:r>
        <w:rPr/>
        <w:t>Accord relatif au traitement de données personnelles si la prestation le nécessite.</w:t>
      </w:r>
    </w:p>
    <w:sectPr>
      <w:type w:val="nextPage"/>
      <w:pgSz w:w="11906" w:h="16838"/>
      <w:pgMar w:left="1020" w:right="1020"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sans-serif"/>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fr-F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41"/>
    </w:pPr>
    <w:rPr>
      <w:rFonts w:ascii="Arial;sans-serif" w:hAnsi="Arial;sans-serif" w:eastAsia="Arial;sans-serif" w:cs="Arial;sans-serif"/>
      <w:color w:val="202A36"/>
      <w:sz w:val="21"/>
      <w:szCs w:val="21"/>
      <w:lang w:val="fr-FR" w:eastAsia="zh-CN" w:bidi="hi-IN"/>
    </w:rPr>
  </w:style>
  <w:style w:type="paragraph" w:styleId="Heading1">
    <w:name w:val="heading 1"/>
    <w:basedOn w:val="Heading"/>
    <w:next w:val="BodyText"/>
    <w:qFormat/>
    <w:pPr>
      <w:pBdr>
        <w:bottom w:val="single" w:sz="12" w:space="10" w:color="E3A126"/>
      </w:pBdr>
      <w:spacing w:before="240" w:after="400"/>
    </w:pPr>
    <w:rPr>
      <w:b/>
      <w:bCs/>
      <w:color w:val="17365D"/>
      <w:sz w:val="46"/>
      <w:szCs w:val="46"/>
    </w:rPr>
  </w:style>
  <w:style w:type="paragraph" w:styleId="Heading2">
    <w:name w:val="heading 2"/>
    <w:basedOn w:val="Heading"/>
    <w:next w:val="BodyText"/>
    <w:qFormat/>
    <w:pPr>
      <w:numPr>
        <w:ilvl w:val="0"/>
        <w:numId w:val="0"/>
      </w:numPr>
      <w:spacing w:before="380" w:after="160"/>
      <w:ind w:start="380" w:end="380"/>
      <w:outlineLvl w:val="1"/>
    </w:pPr>
    <w:rPr>
      <w:rFonts w:ascii="Liberation Serif" w:hAnsi="Liberation Serif" w:eastAsia="Linux Libertine G" w:cs="Noto Sans"/>
      <w:b/>
      <w:bCs/>
      <w:color w:val="17365D"/>
      <w:sz w:val="30"/>
      <w:szCs w:val="30"/>
    </w:rPr>
  </w:style>
  <w:style w:type="paragraph" w:styleId="Heading3">
    <w:name w:val="heading 3"/>
    <w:basedOn w:val="Heading"/>
    <w:next w:val="BodyText"/>
    <w:qFormat/>
    <w:pPr>
      <w:numPr>
        <w:ilvl w:val="0"/>
        <w:numId w:val="0"/>
      </w:numPr>
      <w:spacing w:before="260" w:after="100"/>
      <w:ind w:start="260" w:end="260"/>
      <w:outlineLvl w:val="2"/>
    </w:pPr>
    <w:rPr>
      <w:rFonts w:ascii="Liberation Serif" w:hAnsi="Liberation Serif" w:eastAsia="Linux Libertine G" w:cs="Noto Sans"/>
      <w:b/>
      <w:bCs/>
      <w:color w:val="23527C"/>
      <w:sz w:val="23"/>
      <w:szCs w:val="23"/>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1F5E93"/>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FollowedHyperlink">
    <w:name w:val="FollowedHyperlink"/>
    <w:rPr>
      <w:color w:val="1F5E93"/>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100" w:after="160"/>
      <w:ind w:start="100" w:end="100"/>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TableHeading">
    <w:name w:val="Table Heading"/>
    <w:basedOn w:val="TableContents"/>
    <w:qFormat/>
    <w:pPr>
      <w:suppressLineNumbers/>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LibreOfficeDev/26.8.0.0.alpha0$MacOSX_AARCH64 LibreOffice_project/2c87e51eeaa2b413ff4ae097b2705eea1995d8e5</Application>
  <AppVersion>15.0000</AppVersion>
  <Pages>1</Pages>
  <Words>1176</Words>
  <Characters>6434</Characters>
  <CharactersWithSpaces>7555</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