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0"/>
        <w:rPr/>
      </w:pPr>
      <w:r>
        <w:rPr/>
        <w:t>Proposition commerciale — Sinnes Automobiles</w:t>
      </w:r>
    </w:p>
    <w:p>
      <w:pPr>
        <w:pStyle w:val="BodyText"/>
        <w:bidi w:val="0"/>
        <w:spacing w:before="100" w:after="160"/>
        <w:ind w:start="100" w:end="100"/>
        <w:rPr/>
      </w:pPr>
      <w:r>
        <w:rPr>
          <w:rStyle w:val="Strong"/>
        </w:rPr>
        <w:t>Objet :</w:t>
      </w:r>
      <w:r>
        <w:rPr/>
        <w:t xml:space="preserve"> création d’un site vitrine et accompagnement de sa visibilité locale.</w:t>
      </w:r>
    </w:p>
    <w:p>
      <w:pPr>
        <w:pStyle w:val="BodyText"/>
        <w:bidi w:val="0"/>
        <w:spacing w:before="100" w:after="160"/>
        <w:ind w:start="100" w:end="100"/>
        <w:rPr/>
      </w:pPr>
      <w:r>
        <w:rPr/>
        <w:t>Cette proposition présente deux prestations indépendantes. Le client peut commander la création seule, puis décider séparément de souscrire au suivi mensuel.</w:t>
      </w:r>
    </w:p>
    <w:p>
      <w:pPr>
        <w:pStyle w:val="Heading2"/>
        <w:numPr>
          <w:ilvl w:val="0"/>
          <w:numId w:val="0"/>
        </w:numPr>
        <w:bidi w:val="0"/>
        <w:spacing w:before="380" w:after="160"/>
        <w:ind w:start="380" w:end="380"/>
        <w:rPr/>
      </w:pPr>
      <w:r>
        <w:rPr/>
        <w:t>Formule 1 — Création du site</w:t>
      </w:r>
    </w:p>
    <w:p>
      <w:pPr>
        <w:pStyle w:val="BodyText"/>
        <w:bidi w:val="0"/>
        <w:spacing w:before="100" w:after="160"/>
        <w:ind w:start="100" w:end="100"/>
        <w:rPr/>
      </w:pPr>
      <w:r>
        <w:rPr>
          <w:rStyle w:val="Strong"/>
        </w:rPr>
        <w:t>Prix : 7 000 € HT</w:t>
      </w:r>
      <w:r>
        <w:rPr/>
        <w:t xml:space="preserve"> — TVA appliquée selon le régime du prestataire à la date de facturation.</w:t>
      </w:r>
    </w:p>
    <w:p>
      <w:pPr>
        <w:pStyle w:val="BodyText"/>
        <w:bidi w:val="0"/>
        <w:spacing w:before="100" w:after="160"/>
        <w:ind w:start="100" w:end="100"/>
        <w:rPr/>
      </w:pPr>
      <w:r>
        <w:rPr/>
        <w:t>La prestation comprend le cadrage, la structure des pages validées, la conception et le développement du site, l’intégration des contenus prévus, l’adaptation mobile, les réglages SEO techniques de base, le contrôle avant livraison et la remise du code source après paiement complet.</w:t>
      </w:r>
    </w:p>
    <w:p>
      <w:pPr>
        <w:pStyle w:val="BodyText"/>
        <w:bidi w:val="0"/>
        <w:spacing w:before="100" w:after="160"/>
        <w:ind w:start="100" w:end="100"/>
        <w:rPr/>
      </w:pPr>
      <w:r>
        <w:rPr/>
        <w:t>Le devis annexé fixera la liste des pages, les contenus attendus, les accès, les jalons et la date prévisionnelle. Le calendrier débute lorsque le premier paiement et les éléments nécessaires ont été reçus.</w:t>
      </w:r>
    </w:p>
    <w:p>
      <w:pPr>
        <w:pStyle w:val="BodyText"/>
        <w:bidi w:val="0"/>
        <w:spacing w:before="100" w:after="160"/>
        <w:ind w:start="100" w:end="100"/>
        <w:rPr/>
      </w:pPr>
      <w:r>
        <w:rPr>
          <w:rStyle w:val="Strong"/>
        </w:rPr>
        <w:t>Échéancier proposé :</w:t>
      </w:r>
      <w:r>
        <w:rPr/>
        <w:t xml:space="preserve"> 40 % à la commande, 30 % à la validation de la structure et des maquettes, 30 % à la livraison.</w:t>
      </w:r>
    </w:p>
    <w:p>
      <w:pPr>
        <w:pStyle w:val="BodyText"/>
        <w:bidi w:val="0"/>
        <w:spacing w:before="100" w:after="160"/>
        <w:ind w:start="100" w:end="100"/>
        <w:rPr/>
      </w:pPr>
      <w:r>
        <w:rPr/>
        <w:t>L’hébergement, le nom de domaine, les licences payantes, la photographie, les achats de liens et les demandes hors périmètre sont facturés séparément après accord écrit.</w:t>
      </w:r>
    </w:p>
    <w:p>
      <w:pPr>
        <w:pStyle w:val="Heading2"/>
        <w:numPr>
          <w:ilvl w:val="0"/>
          <w:numId w:val="0"/>
        </w:numPr>
        <w:bidi w:val="0"/>
        <w:spacing w:before="380" w:after="160"/>
        <w:ind w:start="380" w:end="380"/>
        <w:rPr/>
      </w:pPr>
      <w:r>
        <w:rPr/>
        <w:t>Formule 2 — Suivi SEO local et entretien</w:t>
      </w:r>
    </w:p>
    <w:p>
      <w:pPr>
        <w:pStyle w:val="BodyText"/>
        <w:bidi w:val="0"/>
        <w:spacing w:before="100" w:after="160"/>
        <w:ind w:start="100" w:end="100"/>
        <w:rPr/>
      </w:pPr>
      <w:r>
        <w:rPr>
          <w:rStyle w:val="Strong"/>
        </w:rPr>
        <w:t>Prix : 800 € HT par mois</w:t>
      </w:r>
      <w:r>
        <w:rPr/>
        <w:t xml:space="preserve"> — TVA appliquée selon le régime du prestataire à la date de facturation.</w:t>
      </w:r>
    </w:p>
    <w:p>
      <w:pPr>
        <w:pStyle w:val="BodyText"/>
        <w:bidi w:val="0"/>
        <w:spacing w:before="100" w:after="160"/>
        <w:ind w:start="100" w:end="100"/>
        <w:rPr/>
      </w:pPr>
      <w:r>
        <w:rPr/>
        <w:t>Chaque mois :</w:t>
      </w:r>
    </w:p>
    <w:p>
      <w:pPr>
        <w:pStyle w:val="BodyText"/>
        <w:numPr>
          <w:ilvl w:val="0"/>
          <w:numId w:val="2"/>
        </w:numPr>
        <w:tabs>
          <w:tab w:val="clear" w:pos="1134"/>
          <w:tab w:val="left" w:pos="809" w:leader="none"/>
        </w:tabs>
        <w:bidi w:val="0"/>
        <w:spacing w:before="100" w:after="0"/>
        <w:ind w:hanging="283" w:start="809"/>
        <w:rPr/>
      </w:pPr>
      <w:r>
        <w:rPr/>
        <w:t>optimisation d’une page existante ou d’un contenu ciblé ;</w:t>
      </w:r>
    </w:p>
    <w:p>
      <w:pPr>
        <w:pStyle w:val="BodyText"/>
        <w:numPr>
          <w:ilvl w:val="0"/>
          <w:numId w:val="2"/>
        </w:numPr>
        <w:tabs>
          <w:tab w:val="clear" w:pos="1134"/>
          <w:tab w:val="left" w:pos="809" w:leader="none"/>
        </w:tabs>
        <w:bidi w:val="0"/>
        <w:spacing w:before="100" w:after="0"/>
        <w:ind w:hanging="283" w:start="809"/>
        <w:rPr/>
      </w:pPr>
      <w:r>
        <w:rPr/>
        <w:t>vérifications techniques et mises à jour courantes du site ;</w:t>
      </w:r>
    </w:p>
    <w:p>
      <w:pPr>
        <w:pStyle w:val="BodyText"/>
        <w:numPr>
          <w:ilvl w:val="0"/>
          <w:numId w:val="2"/>
        </w:numPr>
        <w:tabs>
          <w:tab w:val="clear" w:pos="1134"/>
          <w:tab w:val="left" w:pos="809" w:leader="none"/>
        </w:tabs>
        <w:bidi w:val="0"/>
        <w:spacing w:before="100" w:after="0"/>
        <w:ind w:hanging="283" w:start="809"/>
        <w:rPr/>
      </w:pPr>
      <w:r>
        <w:rPr/>
        <w:t>suivi des requêtes définies ensemble au démarrage ;</w:t>
      </w:r>
    </w:p>
    <w:p>
      <w:pPr>
        <w:pStyle w:val="BodyText"/>
        <w:numPr>
          <w:ilvl w:val="0"/>
          <w:numId w:val="2"/>
        </w:numPr>
        <w:tabs>
          <w:tab w:val="clear" w:pos="1134"/>
          <w:tab w:val="left" w:pos="809" w:leader="none"/>
        </w:tabs>
        <w:bidi w:val="0"/>
        <w:spacing w:before="100" w:after="0"/>
        <w:ind w:hanging="283" w:start="809"/>
        <w:rPr/>
      </w:pPr>
      <w:r>
        <w:rPr/>
        <w:t>observation de trois concurrents locaux ;</w:t>
      </w:r>
    </w:p>
    <w:p>
      <w:pPr>
        <w:pStyle w:val="BodyText"/>
        <w:numPr>
          <w:ilvl w:val="0"/>
          <w:numId w:val="2"/>
        </w:numPr>
        <w:tabs>
          <w:tab w:val="clear" w:pos="1134"/>
          <w:tab w:val="left" w:pos="809" w:leader="none"/>
        </w:tabs>
        <w:bidi w:val="0"/>
        <w:spacing w:before="100" w:after="0"/>
        <w:ind w:hanging="283" w:start="809"/>
        <w:rPr/>
      </w:pPr>
      <w:r>
        <w:rPr/>
        <w:t>compte rendu mensuel et échange de suivi de 30 minutes ;</w:t>
      </w:r>
    </w:p>
    <w:p>
      <w:pPr>
        <w:pStyle w:val="BodyText"/>
        <w:numPr>
          <w:ilvl w:val="0"/>
          <w:numId w:val="2"/>
        </w:numPr>
        <w:tabs>
          <w:tab w:val="clear" w:pos="1134"/>
          <w:tab w:val="left" w:pos="809" w:leader="none"/>
        </w:tabs>
        <w:bidi w:val="0"/>
        <w:ind w:hanging="283" w:start="809"/>
        <w:rPr/>
      </w:pPr>
      <w:r>
        <w:rPr/>
        <w:t>jusqu’à une heure de petites corrections de contenu ou de présentation.</w:t>
      </w:r>
    </w:p>
    <w:p>
      <w:pPr>
        <w:pStyle w:val="BodyText"/>
        <w:bidi w:val="0"/>
        <w:spacing w:before="100" w:after="160"/>
        <w:ind w:start="100" w:end="100"/>
        <w:rPr/>
      </w:pPr>
      <w:r>
        <w:rPr/>
        <w:t>Les nouvelles fonctionnalités et pages, l’hébergement, les licences, les campagnes de liens payantes et les interventions sur des services tiers sont exclus. Ils nécessitent un devis accepté avant intervention.</w:t>
      </w:r>
    </w:p>
    <w:p>
      <w:pPr>
        <w:pStyle w:val="BodyText"/>
        <w:bidi w:val="0"/>
        <w:spacing w:before="100" w:after="160"/>
        <w:ind w:start="100" w:end="100"/>
        <w:rPr/>
      </w:pPr>
      <w:r>
        <w:rPr/>
        <w:t>La formule est facturée mensuellement, payable à 30 jours. Elle peut être arrêtée par l’une ou l’autre partie avec un préavis écrit de 30 jours.</w:t>
      </w:r>
    </w:p>
    <w:p>
      <w:pPr>
        <w:pStyle w:val="Heading2"/>
        <w:numPr>
          <w:ilvl w:val="0"/>
          <w:numId w:val="0"/>
        </w:numPr>
        <w:bidi w:val="0"/>
        <w:spacing w:before="380" w:after="160"/>
        <w:ind w:start="380" w:end="380"/>
        <w:rPr/>
      </w:pPr>
      <w:r>
        <w:rPr/>
        <w:t>Cadre et limites</w:t>
      </w:r>
    </w:p>
    <w:p>
      <w:pPr>
        <w:pStyle w:val="BodyText"/>
        <w:bidi w:val="0"/>
        <w:spacing w:before="100" w:after="160"/>
        <w:ind w:start="100" w:end="100"/>
        <w:rPr/>
      </w:pPr>
      <w:r>
        <w:rPr/>
        <w:t>Le référencement dépend de facteurs externes et évolutifs. La prestation prévoit des actions et un suivi, sans garantir un classement, un trafic, des appels ou un chiffre d’affaires. Le client fournit des informations exactes, les contenus et autorisations nécessaires ainsi que les accès utiles. Les délais sont ajustés si ces éléments tardent.</w:t>
      </w:r>
    </w:p>
    <w:p>
      <w:pPr>
        <w:pStyle w:val="BodyText"/>
        <w:bidi w:val="0"/>
        <w:spacing w:before="100" w:after="160"/>
        <w:ind w:start="100" w:end="100"/>
        <w:rPr/>
      </w:pPr>
      <w:r>
        <w:rPr/>
        <w:t>Le montant HT, la TVA éventuelle, le total à payer, les identités des parties et les dates seront indiqués dans le devis accepté. La prestation ne démarre qu’après acceptation écrite du devis et paiement de l’acompte convenu.</w:t>
      </w:r>
    </w:p>
    <w:p>
      <w:pPr>
        <w:pStyle w:val="Heading2"/>
        <w:numPr>
          <w:ilvl w:val="0"/>
          <w:numId w:val="0"/>
        </w:numPr>
        <w:bidi w:val="0"/>
        <w:spacing w:before="380" w:after="160"/>
        <w:ind w:start="380" w:end="380"/>
        <w:rPr/>
      </w:pPr>
      <w:r>
        <w:rPr/>
        <w:t>Pièce contractuelle</w:t>
      </w:r>
    </w:p>
    <w:p>
      <w:pPr>
        <w:pStyle w:val="BodyText"/>
        <w:bidi w:val="0"/>
        <w:spacing w:before="100" w:after="160"/>
        <w:ind w:start="100" w:end="100"/>
        <w:rPr/>
      </w:pPr>
      <w:r>
        <w:rPr/>
        <w:t xml:space="preserve">Le </w:t>
      </w:r>
      <w:hyperlink r:id="rId2">
        <w:r>
          <w:rPr>
            <w:rStyle w:val="Hyperlink"/>
          </w:rPr>
          <w:t>modèle de contrat de prestation</w:t>
        </w:r>
      </w:hyperlink>
      <w:r>
        <w:rPr/>
        <w:t xml:space="preserve"> complète cette proposition. Le devis accepté précisera la formule commandée et ses paramètres particuliers.</w:t>
      </w:r>
    </w:p>
    <w:sectPr>
      <w:type w:val="nextPage"/>
      <w:pgSz w:w="11906" w:h="16838"/>
      <w:pgMar w:left="1020" w:right="102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1"/>
    </w:pPr>
    <w:rPr>
      <w:rFonts w:ascii="Arial;sans-serif" w:hAnsi="Arial;sans-serif" w:eastAsia="Arial;sans-serif" w:cs="Arial;sans-serif"/>
      <w:color w:val="202A36"/>
      <w:sz w:val="21"/>
      <w:szCs w:val="21"/>
      <w:lang w:val="fr-FR" w:eastAsia="zh-CN" w:bidi="hi-IN"/>
    </w:rPr>
  </w:style>
  <w:style w:type="paragraph" w:styleId="Heading1">
    <w:name w:val="heading 1"/>
    <w:basedOn w:val="Heading"/>
    <w:next w:val="BodyText"/>
    <w:qFormat/>
    <w:pPr>
      <w:pBdr>
        <w:bottom w:val="single" w:sz="12" w:space="10" w:color="E3A126"/>
      </w:pBdr>
      <w:spacing w:before="240" w:after="400"/>
    </w:pPr>
    <w:rPr>
      <w:b/>
      <w:bCs/>
      <w:color w:val="17365D"/>
      <w:sz w:val="46"/>
      <w:szCs w:val="46"/>
    </w:rPr>
  </w:style>
  <w:style w:type="paragraph" w:styleId="Heading2">
    <w:name w:val="heading 2"/>
    <w:basedOn w:val="Heading"/>
    <w:next w:val="BodyText"/>
    <w:qFormat/>
    <w:pPr>
      <w:numPr>
        <w:ilvl w:val="0"/>
        <w:numId w:val="0"/>
      </w:numPr>
      <w:spacing w:before="380" w:after="160"/>
      <w:ind w:start="380" w:end="380"/>
      <w:outlineLvl w:val="1"/>
    </w:pPr>
    <w:rPr>
      <w:rFonts w:ascii="Liberation Serif" w:hAnsi="Liberation Serif" w:eastAsia="Linux Libertine G" w:cs="Noto Sans"/>
      <w:b/>
      <w:bCs/>
      <w:color w:val="17365D"/>
      <w:sz w:val="30"/>
      <w:szCs w:val="30"/>
    </w:rPr>
  </w:style>
  <w:style w:type="paragraph" w:styleId="Heading3">
    <w:name w:val="heading 3"/>
    <w:basedOn w:val="Heading"/>
    <w:next w:val="BodyText"/>
    <w:qFormat/>
    <w:pPr>
      <w:numPr>
        <w:ilvl w:val="0"/>
        <w:numId w:val="0"/>
      </w:numPr>
      <w:spacing w:before="260" w:after="100"/>
      <w:ind w:start="260" w:end="260"/>
      <w:outlineLvl w:val="2"/>
    </w:pPr>
    <w:rPr>
      <w:rFonts w:ascii="Liberation Serif" w:hAnsi="Liberation Serif" w:eastAsia="Linux Libertine G" w:cs="Noto Sans"/>
      <w:b/>
      <w:bCs/>
      <w:color w:val="23527C"/>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E93"/>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1F5E93"/>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00" w:after="160"/>
      <w:ind w:start="100" w:end="100"/>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TableHeading">
    <w:name w:val="Table Heading"/>
    <w:basedOn w:val="TableContents"/>
    <w:qFormat/>
    <w:pPr>
      <w:suppressLineNumbers/>
      <w:jc w:val="star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mp/contrat-prestation-sinnes.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442</Words>
  <Characters>2347</Characters>
  <CharactersWithSpaces>2763</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