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5B607" w14:textId="77777777" w:rsidR="00542A28" w:rsidRDefault="00542A28" w:rsidP="00542A28">
      <w:pPr>
        <w:spacing w:after="0"/>
        <w:rPr>
          <w:rFonts w:ascii="Arial Narrow" w:hAnsi="Arial Narrow"/>
          <w:b/>
          <w:bCs/>
          <w:color w:val="7030A0"/>
        </w:rPr>
      </w:pPr>
      <w:r>
        <w:rPr>
          <w:rFonts w:ascii="Arial Narrow" w:hAnsi="Arial Narrow"/>
          <w:noProof/>
          <w:color w:val="0000FF"/>
        </w:rPr>
        <w:drawing>
          <wp:anchor distT="0" distB="0" distL="114300" distR="114300" simplePos="0" relativeHeight="251658240" behindDoc="0" locked="0" layoutInCell="1" allowOverlap="1" wp14:anchorId="31FBF007" wp14:editId="680FE557">
            <wp:simplePos x="0" y="0"/>
            <wp:positionH relativeFrom="column">
              <wp:posOffset>0</wp:posOffset>
            </wp:positionH>
            <wp:positionV relativeFrom="paragraph">
              <wp:posOffset>0</wp:posOffset>
            </wp:positionV>
            <wp:extent cx="438150" cy="447675"/>
            <wp:effectExtent l="0" t="0" r="0" b="9525"/>
            <wp:wrapSquare wrapText="bothSides"/>
            <wp:docPr id="1" name="Picture 1" descr="GCHP Logo logo onl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HP Logo logo only"/>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381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color w:val="7030A0"/>
        </w:rPr>
        <w:t>Gulf Coast Housing Partnership</w:t>
      </w:r>
    </w:p>
    <w:p w14:paraId="39B92130" w14:textId="77777777" w:rsidR="00542A28" w:rsidRDefault="00542A28" w:rsidP="00542A28">
      <w:pPr>
        <w:spacing w:after="0" w:line="240" w:lineRule="auto"/>
        <w:rPr>
          <w:rFonts w:ascii="Arial Narrow" w:hAnsi="Arial Narrow"/>
          <w:color w:val="1F497D"/>
        </w:rPr>
      </w:pPr>
      <w:r>
        <w:rPr>
          <w:rFonts w:ascii="Arial Narrow" w:hAnsi="Arial Narrow"/>
          <w:color w:val="1F497D"/>
        </w:rPr>
        <w:t xml:space="preserve">Charlie Powicki, Data Engineer </w:t>
      </w:r>
    </w:p>
    <w:p w14:paraId="01169C5C" w14:textId="2D5F3D23" w:rsidR="00542A28" w:rsidRPr="00542A28" w:rsidRDefault="00542A28" w:rsidP="00542A28">
      <w:pPr>
        <w:spacing w:after="0" w:line="240" w:lineRule="auto"/>
        <w:rPr>
          <w:rFonts w:ascii="Arial Narrow" w:hAnsi="Arial Narrow"/>
          <w:color w:val="1F497D"/>
        </w:rPr>
      </w:pPr>
      <w:r>
        <w:rPr>
          <w:rFonts w:ascii="Arial Narrow" w:hAnsi="Arial Narrow"/>
          <w:color w:val="1F497D"/>
        </w:rPr>
        <w:t>July 2018</w:t>
      </w:r>
    </w:p>
    <w:p w14:paraId="440F87FF" w14:textId="77777777" w:rsidR="00A466AB" w:rsidRDefault="00A466AB" w:rsidP="00542A28">
      <w:pPr>
        <w:rPr>
          <w:b/>
          <w:i/>
          <w:sz w:val="32"/>
        </w:rPr>
      </w:pPr>
    </w:p>
    <w:p w14:paraId="1A5CA3F7" w14:textId="733099A2" w:rsidR="00542A28" w:rsidRDefault="00542A28" w:rsidP="00542A28">
      <w:pPr>
        <w:jc w:val="center"/>
        <w:rPr>
          <w:b/>
          <w:i/>
          <w:sz w:val="32"/>
        </w:rPr>
      </w:pPr>
      <w:r>
        <w:rPr>
          <w:b/>
          <w:i/>
          <w:sz w:val="32"/>
        </w:rPr>
        <w:t>GCHP Housing Market Index Methodology</w:t>
      </w:r>
    </w:p>
    <w:p w14:paraId="2A82C56D" w14:textId="2382E85E" w:rsidR="00E96A76" w:rsidRDefault="00E96A76" w:rsidP="00E96A76">
      <w:r>
        <w:br w:type="column"/>
      </w:r>
      <w:r>
        <w:rPr>
          <w:b/>
        </w:rPr>
        <w:lastRenderedPageBreak/>
        <w:t>Purpose</w:t>
      </w:r>
      <w:r w:rsidR="001442A4">
        <w:rPr>
          <w:b/>
        </w:rPr>
        <w:t>:</w:t>
      </w:r>
    </w:p>
    <w:p w14:paraId="6042B80E" w14:textId="5B7380F4" w:rsidR="001442A4" w:rsidRDefault="001442A4" w:rsidP="001442A4">
      <w:pPr>
        <w:ind w:firstLine="720"/>
      </w:pPr>
      <w:r>
        <w:t>The GCHP Housing Market Index is designed to offer a preliminary estimation of the strength of the housing market in a particular location by US Census Trac</w:t>
      </w:r>
      <w:r w:rsidR="00DA4358">
        <w:t>t.</w:t>
      </w:r>
      <w:r>
        <w:t xml:space="preserve"> </w:t>
      </w:r>
      <w:r w:rsidR="00E96A76">
        <w:t xml:space="preserve"> </w:t>
      </w:r>
      <w:r>
        <w:t xml:space="preserve">The index considers </w:t>
      </w:r>
      <w:r w:rsidR="00DA4358">
        <w:t>24</w:t>
      </w:r>
      <w:r>
        <w:t xml:space="preserve"> economic and social indicators and aggregates them to score the area of interest. This document will outline the data sources and methods used to develop this index. </w:t>
      </w:r>
    </w:p>
    <w:p w14:paraId="2306F9FD" w14:textId="70192660" w:rsidR="001442A4" w:rsidRDefault="001442A4" w:rsidP="001442A4">
      <w:r>
        <w:rPr>
          <w:b/>
        </w:rPr>
        <w:t>Data Sources</w:t>
      </w:r>
      <w:r>
        <w:t xml:space="preserve">: </w:t>
      </w:r>
    </w:p>
    <w:p w14:paraId="3001F357" w14:textId="3B5CDFE7" w:rsidR="00A466AB" w:rsidRDefault="001442A4" w:rsidP="001442A4">
      <w:r>
        <w:tab/>
        <w:t xml:space="preserve">Data is drawn from the American Community Survey 5-Year Estimates, which are released annually by the US Census Bureau. To capture change overtime, the index considers both the most recent vintage </w:t>
      </w:r>
      <w:r w:rsidR="00A466AB">
        <w:t xml:space="preserve">and the most recent non-overlapping vintage. For example, at the time this document was written, the index used the 2012-2016 ACS 5 Year Estimates and the 2007-2011 5 Year Estimates. The indicators chosen to measure housing market strength appear </w:t>
      </w:r>
      <w:r w:rsidR="007D087E">
        <w:t>below</w:t>
      </w:r>
      <w:r w:rsidR="00A466AB">
        <w:t xml:space="preserve">, along with the particular </w:t>
      </w:r>
      <w:r w:rsidR="007D087E">
        <w:t xml:space="preserve">US Census data </w:t>
      </w:r>
      <w:r w:rsidR="00A466AB">
        <w:t>table they were chosen from, and their</w:t>
      </w:r>
      <w:r w:rsidR="007D087E">
        <w:t xml:space="preserve"> </w:t>
      </w:r>
      <w:r w:rsidR="00A466AB">
        <w:t xml:space="preserve">field identifier. </w:t>
      </w:r>
    </w:p>
    <w:tbl>
      <w:tblPr>
        <w:tblStyle w:val="GridTable4-Accent1"/>
        <w:tblW w:w="10165" w:type="dxa"/>
        <w:jc w:val="center"/>
        <w:tblLook w:val="04A0" w:firstRow="1" w:lastRow="0" w:firstColumn="1" w:lastColumn="0" w:noHBand="0" w:noVBand="1"/>
      </w:tblPr>
      <w:tblGrid>
        <w:gridCol w:w="3388"/>
        <w:gridCol w:w="3388"/>
        <w:gridCol w:w="3389"/>
      </w:tblGrid>
      <w:tr w:rsidR="00716CD4" w14:paraId="294941D0" w14:textId="635948D3" w:rsidTr="00716C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88" w:type="dxa"/>
          </w:tcPr>
          <w:p w14:paraId="1E2E3CFF" w14:textId="435EB257" w:rsidR="00716CD4" w:rsidRPr="00F7268C" w:rsidRDefault="00716CD4" w:rsidP="00716CD4">
            <w:pPr>
              <w:jc w:val="center"/>
            </w:pPr>
            <w:r w:rsidRPr="00F7268C">
              <w:t>Name</w:t>
            </w:r>
          </w:p>
        </w:tc>
        <w:tc>
          <w:tcPr>
            <w:tcW w:w="3388" w:type="dxa"/>
          </w:tcPr>
          <w:p w14:paraId="6EE6D7AE" w14:textId="128FEB9D" w:rsidR="00716CD4" w:rsidRPr="00F7268C" w:rsidRDefault="00716CD4" w:rsidP="00716CD4">
            <w:pPr>
              <w:ind w:left="720" w:hanging="720"/>
              <w:jc w:val="center"/>
              <w:cnfStyle w:val="100000000000" w:firstRow="1" w:lastRow="0" w:firstColumn="0" w:lastColumn="0" w:oddVBand="0" w:evenVBand="0" w:oddHBand="0" w:evenHBand="0" w:firstRowFirstColumn="0" w:firstRowLastColumn="0" w:lastRowFirstColumn="0" w:lastRowLastColumn="0"/>
            </w:pPr>
            <w:r w:rsidRPr="00F7268C">
              <w:t>Table</w:t>
            </w:r>
          </w:p>
        </w:tc>
        <w:tc>
          <w:tcPr>
            <w:tcW w:w="3389" w:type="dxa"/>
          </w:tcPr>
          <w:p w14:paraId="28ED0E45" w14:textId="792A3755" w:rsidR="00716CD4" w:rsidRPr="00F7268C" w:rsidRDefault="00716CD4" w:rsidP="00716CD4">
            <w:pPr>
              <w:jc w:val="center"/>
              <w:cnfStyle w:val="100000000000" w:firstRow="1" w:lastRow="0" w:firstColumn="0" w:lastColumn="0" w:oddVBand="0" w:evenVBand="0" w:oddHBand="0" w:evenHBand="0" w:firstRowFirstColumn="0" w:firstRowLastColumn="0" w:lastRowFirstColumn="0" w:lastRowLastColumn="0"/>
            </w:pPr>
            <w:r w:rsidRPr="00F7268C">
              <w:t>Field ID</w:t>
            </w:r>
          </w:p>
        </w:tc>
      </w:tr>
      <w:tr w:rsidR="00716CD4" w14:paraId="1EF834F6" w14:textId="3A836EFA" w:rsidTr="00716C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88" w:type="dxa"/>
          </w:tcPr>
          <w:p w14:paraId="7A6E8CBE" w14:textId="18E95141" w:rsidR="00716CD4" w:rsidRPr="00F7268C" w:rsidRDefault="00716CD4" w:rsidP="00716CD4">
            <w:pPr>
              <w:jc w:val="center"/>
              <w:rPr>
                <w:b w:val="0"/>
              </w:rPr>
            </w:pPr>
            <w:r w:rsidRPr="00F7268C">
              <w:rPr>
                <w:b w:val="0"/>
              </w:rPr>
              <w:t>Percentage of Housing Units Occupied by Renters</w:t>
            </w:r>
          </w:p>
        </w:tc>
        <w:tc>
          <w:tcPr>
            <w:tcW w:w="3388" w:type="dxa"/>
          </w:tcPr>
          <w:p w14:paraId="7E1A6076" w14:textId="75B071E1" w:rsidR="00716CD4" w:rsidRDefault="00716CD4" w:rsidP="00716CD4">
            <w:pPr>
              <w:jc w:val="center"/>
              <w:cnfStyle w:val="000000100000" w:firstRow="0" w:lastRow="0" w:firstColumn="0" w:lastColumn="0" w:oddVBand="0" w:evenVBand="0" w:oddHBand="1" w:evenHBand="0" w:firstRowFirstColumn="0" w:firstRowLastColumn="0" w:lastRowFirstColumn="0" w:lastRowLastColumn="0"/>
            </w:pPr>
            <w:r>
              <w:t>Data Profile</w:t>
            </w:r>
          </w:p>
        </w:tc>
        <w:tc>
          <w:tcPr>
            <w:tcW w:w="3389" w:type="dxa"/>
          </w:tcPr>
          <w:p w14:paraId="6FCA95FE" w14:textId="77777777" w:rsidR="00716CD4" w:rsidRDefault="00716CD4" w:rsidP="00716CD4">
            <w:pPr>
              <w:jc w:val="center"/>
              <w:cnfStyle w:val="000000100000" w:firstRow="0" w:lastRow="0" w:firstColumn="0" w:lastColumn="0" w:oddVBand="0" w:evenVBand="0" w:oddHBand="1" w:evenHBand="0" w:firstRowFirstColumn="0" w:firstRowLastColumn="0" w:lastRowFirstColumn="0" w:lastRowLastColumn="0"/>
            </w:pPr>
            <w:r w:rsidRPr="00A466AB">
              <w:t>DP04_0047PE</w:t>
            </w:r>
            <w:r>
              <w:t xml:space="preserve"> (2016),</w:t>
            </w:r>
          </w:p>
          <w:p w14:paraId="54F3906B" w14:textId="0C0301FE" w:rsidR="00716CD4" w:rsidRDefault="00716CD4" w:rsidP="00716CD4">
            <w:pPr>
              <w:jc w:val="center"/>
              <w:cnfStyle w:val="000000100000" w:firstRow="0" w:lastRow="0" w:firstColumn="0" w:lastColumn="0" w:oddVBand="0" w:evenVBand="0" w:oddHBand="1" w:evenHBand="0" w:firstRowFirstColumn="0" w:firstRowLastColumn="0" w:lastRowFirstColumn="0" w:lastRowLastColumn="0"/>
            </w:pPr>
            <w:r w:rsidRPr="00716CD4">
              <w:t>DP04_0046PE</w:t>
            </w:r>
            <w:r>
              <w:t xml:space="preserve"> (2011)</w:t>
            </w:r>
          </w:p>
        </w:tc>
      </w:tr>
      <w:tr w:rsidR="00716CD4" w14:paraId="4DF62C5A" w14:textId="7DF4273D" w:rsidTr="00716CD4">
        <w:trPr>
          <w:jc w:val="center"/>
        </w:trPr>
        <w:tc>
          <w:tcPr>
            <w:cnfStyle w:val="001000000000" w:firstRow="0" w:lastRow="0" w:firstColumn="1" w:lastColumn="0" w:oddVBand="0" w:evenVBand="0" w:oddHBand="0" w:evenHBand="0" w:firstRowFirstColumn="0" w:firstRowLastColumn="0" w:lastRowFirstColumn="0" w:lastRowLastColumn="0"/>
            <w:tcW w:w="3388" w:type="dxa"/>
          </w:tcPr>
          <w:p w14:paraId="33147DE9" w14:textId="2DEB6217" w:rsidR="00716CD4" w:rsidRPr="00F7268C" w:rsidRDefault="00716CD4" w:rsidP="00716CD4">
            <w:pPr>
              <w:jc w:val="center"/>
              <w:rPr>
                <w:b w:val="0"/>
              </w:rPr>
            </w:pPr>
            <w:r w:rsidRPr="00F7268C">
              <w:rPr>
                <w:b w:val="0"/>
              </w:rPr>
              <w:t>Rental Vacancy Rate</w:t>
            </w:r>
          </w:p>
        </w:tc>
        <w:tc>
          <w:tcPr>
            <w:tcW w:w="3388" w:type="dxa"/>
          </w:tcPr>
          <w:p w14:paraId="342F247E" w14:textId="6F40F2DB" w:rsidR="00716CD4" w:rsidRDefault="00716CD4" w:rsidP="00716CD4">
            <w:pPr>
              <w:jc w:val="center"/>
              <w:cnfStyle w:val="000000000000" w:firstRow="0" w:lastRow="0" w:firstColumn="0" w:lastColumn="0" w:oddVBand="0" w:evenVBand="0" w:oddHBand="0" w:evenHBand="0" w:firstRowFirstColumn="0" w:firstRowLastColumn="0" w:lastRowFirstColumn="0" w:lastRowLastColumn="0"/>
            </w:pPr>
            <w:r>
              <w:t>Data Profile</w:t>
            </w:r>
          </w:p>
        </w:tc>
        <w:tc>
          <w:tcPr>
            <w:tcW w:w="3389" w:type="dxa"/>
          </w:tcPr>
          <w:p w14:paraId="0F97CF3E" w14:textId="7B846AD4" w:rsidR="00716CD4" w:rsidRDefault="00716CD4" w:rsidP="00716CD4">
            <w:pPr>
              <w:jc w:val="center"/>
              <w:cnfStyle w:val="000000000000" w:firstRow="0" w:lastRow="0" w:firstColumn="0" w:lastColumn="0" w:oddVBand="0" w:evenVBand="0" w:oddHBand="0" w:evenHBand="0" w:firstRowFirstColumn="0" w:firstRowLastColumn="0" w:lastRowFirstColumn="0" w:lastRowLastColumn="0"/>
            </w:pPr>
            <w:r w:rsidRPr="00A466AB">
              <w:t>DP04_0005E</w:t>
            </w:r>
          </w:p>
        </w:tc>
      </w:tr>
      <w:tr w:rsidR="00716CD4" w14:paraId="591806B1" w14:textId="7885C557" w:rsidTr="00716C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88" w:type="dxa"/>
          </w:tcPr>
          <w:p w14:paraId="781066B0" w14:textId="3098398D" w:rsidR="00716CD4" w:rsidRPr="00F7268C" w:rsidRDefault="00716CD4" w:rsidP="00716CD4">
            <w:pPr>
              <w:jc w:val="center"/>
              <w:rPr>
                <w:b w:val="0"/>
              </w:rPr>
            </w:pPr>
            <w:r w:rsidRPr="00F7268C">
              <w:rPr>
                <w:b w:val="0"/>
              </w:rPr>
              <w:t>Percent Vacant Units</w:t>
            </w:r>
          </w:p>
        </w:tc>
        <w:tc>
          <w:tcPr>
            <w:tcW w:w="3388" w:type="dxa"/>
          </w:tcPr>
          <w:p w14:paraId="284060A8" w14:textId="29B1AC54" w:rsidR="00716CD4" w:rsidRDefault="00716CD4" w:rsidP="00716CD4">
            <w:pPr>
              <w:jc w:val="center"/>
              <w:cnfStyle w:val="000000100000" w:firstRow="0" w:lastRow="0" w:firstColumn="0" w:lastColumn="0" w:oddVBand="0" w:evenVBand="0" w:oddHBand="1" w:evenHBand="0" w:firstRowFirstColumn="0" w:firstRowLastColumn="0" w:lastRowFirstColumn="0" w:lastRowLastColumn="0"/>
            </w:pPr>
            <w:r>
              <w:t>Data Profile</w:t>
            </w:r>
          </w:p>
        </w:tc>
        <w:tc>
          <w:tcPr>
            <w:tcW w:w="3389" w:type="dxa"/>
          </w:tcPr>
          <w:p w14:paraId="48C8C41A" w14:textId="5C28575A" w:rsidR="00716CD4" w:rsidRDefault="00716CD4" w:rsidP="00716CD4">
            <w:pPr>
              <w:jc w:val="center"/>
              <w:cnfStyle w:val="000000100000" w:firstRow="0" w:lastRow="0" w:firstColumn="0" w:lastColumn="0" w:oddVBand="0" w:evenVBand="0" w:oddHBand="1" w:evenHBand="0" w:firstRowFirstColumn="0" w:firstRowLastColumn="0" w:lastRowFirstColumn="0" w:lastRowLastColumn="0"/>
            </w:pPr>
            <w:r w:rsidRPr="00A466AB">
              <w:t>DP04_0003PE</w:t>
            </w:r>
          </w:p>
        </w:tc>
      </w:tr>
      <w:tr w:rsidR="00716CD4" w14:paraId="1A1E30F1" w14:textId="30361FF3" w:rsidTr="00716CD4">
        <w:trPr>
          <w:jc w:val="center"/>
        </w:trPr>
        <w:tc>
          <w:tcPr>
            <w:cnfStyle w:val="001000000000" w:firstRow="0" w:lastRow="0" w:firstColumn="1" w:lastColumn="0" w:oddVBand="0" w:evenVBand="0" w:oddHBand="0" w:evenHBand="0" w:firstRowFirstColumn="0" w:firstRowLastColumn="0" w:lastRowFirstColumn="0" w:lastRowLastColumn="0"/>
            <w:tcW w:w="3388" w:type="dxa"/>
          </w:tcPr>
          <w:p w14:paraId="09C587B3" w14:textId="52296763" w:rsidR="00716CD4" w:rsidRPr="00F7268C" w:rsidRDefault="00716CD4" w:rsidP="00716CD4">
            <w:pPr>
              <w:jc w:val="center"/>
              <w:rPr>
                <w:b w:val="0"/>
              </w:rPr>
            </w:pPr>
            <w:r w:rsidRPr="00F7268C">
              <w:rPr>
                <w:b w:val="0"/>
              </w:rPr>
              <w:t>Poverty Rate (Families)</w:t>
            </w:r>
          </w:p>
        </w:tc>
        <w:tc>
          <w:tcPr>
            <w:tcW w:w="3388" w:type="dxa"/>
          </w:tcPr>
          <w:p w14:paraId="79F397DE" w14:textId="202CD43B" w:rsidR="00716CD4" w:rsidRDefault="00716CD4" w:rsidP="00716CD4">
            <w:pPr>
              <w:jc w:val="center"/>
              <w:cnfStyle w:val="000000000000" w:firstRow="0" w:lastRow="0" w:firstColumn="0" w:lastColumn="0" w:oddVBand="0" w:evenVBand="0" w:oddHBand="0" w:evenHBand="0" w:firstRowFirstColumn="0" w:firstRowLastColumn="0" w:lastRowFirstColumn="0" w:lastRowLastColumn="0"/>
            </w:pPr>
            <w:r>
              <w:t>Data Profile</w:t>
            </w:r>
          </w:p>
        </w:tc>
        <w:tc>
          <w:tcPr>
            <w:tcW w:w="3389" w:type="dxa"/>
          </w:tcPr>
          <w:p w14:paraId="1116288C" w14:textId="60A676B0" w:rsidR="00716CD4" w:rsidRDefault="00716CD4" w:rsidP="00716CD4">
            <w:pPr>
              <w:jc w:val="center"/>
              <w:cnfStyle w:val="000000000000" w:firstRow="0" w:lastRow="0" w:firstColumn="0" w:lastColumn="0" w:oddVBand="0" w:evenVBand="0" w:oddHBand="0" w:evenHBand="0" w:firstRowFirstColumn="0" w:firstRowLastColumn="0" w:lastRowFirstColumn="0" w:lastRowLastColumn="0"/>
            </w:pPr>
            <w:r w:rsidRPr="00A466AB">
              <w:t>DP03_0119PE</w:t>
            </w:r>
          </w:p>
        </w:tc>
      </w:tr>
      <w:tr w:rsidR="00716CD4" w14:paraId="1245254B" w14:textId="77777777" w:rsidTr="00716C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88" w:type="dxa"/>
          </w:tcPr>
          <w:p w14:paraId="7FFC0AA3" w14:textId="7B997D72" w:rsidR="00716CD4" w:rsidRPr="00F7268C" w:rsidRDefault="00716CD4" w:rsidP="00716CD4">
            <w:pPr>
              <w:jc w:val="center"/>
              <w:rPr>
                <w:b w:val="0"/>
              </w:rPr>
            </w:pPr>
            <w:r w:rsidRPr="00F7268C">
              <w:rPr>
                <w:b w:val="0"/>
              </w:rPr>
              <w:t>Poverty Rate (Individuals)</w:t>
            </w:r>
          </w:p>
        </w:tc>
        <w:tc>
          <w:tcPr>
            <w:tcW w:w="3388" w:type="dxa"/>
          </w:tcPr>
          <w:p w14:paraId="03310C34" w14:textId="40AEE598" w:rsidR="00716CD4" w:rsidRDefault="00716CD4" w:rsidP="00716CD4">
            <w:pPr>
              <w:jc w:val="center"/>
              <w:cnfStyle w:val="000000100000" w:firstRow="0" w:lastRow="0" w:firstColumn="0" w:lastColumn="0" w:oddVBand="0" w:evenVBand="0" w:oddHBand="1" w:evenHBand="0" w:firstRowFirstColumn="0" w:firstRowLastColumn="0" w:lastRowFirstColumn="0" w:lastRowLastColumn="0"/>
            </w:pPr>
            <w:r>
              <w:t>Data Profile</w:t>
            </w:r>
          </w:p>
        </w:tc>
        <w:tc>
          <w:tcPr>
            <w:tcW w:w="3389" w:type="dxa"/>
          </w:tcPr>
          <w:p w14:paraId="0BADCA2F" w14:textId="033E1E28" w:rsidR="00716CD4" w:rsidRPr="00A466AB" w:rsidRDefault="00716CD4" w:rsidP="00716CD4">
            <w:pPr>
              <w:jc w:val="center"/>
              <w:cnfStyle w:val="000000100000" w:firstRow="0" w:lastRow="0" w:firstColumn="0" w:lastColumn="0" w:oddVBand="0" w:evenVBand="0" w:oddHBand="1" w:evenHBand="0" w:firstRowFirstColumn="0" w:firstRowLastColumn="0" w:lastRowFirstColumn="0" w:lastRowLastColumn="0"/>
            </w:pPr>
            <w:r w:rsidRPr="00A466AB">
              <w:t>DP03_0128PE</w:t>
            </w:r>
          </w:p>
        </w:tc>
      </w:tr>
      <w:tr w:rsidR="00716CD4" w14:paraId="1B30E31F" w14:textId="3A0097A2" w:rsidTr="00716CD4">
        <w:trPr>
          <w:jc w:val="center"/>
        </w:trPr>
        <w:tc>
          <w:tcPr>
            <w:cnfStyle w:val="001000000000" w:firstRow="0" w:lastRow="0" w:firstColumn="1" w:lastColumn="0" w:oddVBand="0" w:evenVBand="0" w:oddHBand="0" w:evenHBand="0" w:firstRowFirstColumn="0" w:firstRowLastColumn="0" w:lastRowFirstColumn="0" w:lastRowLastColumn="0"/>
            <w:tcW w:w="3388" w:type="dxa"/>
          </w:tcPr>
          <w:p w14:paraId="4FD39113" w14:textId="6FAB104D" w:rsidR="00716CD4" w:rsidRPr="00F7268C" w:rsidRDefault="00716CD4" w:rsidP="00716CD4">
            <w:pPr>
              <w:jc w:val="center"/>
              <w:rPr>
                <w:b w:val="0"/>
              </w:rPr>
            </w:pPr>
            <w:r w:rsidRPr="00F7268C">
              <w:rPr>
                <w:b w:val="0"/>
              </w:rPr>
              <w:t>Median Household Income</w:t>
            </w:r>
          </w:p>
        </w:tc>
        <w:tc>
          <w:tcPr>
            <w:tcW w:w="3388" w:type="dxa"/>
          </w:tcPr>
          <w:p w14:paraId="02716271" w14:textId="75EEED99" w:rsidR="00716CD4" w:rsidRDefault="00716CD4" w:rsidP="00716CD4">
            <w:pPr>
              <w:jc w:val="center"/>
              <w:cnfStyle w:val="000000000000" w:firstRow="0" w:lastRow="0" w:firstColumn="0" w:lastColumn="0" w:oddVBand="0" w:evenVBand="0" w:oddHBand="0" w:evenHBand="0" w:firstRowFirstColumn="0" w:firstRowLastColumn="0" w:lastRowFirstColumn="0" w:lastRowLastColumn="0"/>
            </w:pPr>
            <w:r>
              <w:t>Data Profile</w:t>
            </w:r>
          </w:p>
        </w:tc>
        <w:tc>
          <w:tcPr>
            <w:tcW w:w="3389" w:type="dxa"/>
          </w:tcPr>
          <w:p w14:paraId="52DA490A" w14:textId="5A8786EF" w:rsidR="00716CD4" w:rsidRDefault="00716CD4" w:rsidP="00716CD4">
            <w:pPr>
              <w:jc w:val="center"/>
              <w:cnfStyle w:val="000000000000" w:firstRow="0" w:lastRow="0" w:firstColumn="0" w:lastColumn="0" w:oddVBand="0" w:evenVBand="0" w:oddHBand="0" w:evenHBand="0" w:firstRowFirstColumn="0" w:firstRowLastColumn="0" w:lastRowFirstColumn="0" w:lastRowLastColumn="0"/>
            </w:pPr>
            <w:r w:rsidRPr="00A466AB">
              <w:t>DP03_0062E</w:t>
            </w:r>
          </w:p>
        </w:tc>
      </w:tr>
      <w:tr w:rsidR="00716CD4" w14:paraId="6FD4F59B" w14:textId="1F0D5330" w:rsidTr="00716C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88" w:type="dxa"/>
          </w:tcPr>
          <w:p w14:paraId="3D85E89D" w14:textId="69881B56" w:rsidR="00716CD4" w:rsidRPr="00F7268C" w:rsidRDefault="00716CD4" w:rsidP="00716CD4">
            <w:pPr>
              <w:jc w:val="center"/>
              <w:rPr>
                <w:b w:val="0"/>
              </w:rPr>
            </w:pPr>
            <w:r w:rsidRPr="00F7268C">
              <w:rPr>
                <w:b w:val="0"/>
              </w:rPr>
              <w:t>Percentage of Individuals with a Bachelor’s Degree or Higher</w:t>
            </w:r>
          </w:p>
        </w:tc>
        <w:tc>
          <w:tcPr>
            <w:tcW w:w="3388" w:type="dxa"/>
          </w:tcPr>
          <w:p w14:paraId="5539AC65" w14:textId="6E4B0EFD" w:rsidR="00716CD4" w:rsidRDefault="00716CD4" w:rsidP="00716CD4">
            <w:pPr>
              <w:jc w:val="center"/>
              <w:cnfStyle w:val="000000100000" w:firstRow="0" w:lastRow="0" w:firstColumn="0" w:lastColumn="0" w:oddVBand="0" w:evenVBand="0" w:oddHBand="1" w:evenHBand="0" w:firstRowFirstColumn="0" w:firstRowLastColumn="0" w:lastRowFirstColumn="0" w:lastRowLastColumn="0"/>
            </w:pPr>
            <w:r>
              <w:t>Data Profile</w:t>
            </w:r>
          </w:p>
        </w:tc>
        <w:tc>
          <w:tcPr>
            <w:tcW w:w="3389" w:type="dxa"/>
          </w:tcPr>
          <w:p w14:paraId="209784F9" w14:textId="461DC6F1" w:rsidR="00716CD4" w:rsidRDefault="00716CD4" w:rsidP="00716CD4">
            <w:pPr>
              <w:jc w:val="center"/>
              <w:cnfStyle w:val="000000100000" w:firstRow="0" w:lastRow="0" w:firstColumn="0" w:lastColumn="0" w:oddVBand="0" w:evenVBand="0" w:oddHBand="1" w:evenHBand="0" w:firstRowFirstColumn="0" w:firstRowLastColumn="0" w:lastRowFirstColumn="0" w:lastRowLastColumn="0"/>
            </w:pPr>
            <w:r w:rsidRPr="00A466AB">
              <w:t>DP02_0067PE</w:t>
            </w:r>
          </w:p>
        </w:tc>
      </w:tr>
      <w:tr w:rsidR="00EE5AC9" w14:paraId="5CC7A6B9" w14:textId="77777777" w:rsidTr="00716CD4">
        <w:trPr>
          <w:jc w:val="center"/>
        </w:trPr>
        <w:tc>
          <w:tcPr>
            <w:cnfStyle w:val="001000000000" w:firstRow="0" w:lastRow="0" w:firstColumn="1" w:lastColumn="0" w:oddVBand="0" w:evenVBand="0" w:oddHBand="0" w:evenHBand="0" w:firstRowFirstColumn="0" w:firstRowLastColumn="0" w:lastRowFirstColumn="0" w:lastRowLastColumn="0"/>
            <w:tcW w:w="3388" w:type="dxa"/>
          </w:tcPr>
          <w:p w14:paraId="5CB60B0B" w14:textId="20771FA0" w:rsidR="00EE5AC9" w:rsidRPr="00EE5AC9" w:rsidRDefault="00EE5AC9" w:rsidP="00EE5AC9">
            <w:pPr>
              <w:jc w:val="center"/>
              <w:rPr>
                <w:b w:val="0"/>
              </w:rPr>
            </w:pPr>
            <w:r>
              <w:rPr>
                <w:b w:val="0"/>
              </w:rPr>
              <w:t>Unemployment Rate</w:t>
            </w:r>
          </w:p>
        </w:tc>
        <w:tc>
          <w:tcPr>
            <w:tcW w:w="3388" w:type="dxa"/>
          </w:tcPr>
          <w:p w14:paraId="4ED27C36" w14:textId="04111851" w:rsidR="00EE5AC9" w:rsidRDefault="00EE5AC9" w:rsidP="00EE5AC9">
            <w:pPr>
              <w:jc w:val="center"/>
              <w:cnfStyle w:val="000000000000" w:firstRow="0" w:lastRow="0" w:firstColumn="0" w:lastColumn="0" w:oddVBand="0" w:evenVBand="0" w:oddHBand="0" w:evenHBand="0" w:firstRowFirstColumn="0" w:firstRowLastColumn="0" w:lastRowFirstColumn="0" w:lastRowLastColumn="0"/>
            </w:pPr>
            <w:r>
              <w:t>Data Profile</w:t>
            </w:r>
          </w:p>
        </w:tc>
        <w:tc>
          <w:tcPr>
            <w:tcW w:w="3389" w:type="dxa"/>
          </w:tcPr>
          <w:p w14:paraId="7BF40DF0" w14:textId="5CE8F0E5" w:rsidR="00EE5AC9" w:rsidRPr="00A466AB" w:rsidRDefault="00EE5AC9" w:rsidP="00EE5AC9">
            <w:pPr>
              <w:jc w:val="center"/>
              <w:cnfStyle w:val="000000000000" w:firstRow="0" w:lastRow="0" w:firstColumn="0" w:lastColumn="0" w:oddVBand="0" w:evenVBand="0" w:oddHBand="0" w:evenHBand="0" w:firstRowFirstColumn="0" w:firstRowLastColumn="0" w:lastRowFirstColumn="0" w:lastRowLastColumn="0"/>
            </w:pPr>
            <w:r w:rsidRPr="00EE5AC9">
              <w:t>DP03_0009PE</w:t>
            </w:r>
          </w:p>
        </w:tc>
      </w:tr>
      <w:tr w:rsidR="00EE5AC9" w14:paraId="1B203746" w14:textId="0D2C5D15" w:rsidTr="00716C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88" w:type="dxa"/>
          </w:tcPr>
          <w:p w14:paraId="57DF4181" w14:textId="3E856F68" w:rsidR="00EE5AC9" w:rsidRPr="00F7268C" w:rsidRDefault="00EE5AC9" w:rsidP="00EE5AC9">
            <w:pPr>
              <w:jc w:val="center"/>
              <w:rPr>
                <w:b w:val="0"/>
              </w:rPr>
            </w:pPr>
            <w:r w:rsidRPr="00F7268C">
              <w:rPr>
                <w:b w:val="0"/>
              </w:rPr>
              <w:t>Total Population</w:t>
            </w:r>
          </w:p>
        </w:tc>
        <w:tc>
          <w:tcPr>
            <w:tcW w:w="3388" w:type="dxa"/>
          </w:tcPr>
          <w:p w14:paraId="2AE0D7FE" w14:textId="71DD90F3" w:rsidR="00EE5AC9" w:rsidRDefault="00EE5AC9" w:rsidP="00EE5AC9">
            <w:pPr>
              <w:jc w:val="center"/>
              <w:cnfStyle w:val="000000100000" w:firstRow="0" w:lastRow="0" w:firstColumn="0" w:lastColumn="0" w:oddVBand="0" w:evenVBand="0" w:oddHBand="1" w:evenHBand="0" w:firstRowFirstColumn="0" w:firstRowLastColumn="0" w:lastRowFirstColumn="0" w:lastRowLastColumn="0"/>
            </w:pPr>
            <w:r>
              <w:t>Data Profile</w:t>
            </w:r>
          </w:p>
        </w:tc>
        <w:tc>
          <w:tcPr>
            <w:tcW w:w="3389" w:type="dxa"/>
          </w:tcPr>
          <w:p w14:paraId="0ECAF4DB" w14:textId="7876ECB1" w:rsidR="00EE5AC9" w:rsidRPr="00A466AB" w:rsidRDefault="00EE5AC9" w:rsidP="00EE5AC9">
            <w:pPr>
              <w:jc w:val="center"/>
              <w:cnfStyle w:val="000000100000" w:firstRow="0" w:lastRow="0" w:firstColumn="0" w:lastColumn="0" w:oddVBand="0" w:evenVBand="0" w:oddHBand="1" w:evenHBand="0" w:firstRowFirstColumn="0" w:firstRowLastColumn="0" w:lastRowFirstColumn="0" w:lastRowLastColumn="0"/>
              <w:rPr>
                <w:highlight w:val="yellow"/>
              </w:rPr>
            </w:pPr>
            <w:r w:rsidRPr="00EE5AC9">
              <w:t>DP02_0086</w:t>
            </w:r>
            <w:r>
              <w:t>E</w:t>
            </w:r>
          </w:p>
        </w:tc>
      </w:tr>
      <w:tr w:rsidR="00EE5AC9" w14:paraId="1F184628" w14:textId="48E7F08E" w:rsidTr="00716CD4">
        <w:trPr>
          <w:jc w:val="center"/>
        </w:trPr>
        <w:tc>
          <w:tcPr>
            <w:cnfStyle w:val="001000000000" w:firstRow="0" w:lastRow="0" w:firstColumn="1" w:lastColumn="0" w:oddVBand="0" w:evenVBand="0" w:oddHBand="0" w:evenHBand="0" w:firstRowFirstColumn="0" w:firstRowLastColumn="0" w:lastRowFirstColumn="0" w:lastRowLastColumn="0"/>
            <w:tcW w:w="3388" w:type="dxa"/>
          </w:tcPr>
          <w:p w14:paraId="3DF5375F" w14:textId="5A5A622C" w:rsidR="00EE5AC9" w:rsidRPr="00F7268C" w:rsidRDefault="00EE5AC9" w:rsidP="00EE5AC9">
            <w:pPr>
              <w:jc w:val="center"/>
              <w:rPr>
                <w:b w:val="0"/>
              </w:rPr>
            </w:pPr>
            <w:r w:rsidRPr="00F7268C">
              <w:rPr>
                <w:b w:val="0"/>
              </w:rPr>
              <w:t>Median Gross Rent</w:t>
            </w:r>
          </w:p>
        </w:tc>
        <w:tc>
          <w:tcPr>
            <w:tcW w:w="3388" w:type="dxa"/>
          </w:tcPr>
          <w:p w14:paraId="035A012C" w14:textId="08F123C6" w:rsidR="00EE5AC9" w:rsidRDefault="00EE5AC9" w:rsidP="00EE5AC9">
            <w:pPr>
              <w:jc w:val="center"/>
              <w:cnfStyle w:val="000000000000" w:firstRow="0" w:lastRow="0" w:firstColumn="0" w:lastColumn="0" w:oddVBand="0" w:evenVBand="0" w:oddHBand="0" w:evenHBand="0" w:firstRowFirstColumn="0" w:firstRowLastColumn="0" w:lastRowFirstColumn="0" w:lastRowLastColumn="0"/>
            </w:pPr>
            <w:r>
              <w:t>Detail</w:t>
            </w:r>
          </w:p>
        </w:tc>
        <w:tc>
          <w:tcPr>
            <w:tcW w:w="3389" w:type="dxa"/>
          </w:tcPr>
          <w:p w14:paraId="2EEB974E" w14:textId="4C61CB1A" w:rsidR="00EE5AC9" w:rsidRDefault="00EE5AC9" w:rsidP="00EE5AC9">
            <w:pPr>
              <w:jc w:val="center"/>
              <w:cnfStyle w:val="000000000000" w:firstRow="0" w:lastRow="0" w:firstColumn="0" w:lastColumn="0" w:oddVBand="0" w:evenVBand="0" w:oddHBand="0" w:evenHBand="0" w:firstRowFirstColumn="0" w:firstRowLastColumn="0" w:lastRowFirstColumn="0" w:lastRowLastColumn="0"/>
            </w:pPr>
            <w:r w:rsidRPr="00716CD4">
              <w:t>B25064_001E</w:t>
            </w:r>
          </w:p>
        </w:tc>
      </w:tr>
      <w:tr w:rsidR="00EE5AC9" w14:paraId="0FF7C424" w14:textId="0FBAAB09" w:rsidTr="00716C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88" w:type="dxa"/>
          </w:tcPr>
          <w:p w14:paraId="01483691" w14:textId="28E2765A" w:rsidR="00EE5AC9" w:rsidRPr="00F7268C" w:rsidRDefault="00EE5AC9" w:rsidP="00EE5AC9">
            <w:pPr>
              <w:jc w:val="center"/>
              <w:rPr>
                <w:b w:val="0"/>
              </w:rPr>
            </w:pPr>
            <w:r w:rsidRPr="00F7268C">
              <w:rPr>
                <w:b w:val="0"/>
              </w:rPr>
              <w:t>Median Property Value</w:t>
            </w:r>
          </w:p>
        </w:tc>
        <w:tc>
          <w:tcPr>
            <w:tcW w:w="3388" w:type="dxa"/>
          </w:tcPr>
          <w:p w14:paraId="4A61F779" w14:textId="76EDA7A0" w:rsidR="00EE5AC9" w:rsidRDefault="00EE5AC9" w:rsidP="00EE5AC9">
            <w:pPr>
              <w:jc w:val="center"/>
              <w:cnfStyle w:val="000000100000" w:firstRow="0" w:lastRow="0" w:firstColumn="0" w:lastColumn="0" w:oddVBand="0" w:evenVBand="0" w:oddHBand="1" w:evenHBand="0" w:firstRowFirstColumn="0" w:firstRowLastColumn="0" w:lastRowFirstColumn="0" w:lastRowLastColumn="0"/>
            </w:pPr>
            <w:r>
              <w:t>Detail</w:t>
            </w:r>
          </w:p>
        </w:tc>
        <w:tc>
          <w:tcPr>
            <w:tcW w:w="3389" w:type="dxa"/>
          </w:tcPr>
          <w:p w14:paraId="2B5FA989" w14:textId="5AD92CF5" w:rsidR="00EE5AC9" w:rsidRDefault="00EE5AC9" w:rsidP="00EE5AC9">
            <w:pPr>
              <w:jc w:val="center"/>
              <w:cnfStyle w:val="000000100000" w:firstRow="0" w:lastRow="0" w:firstColumn="0" w:lastColumn="0" w:oddVBand="0" w:evenVBand="0" w:oddHBand="1" w:evenHBand="0" w:firstRowFirstColumn="0" w:firstRowLastColumn="0" w:lastRowFirstColumn="0" w:lastRowLastColumn="0"/>
            </w:pPr>
            <w:r w:rsidRPr="00716CD4">
              <w:t>B25097_001E</w:t>
            </w:r>
          </w:p>
        </w:tc>
      </w:tr>
    </w:tbl>
    <w:p w14:paraId="23CE87CC" w14:textId="08AD28A9" w:rsidR="00F7268C" w:rsidRDefault="00716CD4" w:rsidP="00716CD4">
      <w:pPr>
        <w:spacing w:before="120"/>
        <w:rPr>
          <w:i/>
        </w:rPr>
      </w:pPr>
      <w:r w:rsidRPr="00716CD4">
        <w:rPr>
          <w:i/>
        </w:rPr>
        <w:t>*</w:t>
      </w:r>
      <w:r>
        <w:rPr>
          <w:i/>
        </w:rPr>
        <w:t xml:space="preserve"> </w:t>
      </w:r>
      <w:r w:rsidRPr="00716CD4">
        <w:rPr>
          <w:i/>
        </w:rPr>
        <w:t>Note:</w:t>
      </w:r>
      <w:r>
        <w:rPr>
          <w:i/>
        </w:rPr>
        <w:t xml:space="preserve"> Field names occasionally change between vintages (as was the case for the Percentage of Housing Units Occupied by Renters)</w:t>
      </w:r>
      <w:r w:rsidR="00F7268C">
        <w:rPr>
          <w:i/>
        </w:rPr>
        <w:t>.</w:t>
      </w:r>
    </w:p>
    <w:p w14:paraId="75FD87E6" w14:textId="7033D268" w:rsidR="00F7268C" w:rsidRDefault="00F7268C" w:rsidP="00716CD4">
      <w:pPr>
        <w:spacing w:before="120"/>
      </w:pPr>
      <w:r>
        <w:t>A further indicator was computed using raw ACS data: Percent</w:t>
      </w:r>
      <w:r w:rsidR="00400E84">
        <w:t>age</w:t>
      </w:r>
      <w:r>
        <w:t xml:space="preserve"> of Rents Offered that Exceed 30% of Area Household Income. This indicator was assembled using six fields in the ACS 5 Year estimates. </w:t>
      </w:r>
    </w:p>
    <w:tbl>
      <w:tblPr>
        <w:tblStyle w:val="GridTable4-Accent1"/>
        <w:tblW w:w="10165" w:type="dxa"/>
        <w:jc w:val="center"/>
        <w:tblLook w:val="04A0" w:firstRow="1" w:lastRow="0" w:firstColumn="1" w:lastColumn="0" w:noHBand="0" w:noVBand="1"/>
      </w:tblPr>
      <w:tblGrid>
        <w:gridCol w:w="3388"/>
        <w:gridCol w:w="3388"/>
        <w:gridCol w:w="3389"/>
      </w:tblGrid>
      <w:tr w:rsidR="00F7268C" w14:paraId="5CD38A5D" w14:textId="77777777" w:rsidTr="001F27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88" w:type="dxa"/>
          </w:tcPr>
          <w:p w14:paraId="09BE24A7" w14:textId="77777777" w:rsidR="00F7268C" w:rsidRPr="00F7268C" w:rsidRDefault="00F7268C" w:rsidP="001F27C8">
            <w:pPr>
              <w:jc w:val="center"/>
            </w:pPr>
            <w:r w:rsidRPr="00F7268C">
              <w:t>Name</w:t>
            </w:r>
          </w:p>
        </w:tc>
        <w:tc>
          <w:tcPr>
            <w:tcW w:w="3388" w:type="dxa"/>
          </w:tcPr>
          <w:p w14:paraId="5E90D2A3" w14:textId="77777777" w:rsidR="00F7268C" w:rsidRPr="00F7268C" w:rsidRDefault="00F7268C" w:rsidP="001F27C8">
            <w:pPr>
              <w:ind w:left="720" w:hanging="720"/>
              <w:jc w:val="center"/>
              <w:cnfStyle w:val="100000000000" w:firstRow="1" w:lastRow="0" w:firstColumn="0" w:lastColumn="0" w:oddVBand="0" w:evenVBand="0" w:oddHBand="0" w:evenHBand="0" w:firstRowFirstColumn="0" w:firstRowLastColumn="0" w:lastRowFirstColumn="0" w:lastRowLastColumn="0"/>
            </w:pPr>
            <w:r w:rsidRPr="00F7268C">
              <w:t>Table</w:t>
            </w:r>
          </w:p>
        </w:tc>
        <w:tc>
          <w:tcPr>
            <w:tcW w:w="3389" w:type="dxa"/>
          </w:tcPr>
          <w:p w14:paraId="74EDAB5A" w14:textId="77777777" w:rsidR="00F7268C" w:rsidRPr="00F7268C" w:rsidRDefault="00F7268C" w:rsidP="001F27C8">
            <w:pPr>
              <w:jc w:val="center"/>
              <w:cnfStyle w:val="100000000000" w:firstRow="1" w:lastRow="0" w:firstColumn="0" w:lastColumn="0" w:oddVBand="0" w:evenVBand="0" w:oddHBand="0" w:evenHBand="0" w:firstRowFirstColumn="0" w:firstRowLastColumn="0" w:lastRowFirstColumn="0" w:lastRowLastColumn="0"/>
            </w:pPr>
            <w:r w:rsidRPr="00F7268C">
              <w:t>Field ID (2012-2016)</w:t>
            </w:r>
          </w:p>
        </w:tc>
      </w:tr>
      <w:tr w:rsidR="00F7268C" w14:paraId="693EC011" w14:textId="77777777" w:rsidTr="001F27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88" w:type="dxa"/>
          </w:tcPr>
          <w:p w14:paraId="3A6FF690" w14:textId="2DD2E857" w:rsidR="00F7268C" w:rsidRPr="00F7268C" w:rsidRDefault="00F7268C" w:rsidP="00F7268C">
            <w:pPr>
              <w:jc w:val="center"/>
              <w:rPr>
                <w:b w:val="0"/>
              </w:rPr>
            </w:pPr>
            <w:r>
              <w:rPr>
                <w:b w:val="0"/>
              </w:rPr>
              <w:t>Total Number of Rents Offered</w:t>
            </w:r>
          </w:p>
        </w:tc>
        <w:tc>
          <w:tcPr>
            <w:tcW w:w="3388" w:type="dxa"/>
          </w:tcPr>
          <w:p w14:paraId="7452D7EA" w14:textId="0E717BA1" w:rsidR="00F7268C" w:rsidRDefault="00F7268C" w:rsidP="001F27C8">
            <w:pPr>
              <w:jc w:val="center"/>
              <w:cnfStyle w:val="000000100000" w:firstRow="0" w:lastRow="0" w:firstColumn="0" w:lastColumn="0" w:oddVBand="0" w:evenVBand="0" w:oddHBand="1" w:evenHBand="0" w:firstRowFirstColumn="0" w:firstRowLastColumn="0" w:lastRowFirstColumn="0" w:lastRowLastColumn="0"/>
            </w:pPr>
            <w:r>
              <w:t>Detail</w:t>
            </w:r>
          </w:p>
        </w:tc>
        <w:tc>
          <w:tcPr>
            <w:tcW w:w="3389" w:type="dxa"/>
          </w:tcPr>
          <w:p w14:paraId="00D79368" w14:textId="1CE0F060" w:rsidR="00F7268C" w:rsidRDefault="00F7268C" w:rsidP="001F27C8">
            <w:pPr>
              <w:jc w:val="center"/>
              <w:cnfStyle w:val="000000100000" w:firstRow="0" w:lastRow="0" w:firstColumn="0" w:lastColumn="0" w:oddVBand="0" w:evenVBand="0" w:oddHBand="1" w:evenHBand="0" w:firstRowFirstColumn="0" w:firstRowLastColumn="0" w:lastRowFirstColumn="0" w:lastRowLastColumn="0"/>
            </w:pPr>
            <w:r w:rsidRPr="00F7268C">
              <w:t>B25070_001E</w:t>
            </w:r>
          </w:p>
        </w:tc>
      </w:tr>
      <w:tr w:rsidR="00F7268C" w14:paraId="7D538EB5" w14:textId="77777777" w:rsidTr="001F27C8">
        <w:trPr>
          <w:jc w:val="center"/>
        </w:trPr>
        <w:tc>
          <w:tcPr>
            <w:cnfStyle w:val="001000000000" w:firstRow="0" w:lastRow="0" w:firstColumn="1" w:lastColumn="0" w:oddVBand="0" w:evenVBand="0" w:oddHBand="0" w:evenHBand="0" w:firstRowFirstColumn="0" w:firstRowLastColumn="0" w:lastRowFirstColumn="0" w:lastRowLastColumn="0"/>
            <w:tcW w:w="3388" w:type="dxa"/>
          </w:tcPr>
          <w:p w14:paraId="275B2A5D" w14:textId="2652B139" w:rsidR="00F7268C" w:rsidRPr="00F7268C" w:rsidRDefault="00F7268C" w:rsidP="001F27C8">
            <w:pPr>
              <w:jc w:val="center"/>
              <w:rPr>
                <w:b w:val="0"/>
              </w:rPr>
            </w:pPr>
            <w:r>
              <w:rPr>
                <w:b w:val="0"/>
              </w:rPr>
              <w:t>Number of Rents between 30% and 34.9% of HI</w:t>
            </w:r>
          </w:p>
        </w:tc>
        <w:tc>
          <w:tcPr>
            <w:tcW w:w="3388" w:type="dxa"/>
          </w:tcPr>
          <w:p w14:paraId="6F74FD16" w14:textId="498FB247" w:rsidR="00F7268C" w:rsidRDefault="00F7268C" w:rsidP="001F27C8">
            <w:pPr>
              <w:jc w:val="center"/>
              <w:cnfStyle w:val="000000000000" w:firstRow="0" w:lastRow="0" w:firstColumn="0" w:lastColumn="0" w:oddVBand="0" w:evenVBand="0" w:oddHBand="0" w:evenHBand="0" w:firstRowFirstColumn="0" w:firstRowLastColumn="0" w:lastRowFirstColumn="0" w:lastRowLastColumn="0"/>
            </w:pPr>
            <w:r>
              <w:t>Detail</w:t>
            </w:r>
          </w:p>
        </w:tc>
        <w:tc>
          <w:tcPr>
            <w:tcW w:w="3389" w:type="dxa"/>
          </w:tcPr>
          <w:p w14:paraId="761E23E2" w14:textId="3BD04F66" w:rsidR="00F7268C" w:rsidRDefault="00F7268C" w:rsidP="001F27C8">
            <w:pPr>
              <w:jc w:val="center"/>
              <w:cnfStyle w:val="000000000000" w:firstRow="0" w:lastRow="0" w:firstColumn="0" w:lastColumn="0" w:oddVBand="0" w:evenVBand="0" w:oddHBand="0" w:evenHBand="0" w:firstRowFirstColumn="0" w:firstRowLastColumn="0" w:lastRowFirstColumn="0" w:lastRowLastColumn="0"/>
            </w:pPr>
            <w:r w:rsidRPr="00F7268C">
              <w:t>B25070_007E</w:t>
            </w:r>
          </w:p>
        </w:tc>
      </w:tr>
      <w:tr w:rsidR="00F7268C" w14:paraId="5DAC4726" w14:textId="77777777" w:rsidTr="001F27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88" w:type="dxa"/>
          </w:tcPr>
          <w:p w14:paraId="0996AE78" w14:textId="31BDE0E6" w:rsidR="00F7268C" w:rsidRPr="00F7268C" w:rsidRDefault="00F7268C" w:rsidP="001F27C8">
            <w:pPr>
              <w:jc w:val="center"/>
              <w:rPr>
                <w:b w:val="0"/>
              </w:rPr>
            </w:pPr>
            <w:r>
              <w:rPr>
                <w:b w:val="0"/>
              </w:rPr>
              <w:t>Number of Rents between 35% and 39.9% of HI</w:t>
            </w:r>
          </w:p>
        </w:tc>
        <w:tc>
          <w:tcPr>
            <w:tcW w:w="3388" w:type="dxa"/>
          </w:tcPr>
          <w:p w14:paraId="74AFD6AE" w14:textId="154A4598" w:rsidR="00F7268C" w:rsidRDefault="00F7268C" w:rsidP="001F27C8">
            <w:pPr>
              <w:jc w:val="center"/>
              <w:cnfStyle w:val="000000100000" w:firstRow="0" w:lastRow="0" w:firstColumn="0" w:lastColumn="0" w:oddVBand="0" w:evenVBand="0" w:oddHBand="1" w:evenHBand="0" w:firstRowFirstColumn="0" w:firstRowLastColumn="0" w:lastRowFirstColumn="0" w:lastRowLastColumn="0"/>
            </w:pPr>
            <w:r>
              <w:t>Detail</w:t>
            </w:r>
          </w:p>
        </w:tc>
        <w:tc>
          <w:tcPr>
            <w:tcW w:w="3389" w:type="dxa"/>
          </w:tcPr>
          <w:p w14:paraId="18CBCE0B" w14:textId="0A4CB4AC" w:rsidR="00F7268C" w:rsidRDefault="00F7268C" w:rsidP="001F27C8">
            <w:pPr>
              <w:jc w:val="center"/>
              <w:cnfStyle w:val="000000100000" w:firstRow="0" w:lastRow="0" w:firstColumn="0" w:lastColumn="0" w:oddVBand="0" w:evenVBand="0" w:oddHBand="1" w:evenHBand="0" w:firstRowFirstColumn="0" w:firstRowLastColumn="0" w:lastRowFirstColumn="0" w:lastRowLastColumn="0"/>
            </w:pPr>
            <w:r w:rsidRPr="00F7268C">
              <w:t>B25070_008E</w:t>
            </w:r>
          </w:p>
        </w:tc>
      </w:tr>
      <w:tr w:rsidR="00F7268C" w14:paraId="132A9817" w14:textId="77777777" w:rsidTr="001F27C8">
        <w:trPr>
          <w:jc w:val="center"/>
        </w:trPr>
        <w:tc>
          <w:tcPr>
            <w:cnfStyle w:val="001000000000" w:firstRow="0" w:lastRow="0" w:firstColumn="1" w:lastColumn="0" w:oddVBand="0" w:evenVBand="0" w:oddHBand="0" w:evenHBand="0" w:firstRowFirstColumn="0" w:firstRowLastColumn="0" w:lastRowFirstColumn="0" w:lastRowLastColumn="0"/>
            <w:tcW w:w="3388" w:type="dxa"/>
          </w:tcPr>
          <w:p w14:paraId="35325DC3" w14:textId="730E2783" w:rsidR="00F7268C" w:rsidRPr="00F7268C" w:rsidRDefault="00F7268C" w:rsidP="001F27C8">
            <w:pPr>
              <w:jc w:val="center"/>
              <w:rPr>
                <w:b w:val="0"/>
              </w:rPr>
            </w:pPr>
            <w:r>
              <w:rPr>
                <w:b w:val="0"/>
              </w:rPr>
              <w:t>Number of Rents between 40% and 49.9% of HI</w:t>
            </w:r>
          </w:p>
        </w:tc>
        <w:tc>
          <w:tcPr>
            <w:tcW w:w="3388" w:type="dxa"/>
          </w:tcPr>
          <w:p w14:paraId="6843DD53" w14:textId="46788E85" w:rsidR="00F7268C" w:rsidRDefault="00F7268C" w:rsidP="001F27C8">
            <w:pPr>
              <w:jc w:val="center"/>
              <w:cnfStyle w:val="000000000000" w:firstRow="0" w:lastRow="0" w:firstColumn="0" w:lastColumn="0" w:oddVBand="0" w:evenVBand="0" w:oddHBand="0" w:evenHBand="0" w:firstRowFirstColumn="0" w:firstRowLastColumn="0" w:lastRowFirstColumn="0" w:lastRowLastColumn="0"/>
            </w:pPr>
            <w:r>
              <w:t>Detail</w:t>
            </w:r>
          </w:p>
        </w:tc>
        <w:tc>
          <w:tcPr>
            <w:tcW w:w="3389" w:type="dxa"/>
          </w:tcPr>
          <w:p w14:paraId="0E8EB10A" w14:textId="02C47609" w:rsidR="00F7268C" w:rsidRDefault="00F7268C" w:rsidP="001F27C8">
            <w:pPr>
              <w:jc w:val="center"/>
              <w:cnfStyle w:val="000000000000" w:firstRow="0" w:lastRow="0" w:firstColumn="0" w:lastColumn="0" w:oddVBand="0" w:evenVBand="0" w:oddHBand="0" w:evenHBand="0" w:firstRowFirstColumn="0" w:firstRowLastColumn="0" w:lastRowFirstColumn="0" w:lastRowLastColumn="0"/>
            </w:pPr>
            <w:r w:rsidRPr="00F7268C">
              <w:t>B25070_009E</w:t>
            </w:r>
          </w:p>
        </w:tc>
      </w:tr>
      <w:tr w:rsidR="00F7268C" w14:paraId="5A1F5FA2" w14:textId="77777777" w:rsidTr="001F27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88" w:type="dxa"/>
          </w:tcPr>
          <w:p w14:paraId="64195A75" w14:textId="3436B84D" w:rsidR="00F7268C" w:rsidRPr="00F7268C" w:rsidRDefault="00F7268C" w:rsidP="001F27C8">
            <w:pPr>
              <w:jc w:val="center"/>
              <w:rPr>
                <w:b w:val="0"/>
              </w:rPr>
            </w:pPr>
            <w:r>
              <w:rPr>
                <w:b w:val="0"/>
              </w:rPr>
              <w:t>Number of Rents 50% of HI or Higher</w:t>
            </w:r>
          </w:p>
        </w:tc>
        <w:tc>
          <w:tcPr>
            <w:tcW w:w="3388" w:type="dxa"/>
          </w:tcPr>
          <w:p w14:paraId="3BB02BDF" w14:textId="1BBE6F7B" w:rsidR="00F7268C" w:rsidRDefault="00F7268C" w:rsidP="001F27C8">
            <w:pPr>
              <w:jc w:val="center"/>
              <w:cnfStyle w:val="000000100000" w:firstRow="0" w:lastRow="0" w:firstColumn="0" w:lastColumn="0" w:oddVBand="0" w:evenVBand="0" w:oddHBand="1" w:evenHBand="0" w:firstRowFirstColumn="0" w:firstRowLastColumn="0" w:lastRowFirstColumn="0" w:lastRowLastColumn="0"/>
            </w:pPr>
            <w:r>
              <w:t>Detail</w:t>
            </w:r>
          </w:p>
        </w:tc>
        <w:tc>
          <w:tcPr>
            <w:tcW w:w="3389" w:type="dxa"/>
          </w:tcPr>
          <w:p w14:paraId="708FDD08" w14:textId="09069444" w:rsidR="00F7268C" w:rsidRPr="00A466AB" w:rsidRDefault="00F7268C" w:rsidP="001F27C8">
            <w:pPr>
              <w:jc w:val="center"/>
              <w:cnfStyle w:val="000000100000" w:firstRow="0" w:lastRow="0" w:firstColumn="0" w:lastColumn="0" w:oddVBand="0" w:evenVBand="0" w:oddHBand="1" w:evenHBand="0" w:firstRowFirstColumn="0" w:firstRowLastColumn="0" w:lastRowFirstColumn="0" w:lastRowLastColumn="0"/>
            </w:pPr>
            <w:r w:rsidRPr="00F7268C">
              <w:t>B25070_010E</w:t>
            </w:r>
          </w:p>
        </w:tc>
      </w:tr>
      <w:tr w:rsidR="00F7268C" w14:paraId="3D049102" w14:textId="77777777" w:rsidTr="001F27C8">
        <w:trPr>
          <w:jc w:val="center"/>
        </w:trPr>
        <w:tc>
          <w:tcPr>
            <w:cnfStyle w:val="001000000000" w:firstRow="0" w:lastRow="0" w:firstColumn="1" w:lastColumn="0" w:oddVBand="0" w:evenVBand="0" w:oddHBand="0" w:evenHBand="0" w:firstRowFirstColumn="0" w:firstRowLastColumn="0" w:lastRowFirstColumn="0" w:lastRowLastColumn="0"/>
            <w:tcW w:w="3388" w:type="dxa"/>
          </w:tcPr>
          <w:p w14:paraId="00A4C111" w14:textId="27FF788A" w:rsidR="00F7268C" w:rsidRPr="00F7268C" w:rsidRDefault="00F7268C" w:rsidP="001F27C8">
            <w:pPr>
              <w:jc w:val="center"/>
              <w:rPr>
                <w:b w:val="0"/>
              </w:rPr>
            </w:pPr>
            <w:r>
              <w:rPr>
                <w:b w:val="0"/>
              </w:rPr>
              <w:t>Number of Rents % of HI not Computed</w:t>
            </w:r>
          </w:p>
        </w:tc>
        <w:tc>
          <w:tcPr>
            <w:tcW w:w="3388" w:type="dxa"/>
          </w:tcPr>
          <w:p w14:paraId="4B8F5C47" w14:textId="10CE172D" w:rsidR="00F7268C" w:rsidRDefault="00F7268C" w:rsidP="001F27C8">
            <w:pPr>
              <w:jc w:val="center"/>
              <w:cnfStyle w:val="000000000000" w:firstRow="0" w:lastRow="0" w:firstColumn="0" w:lastColumn="0" w:oddVBand="0" w:evenVBand="0" w:oddHBand="0" w:evenHBand="0" w:firstRowFirstColumn="0" w:firstRowLastColumn="0" w:lastRowFirstColumn="0" w:lastRowLastColumn="0"/>
            </w:pPr>
            <w:r>
              <w:t>Detail</w:t>
            </w:r>
          </w:p>
        </w:tc>
        <w:tc>
          <w:tcPr>
            <w:tcW w:w="3389" w:type="dxa"/>
          </w:tcPr>
          <w:p w14:paraId="55D3E4FD" w14:textId="0812645B" w:rsidR="00F7268C" w:rsidRDefault="00F7268C" w:rsidP="001F27C8">
            <w:pPr>
              <w:jc w:val="center"/>
              <w:cnfStyle w:val="000000000000" w:firstRow="0" w:lastRow="0" w:firstColumn="0" w:lastColumn="0" w:oddVBand="0" w:evenVBand="0" w:oddHBand="0" w:evenHBand="0" w:firstRowFirstColumn="0" w:firstRowLastColumn="0" w:lastRowFirstColumn="0" w:lastRowLastColumn="0"/>
            </w:pPr>
            <w:r w:rsidRPr="00F7268C">
              <w:t>B25070_011E</w:t>
            </w:r>
          </w:p>
        </w:tc>
      </w:tr>
    </w:tbl>
    <w:p w14:paraId="7FC2EE3D" w14:textId="57F20C61" w:rsidR="00F7268C" w:rsidRDefault="00F7268C" w:rsidP="00716CD4">
      <w:pPr>
        <w:spacing w:before="120"/>
      </w:pPr>
      <w:r>
        <w:lastRenderedPageBreak/>
        <w:t>The calculation to determine Percent of Rents Offered that Exceed 30% of Area Household Income is as follows:</w:t>
      </w:r>
    </w:p>
    <w:p w14:paraId="2986CBFE" w14:textId="4D13C77D" w:rsidR="00F7268C" w:rsidRPr="000E1AA0" w:rsidRDefault="000E45FE" w:rsidP="00716CD4">
      <w:pPr>
        <w:spacing w:before="120"/>
        <w:rPr>
          <w:rFonts w:eastAsiaTheme="minorEastAsia"/>
        </w:rPr>
      </w:pPr>
      <m:oMathPara>
        <m:oMath>
          <m:f>
            <m:fPr>
              <m:ctrlPr>
                <w:rPr>
                  <w:rFonts w:ascii="Cambria Math" w:hAnsi="Cambria Math"/>
                  <w:i/>
                </w:rPr>
              </m:ctrlPr>
            </m:fPr>
            <m:num>
              <m:r>
                <w:rPr>
                  <w:rFonts w:ascii="Cambria Math" w:hAnsi="Cambria Math"/>
                </w:rPr>
                <m:t xml:space="preserve">#30to34.9%+#35to39.9%+#40to49.9%+#50%orMore </m:t>
              </m:r>
            </m:num>
            <m:den>
              <m:r>
                <w:rPr>
                  <w:rFonts w:ascii="Cambria Math" w:hAnsi="Cambria Math"/>
                </w:rPr>
                <m:t>Total-Not Computed</m:t>
              </m:r>
            </m:den>
          </m:f>
        </m:oMath>
      </m:oMathPara>
    </w:p>
    <w:p w14:paraId="3648BA6E" w14:textId="066E6DC9" w:rsidR="00EE5AC9" w:rsidRDefault="000E1AA0" w:rsidP="00716CD4">
      <w:pPr>
        <w:spacing w:before="120"/>
      </w:pPr>
      <w:r>
        <w:t>These indicators are collected for both the most current vintage and the older, comparison vintag</w:t>
      </w:r>
      <w:r w:rsidR="00400E84">
        <w:t xml:space="preserve">e. In total, the GCHP Housing Market Index considers </w:t>
      </w:r>
      <w:r w:rsidR="00EE5AC9">
        <w:t>24</w:t>
      </w:r>
      <w:r w:rsidR="00400E84">
        <w:t xml:space="preserve"> indicators</w:t>
      </w:r>
      <w:r w:rsidR="00EE5AC9">
        <w:t xml:space="preserve">: </w:t>
      </w:r>
      <w:r w:rsidR="00400E84">
        <w:t xml:space="preserve">the </w:t>
      </w:r>
      <w:r w:rsidR="00EE5AC9">
        <w:t>12</w:t>
      </w:r>
      <w:r w:rsidR="00400E84">
        <w:t xml:space="preserve"> indicators detailed above, as well as the percentage change for each between the comparison and current vintage.</w:t>
      </w:r>
      <w:r w:rsidR="00DC2EEE">
        <w:t xml:space="preserve"> This index considered census tracts in six states: Louisiana, Georgia, Florida, Mississippi, Texas, and Alabama.</w:t>
      </w:r>
    </w:p>
    <w:p w14:paraId="0ED4FDCF" w14:textId="1C1997DD" w:rsidR="00345BCD" w:rsidRDefault="00EE5AC9" w:rsidP="00345BCD">
      <w:pPr>
        <w:spacing w:before="120"/>
      </w:pPr>
      <w:r>
        <w:rPr>
          <w:b/>
        </w:rPr>
        <w:t>Methodology</w:t>
      </w:r>
    </w:p>
    <w:p w14:paraId="03F42918" w14:textId="50161101" w:rsidR="00345BCD" w:rsidRDefault="00345BCD" w:rsidP="00345BCD">
      <w:pPr>
        <w:spacing w:before="120"/>
        <w:rPr>
          <w:i/>
        </w:rPr>
      </w:pPr>
      <w:r>
        <w:rPr>
          <w:i/>
        </w:rPr>
        <w:t>Preprocessing</w:t>
      </w:r>
    </w:p>
    <w:p w14:paraId="7B5DEDC6" w14:textId="7A5483D8" w:rsidR="00EE5AC9" w:rsidRDefault="00345BCD" w:rsidP="00345BCD">
      <w:pPr>
        <w:pStyle w:val="ListParagraph"/>
        <w:numPr>
          <w:ilvl w:val="0"/>
          <w:numId w:val="3"/>
        </w:numPr>
        <w:spacing w:before="120"/>
      </w:pPr>
      <w:r>
        <w:t>All I</w:t>
      </w:r>
      <w:r w:rsidR="00EE5AC9">
        <w:t>ndicators measured in currency (such as median rent, median household income, and median property value)</w:t>
      </w:r>
      <w:r>
        <w:t xml:space="preserve"> in the comparison vintage are inflation-adjusted so that they may be compared to values in the current vintage. From the 2011 5-Year Estimates to the 2012 5-Year Estimates, the inflation multiplier was 1.06686838.</w:t>
      </w:r>
      <w:r>
        <w:rPr>
          <w:rStyle w:val="FootnoteReference"/>
        </w:rPr>
        <w:footnoteReference w:id="1"/>
      </w:r>
    </w:p>
    <w:p w14:paraId="5ECE6068" w14:textId="20C92C17" w:rsidR="00345BCD" w:rsidRDefault="00345BCD" w:rsidP="00345BCD">
      <w:pPr>
        <w:spacing w:before="120"/>
      </w:pPr>
      <w:r>
        <w:rPr>
          <w:i/>
        </w:rPr>
        <w:t>Standardization</w:t>
      </w:r>
    </w:p>
    <w:p w14:paraId="6CAD6419" w14:textId="77777777" w:rsidR="0053561F" w:rsidRDefault="00345BCD" w:rsidP="0053561F">
      <w:pPr>
        <w:pStyle w:val="ListParagraph"/>
        <w:numPr>
          <w:ilvl w:val="0"/>
          <w:numId w:val="3"/>
        </w:numPr>
        <w:spacing w:before="120"/>
      </w:pPr>
      <w:r>
        <w:t>Each value for each indicator was converted to a z-score, the formula for which is given as follows:</w:t>
      </w:r>
    </w:p>
    <w:p w14:paraId="36F66682" w14:textId="0510B2F0" w:rsidR="00345BCD" w:rsidRPr="0053561F" w:rsidRDefault="00345BCD" w:rsidP="0053561F">
      <w:pPr>
        <w:spacing w:before="120"/>
        <w:ind w:left="360"/>
      </w:pPr>
      <m:oMathPara>
        <m:oMathParaPr>
          <m:jc m:val="center"/>
        </m:oMathParaPr>
        <m:oMath>
          <m:r>
            <w:rPr>
              <w:rFonts w:ascii="Cambria Math" w:hAnsi="Cambria Math"/>
            </w:rPr>
            <m:t>z</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i-μ</m:t>
              </m:r>
            </m:num>
            <m:den>
              <m:r>
                <w:rPr>
                  <w:rFonts w:ascii="Cambria Math" w:hAnsi="Cambria Math"/>
                </w:rPr>
                <m:t>σ</m:t>
              </m:r>
            </m:den>
          </m:f>
        </m:oMath>
      </m:oMathPara>
    </w:p>
    <w:p w14:paraId="36BCB2C7" w14:textId="77777777" w:rsidR="00C7472A" w:rsidRDefault="00C7472A" w:rsidP="00345BCD">
      <w:pPr>
        <w:pStyle w:val="ListParagraph"/>
        <w:spacing w:before="120"/>
      </w:pPr>
    </w:p>
    <w:p w14:paraId="01EBAB8E" w14:textId="00B2259F" w:rsidR="00C7472A" w:rsidRDefault="00345BCD" w:rsidP="00345BCD">
      <w:pPr>
        <w:pStyle w:val="ListParagraph"/>
        <w:spacing w:before="120"/>
        <w:rPr>
          <w:rFonts w:eastAsiaTheme="minorEastAsia"/>
        </w:rPr>
      </w:pPr>
      <w:r>
        <w:t xml:space="preserve">Where </w:t>
      </w:r>
      <m:oMath>
        <m:r>
          <w:rPr>
            <w:rFonts w:ascii="Cambria Math" w:hAnsi="Cambria Math"/>
          </w:rPr>
          <m:t>i</m:t>
        </m:r>
      </m:oMath>
      <w:r>
        <w:t xml:space="preserve"> is the </w:t>
      </w:r>
      <w:r w:rsidR="0053561F">
        <w:t>raw</w:t>
      </w:r>
      <w:r>
        <w:t xml:space="preserve"> value, </w:t>
      </w:r>
      <m:oMath>
        <m:r>
          <w:rPr>
            <w:rFonts w:ascii="Cambria Math" w:hAnsi="Cambria Math"/>
          </w:rPr>
          <m:t>μ</m:t>
        </m:r>
      </m:oMath>
      <w:r w:rsidR="00C7472A">
        <w:rPr>
          <w:rFonts w:eastAsiaTheme="minorEastAsia"/>
        </w:rPr>
        <w:t xml:space="preserve"> is the mean of all values for this particular indicator, and </w:t>
      </w:r>
      <m:oMath>
        <m:r>
          <w:rPr>
            <w:rFonts w:ascii="Cambria Math" w:hAnsi="Cambria Math"/>
          </w:rPr>
          <m:t>σ</m:t>
        </m:r>
      </m:oMath>
      <w:r w:rsidR="00C7472A">
        <w:rPr>
          <w:rFonts w:eastAsiaTheme="minorEastAsia"/>
        </w:rPr>
        <w:t xml:space="preserve"> is the standard deviation of all values for a particular indicator. </w:t>
      </w:r>
    </w:p>
    <w:p w14:paraId="1425BE2F" w14:textId="77777777" w:rsidR="00C7472A" w:rsidRDefault="00C7472A" w:rsidP="00345BCD">
      <w:pPr>
        <w:pStyle w:val="ListParagraph"/>
        <w:spacing w:before="120"/>
        <w:rPr>
          <w:rFonts w:eastAsiaTheme="minorEastAsia"/>
        </w:rPr>
      </w:pPr>
    </w:p>
    <w:p w14:paraId="54177E10" w14:textId="67C41E59" w:rsidR="00345BCD" w:rsidRDefault="00C7472A" w:rsidP="00345BCD">
      <w:pPr>
        <w:pStyle w:val="ListParagraph"/>
        <w:spacing w:before="120"/>
        <w:rPr>
          <w:rFonts w:eastAsiaTheme="minorEastAsia"/>
        </w:rPr>
      </w:pPr>
      <w:r>
        <w:rPr>
          <w:rFonts w:eastAsiaTheme="minorEastAsia"/>
        </w:rPr>
        <w:t xml:space="preserve">A z-score places the datapoint in context within the set of all values, and answers the question “how much does this datapoint deviate from the mean?” </w:t>
      </w:r>
    </w:p>
    <w:p w14:paraId="7C419E8D" w14:textId="76660983" w:rsidR="00EE5AC9" w:rsidRDefault="00C7472A" w:rsidP="007D087E">
      <w:pPr>
        <w:spacing w:before="120"/>
        <w:ind w:left="720" w:hanging="720"/>
      </w:pPr>
      <w:r>
        <w:rPr>
          <w:i/>
        </w:rPr>
        <w:t>Negative Factors</w:t>
      </w:r>
    </w:p>
    <w:p w14:paraId="4387D8DB" w14:textId="6A055632" w:rsidR="00C7472A" w:rsidRDefault="00C7472A" w:rsidP="00C7472A">
      <w:pPr>
        <w:pStyle w:val="ListParagraph"/>
        <w:numPr>
          <w:ilvl w:val="0"/>
          <w:numId w:val="3"/>
        </w:numPr>
        <w:spacing w:before="120"/>
      </w:pPr>
      <w:r>
        <w:t>While this index makes no assumptions about the relative importance of its composite indicators, it does distinguish between indicators with plausible positive or negative effects on housing market</w:t>
      </w:r>
      <w:r w:rsidR="007D087E">
        <w:t xml:space="preserve"> strength</w:t>
      </w:r>
      <w:r>
        <w:t xml:space="preserve">. </w:t>
      </w:r>
    </w:p>
    <w:tbl>
      <w:tblPr>
        <w:tblStyle w:val="GridTable4-Accent1"/>
        <w:tblW w:w="6776" w:type="dxa"/>
        <w:jc w:val="center"/>
        <w:tblLook w:val="04A0" w:firstRow="1" w:lastRow="0" w:firstColumn="1" w:lastColumn="0" w:noHBand="0" w:noVBand="1"/>
      </w:tblPr>
      <w:tblGrid>
        <w:gridCol w:w="3388"/>
        <w:gridCol w:w="3388"/>
      </w:tblGrid>
      <w:tr w:rsidR="00C7472A" w14:paraId="300C25C1" w14:textId="77777777" w:rsidTr="00C7472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88" w:type="dxa"/>
          </w:tcPr>
          <w:p w14:paraId="4C073ED6" w14:textId="6CD71563" w:rsidR="00C7472A" w:rsidRPr="00F7268C" w:rsidRDefault="00C7472A" w:rsidP="00891B4B">
            <w:pPr>
              <w:jc w:val="center"/>
            </w:pPr>
            <w:r>
              <w:t>Positive Indicators (+)</w:t>
            </w:r>
          </w:p>
        </w:tc>
        <w:tc>
          <w:tcPr>
            <w:tcW w:w="3388" w:type="dxa"/>
          </w:tcPr>
          <w:p w14:paraId="4D0271A8" w14:textId="00903CEA" w:rsidR="00C7472A" w:rsidRPr="00F7268C" w:rsidRDefault="00C7472A" w:rsidP="00891B4B">
            <w:pPr>
              <w:ind w:left="720" w:hanging="720"/>
              <w:jc w:val="center"/>
              <w:cnfStyle w:val="100000000000" w:firstRow="1" w:lastRow="0" w:firstColumn="0" w:lastColumn="0" w:oddVBand="0" w:evenVBand="0" w:oddHBand="0" w:evenHBand="0" w:firstRowFirstColumn="0" w:firstRowLastColumn="0" w:lastRowFirstColumn="0" w:lastRowLastColumn="0"/>
            </w:pPr>
            <w:r>
              <w:t>Negative Indicators (-)</w:t>
            </w:r>
          </w:p>
        </w:tc>
      </w:tr>
      <w:tr w:rsidR="00C7472A" w14:paraId="6C04B528" w14:textId="77777777" w:rsidTr="00C747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88" w:type="dxa"/>
          </w:tcPr>
          <w:p w14:paraId="5D112BDD" w14:textId="77777777" w:rsidR="00C7472A" w:rsidRPr="00F7268C" w:rsidRDefault="00C7472A" w:rsidP="00C7472A">
            <w:pPr>
              <w:jc w:val="center"/>
              <w:rPr>
                <w:b w:val="0"/>
              </w:rPr>
            </w:pPr>
            <w:r w:rsidRPr="00F7268C">
              <w:rPr>
                <w:b w:val="0"/>
              </w:rPr>
              <w:t>Percentage of Housing Units Occupied by Renters</w:t>
            </w:r>
          </w:p>
        </w:tc>
        <w:tc>
          <w:tcPr>
            <w:tcW w:w="3388" w:type="dxa"/>
          </w:tcPr>
          <w:p w14:paraId="76CC9373" w14:textId="0C291A1A" w:rsidR="00C7472A" w:rsidRDefault="00C7472A" w:rsidP="00C7472A">
            <w:pPr>
              <w:jc w:val="center"/>
              <w:cnfStyle w:val="000000100000" w:firstRow="0" w:lastRow="0" w:firstColumn="0" w:lastColumn="0" w:oddVBand="0" w:evenVBand="0" w:oddHBand="1" w:evenHBand="0" w:firstRowFirstColumn="0" w:firstRowLastColumn="0" w:lastRowFirstColumn="0" w:lastRowLastColumn="0"/>
            </w:pPr>
            <w:r w:rsidRPr="00F7268C">
              <w:t>Rental Vacancy Rate</w:t>
            </w:r>
          </w:p>
        </w:tc>
      </w:tr>
      <w:tr w:rsidR="00C7472A" w14:paraId="44080699" w14:textId="77777777" w:rsidTr="00C7472A">
        <w:trPr>
          <w:jc w:val="center"/>
        </w:trPr>
        <w:tc>
          <w:tcPr>
            <w:cnfStyle w:val="001000000000" w:firstRow="0" w:lastRow="0" w:firstColumn="1" w:lastColumn="0" w:oddVBand="0" w:evenVBand="0" w:oddHBand="0" w:evenHBand="0" w:firstRowFirstColumn="0" w:firstRowLastColumn="0" w:lastRowFirstColumn="0" w:lastRowLastColumn="0"/>
            <w:tcW w:w="3388" w:type="dxa"/>
          </w:tcPr>
          <w:p w14:paraId="0BA6C0A3" w14:textId="6673C338" w:rsidR="00C7472A" w:rsidRPr="00F7268C" w:rsidRDefault="00C7472A" w:rsidP="00C7472A">
            <w:pPr>
              <w:jc w:val="center"/>
              <w:rPr>
                <w:b w:val="0"/>
              </w:rPr>
            </w:pPr>
            <w:r w:rsidRPr="00F7268C">
              <w:rPr>
                <w:b w:val="0"/>
              </w:rPr>
              <w:t>Median Household Income</w:t>
            </w:r>
          </w:p>
        </w:tc>
        <w:tc>
          <w:tcPr>
            <w:tcW w:w="3388" w:type="dxa"/>
          </w:tcPr>
          <w:p w14:paraId="1738DF7F" w14:textId="65774F57" w:rsidR="00C7472A" w:rsidRDefault="00C7472A" w:rsidP="00C7472A">
            <w:pPr>
              <w:jc w:val="center"/>
              <w:cnfStyle w:val="000000000000" w:firstRow="0" w:lastRow="0" w:firstColumn="0" w:lastColumn="0" w:oddVBand="0" w:evenVBand="0" w:oddHBand="0" w:evenHBand="0" w:firstRowFirstColumn="0" w:firstRowLastColumn="0" w:lastRowFirstColumn="0" w:lastRowLastColumn="0"/>
            </w:pPr>
            <w:r w:rsidRPr="00F7268C">
              <w:t>Percent Vacant Units</w:t>
            </w:r>
          </w:p>
        </w:tc>
      </w:tr>
      <w:tr w:rsidR="00C7472A" w14:paraId="40E62E44" w14:textId="77777777" w:rsidTr="00C747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88" w:type="dxa"/>
          </w:tcPr>
          <w:p w14:paraId="02F1E3E4" w14:textId="3E5170E9" w:rsidR="00C7472A" w:rsidRPr="00F7268C" w:rsidRDefault="00C7472A" w:rsidP="00C7472A">
            <w:pPr>
              <w:jc w:val="center"/>
              <w:rPr>
                <w:b w:val="0"/>
              </w:rPr>
            </w:pPr>
            <w:r w:rsidRPr="00F7268C">
              <w:rPr>
                <w:b w:val="0"/>
              </w:rPr>
              <w:t>Percentage of Individuals with a Bachelor’s Degree or Higher</w:t>
            </w:r>
          </w:p>
        </w:tc>
        <w:tc>
          <w:tcPr>
            <w:tcW w:w="3388" w:type="dxa"/>
          </w:tcPr>
          <w:p w14:paraId="14C0602C" w14:textId="5F3E269D" w:rsidR="00C7472A" w:rsidRDefault="00C7472A" w:rsidP="00C7472A">
            <w:pPr>
              <w:jc w:val="center"/>
              <w:cnfStyle w:val="000000100000" w:firstRow="0" w:lastRow="0" w:firstColumn="0" w:lastColumn="0" w:oddVBand="0" w:evenVBand="0" w:oddHBand="1" w:evenHBand="0" w:firstRowFirstColumn="0" w:firstRowLastColumn="0" w:lastRowFirstColumn="0" w:lastRowLastColumn="0"/>
            </w:pPr>
            <w:r w:rsidRPr="00F7268C">
              <w:t>Poverty Rate (Families)</w:t>
            </w:r>
          </w:p>
        </w:tc>
      </w:tr>
      <w:tr w:rsidR="00C7472A" w14:paraId="1B13D98B" w14:textId="77777777" w:rsidTr="00C7472A">
        <w:trPr>
          <w:jc w:val="center"/>
        </w:trPr>
        <w:tc>
          <w:tcPr>
            <w:cnfStyle w:val="001000000000" w:firstRow="0" w:lastRow="0" w:firstColumn="1" w:lastColumn="0" w:oddVBand="0" w:evenVBand="0" w:oddHBand="0" w:evenHBand="0" w:firstRowFirstColumn="0" w:firstRowLastColumn="0" w:lastRowFirstColumn="0" w:lastRowLastColumn="0"/>
            <w:tcW w:w="3388" w:type="dxa"/>
          </w:tcPr>
          <w:p w14:paraId="5989BBD2" w14:textId="044D5FE6" w:rsidR="00C7472A" w:rsidRPr="00F7268C" w:rsidRDefault="00C7472A" w:rsidP="00C7472A">
            <w:pPr>
              <w:jc w:val="center"/>
              <w:rPr>
                <w:b w:val="0"/>
              </w:rPr>
            </w:pPr>
            <w:r w:rsidRPr="00F7268C">
              <w:rPr>
                <w:b w:val="0"/>
              </w:rPr>
              <w:lastRenderedPageBreak/>
              <w:t>Total Population</w:t>
            </w:r>
          </w:p>
        </w:tc>
        <w:tc>
          <w:tcPr>
            <w:tcW w:w="3388" w:type="dxa"/>
          </w:tcPr>
          <w:p w14:paraId="13F74E52" w14:textId="7D5E0E4A" w:rsidR="00C7472A" w:rsidRDefault="00C7472A" w:rsidP="00C7472A">
            <w:pPr>
              <w:jc w:val="center"/>
              <w:cnfStyle w:val="000000000000" w:firstRow="0" w:lastRow="0" w:firstColumn="0" w:lastColumn="0" w:oddVBand="0" w:evenVBand="0" w:oddHBand="0" w:evenHBand="0" w:firstRowFirstColumn="0" w:firstRowLastColumn="0" w:lastRowFirstColumn="0" w:lastRowLastColumn="0"/>
            </w:pPr>
            <w:r w:rsidRPr="00F7268C">
              <w:t>Poverty Rate (Individuals)</w:t>
            </w:r>
          </w:p>
        </w:tc>
      </w:tr>
      <w:tr w:rsidR="00C7472A" w14:paraId="444C4FA7" w14:textId="77777777" w:rsidTr="00C747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88" w:type="dxa"/>
          </w:tcPr>
          <w:p w14:paraId="638D6CEE" w14:textId="7558B80A" w:rsidR="00C7472A" w:rsidRPr="00F7268C" w:rsidRDefault="00C7472A" w:rsidP="00C7472A">
            <w:pPr>
              <w:jc w:val="center"/>
              <w:rPr>
                <w:b w:val="0"/>
              </w:rPr>
            </w:pPr>
            <w:r w:rsidRPr="00F7268C">
              <w:rPr>
                <w:b w:val="0"/>
              </w:rPr>
              <w:t>Median Gross Rent</w:t>
            </w:r>
          </w:p>
        </w:tc>
        <w:tc>
          <w:tcPr>
            <w:tcW w:w="3388" w:type="dxa"/>
          </w:tcPr>
          <w:p w14:paraId="4398D295" w14:textId="6607E370" w:rsidR="00C7472A" w:rsidRPr="00C7472A" w:rsidRDefault="00C7472A" w:rsidP="00C7472A">
            <w:pPr>
              <w:jc w:val="center"/>
              <w:cnfStyle w:val="000000100000" w:firstRow="0" w:lastRow="0" w:firstColumn="0" w:lastColumn="0" w:oddVBand="0" w:evenVBand="0" w:oddHBand="1" w:evenHBand="0" w:firstRowFirstColumn="0" w:firstRowLastColumn="0" w:lastRowFirstColumn="0" w:lastRowLastColumn="0"/>
            </w:pPr>
            <w:r w:rsidRPr="00C7472A">
              <w:t>Unemployment Rate</w:t>
            </w:r>
          </w:p>
        </w:tc>
      </w:tr>
      <w:tr w:rsidR="00C7472A" w14:paraId="75C48599" w14:textId="10F0B60D" w:rsidTr="00E63673">
        <w:trPr>
          <w:jc w:val="center"/>
        </w:trPr>
        <w:tc>
          <w:tcPr>
            <w:cnfStyle w:val="001000000000" w:firstRow="0" w:lastRow="0" w:firstColumn="1" w:lastColumn="0" w:oddVBand="0" w:evenVBand="0" w:oddHBand="0" w:evenHBand="0" w:firstRowFirstColumn="0" w:firstRowLastColumn="0" w:lastRowFirstColumn="0" w:lastRowLastColumn="0"/>
            <w:tcW w:w="3388" w:type="dxa"/>
          </w:tcPr>
          <w:p w14:paraId="3E989694" w14:textId="679951C4" w:rsidR="00C7472A" w:rsidRPr="00F7268C" w:rsidRDefault="00C7472A" w:rsidP="00C7472A">
            <w:pPr>
              <w:jc w:val="center"/>
              <w:rPr>
                <w:b w:val="0"/>
              </w:rPr>
            </w:pPr>
            <w:r w:rsidRPr="00F7268C">
              <w:rPr>
                <w:b w:val="0"/>
              </w:rPr>
              <w:t>Median Property Value</w:t>
            </w:r>
          </w:p>
        </w:tc>
        <w:tc>
          <w:tcPr>
            <w:tcW w:w="3388" w:type="dxa"/>
          </w:tcPr>
          <w:p w14:paraId="7D84BF8D" w14:textId="7D3AAC25" w:rsidR="00C7472A" w:rsidRDefault="00C7472A" w:rsidP="00C7472A">
            <w:pPr>
              <w:jc w:val="center"/>
              <w:cnfStyle w:val="000000000000" w:firstRow="0" w:lastRow="0" w:firstColumn="0" w:lastColumn="0" w:oddVBand="0" w:evenVBand="0" w:oddHBand="0" w:evenHBand="0" w:firstRowFirstColumn="0" w:firstRowLastColumn="0" w:lastRowFirstColumn="0" w:lastRowLastColumn="0"/>
            </w:pPr>
            <w:r>
              <w:t>Percent of Rents Offered that Exceed 30% of Area Household Income</w:t>
            </w:r>
          </w:p>
        </w:tc>
      </w:tr>
    </w:tbl>
    <w:p w14:paraId="2E0D97C1" w14:textId="62ACD56C" w:rsidR="0053561F" w:rsidRDefault="00C7472A" w:rsidP="0053561F">
      <w:pPr>
        <w:spacing w:before="120"/>
        <w:ind w:left="720"/>
      </w:pPr>
      <w:r>
        <w:t>For negative indicators, each value (now standardized to z-scores) is multiplied by</w:t>
      </w:r>
      <w:r w:rsidR="0053561F">
        <w:t xml:space="preserve"> negative one to ensure that the direction of the effect is considered in the overall score of a</w:t>
      </w:r>
      <w:r w:rsidR="00100983" w:rsidRPr="00100983">
        <w:t xml:space="preserve"> Census Tract</w:t>
      </w:r>
      <w:r w:rsidR="0053561F">
        <w:t xml:space="preserve">. </w:t>
      </w:r>
    </w:p>
    <w:p w14:paraId="7257F1DD" w14:textId="77777777" w:rsidR="0053561F" w:rsidRDefault="0053561F" w:rsidP="0053561F">
      <w:pPr>
        <w:spacing w:before="120"/>
      </w:pPr>
      <w:r>
        <w:rPr>
          <w:i/>
        </w:rPr>
        <w:t>Averaging</w:t>
      </w:r>
      <w:r>
        <w:t xml:space="preserve"> </w:t>
      </w:r>
    </w:p>
    <w:p w14:paraId="7E89B854" w14:textId="51AC183D" w:rsidR="0053561F" w:rsidRDefault="0053561F" w:rsidP="00100983">
      <w:pPr>
        <w:pStyle w:val="ListParagraph"/>
        <w:numPr>
          <w:ilvl w:val="0"/>
          <w:numId w:val="3"/>
        </w:numPr>
        <w:spacing w:before="120"/>
      </w:pPr>
      <w:r>
        <w:t xml:space="preserve">For each </w:t>
      </w:r>
      <w:r w:rsidR="00100983" w:rsidRPr="00100983">
        <w:t>Census Tract</w:t>
      </w:r>
      <w:r>
        <w:t xml:space="preserve">, its z-scores for all indicators are combined in an unweighted average, according to the following formula. </w:t>
      </w:r>
    </w:p>
    <w:p w14:paraId="1104FD48" w14:textId="63E2921E" w:rsidR="0053561F" w:rsidRDefault="00C72E99" w:rsidP="0053561F">
      <w:pPr>
        <w:spacing w:before="120"/>
        <w:ind w:left="360"/>
      </w:pPr>
      <m:oMathPara>
        <m:oMath>
          <m:r>
            <w:rPr>
              <w:rFonts w:ascii="Cambria Math" w:hAnsi="Cambria Math"/>
            </w:rPr>
            <m:t>score=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z(i)</m:t>
              </m:r>
            </m:e>
          </m:nary>
        </m:oMath>
      </m:oMathPara>
    </w:p>
    <w:p w14:paraId="5050BED0" w14:textId="77777777" w:rsidR="00C72E99" w:rsidRDefault="0053561F" w:rsidP="0053561F">
      <w:pPr>
        <w:pStyle w:val="ListParagraph"/>
        <w:spacing w:before="120"/>
        <w:rPr>
          <w:rFonts w:eastAsiaTheme="minorEastAsia"/>
        </w:rPr>
      </w:pPr>
      <w:r>
        <w:t xml:space="preserve">Where </w:t>
      </w:r>
      <m:oMath>
        <m:r>
          <w:rPr>
            <w:rFonts w:ascii="Cambria Math" w:hAnsi="Cambria Math"/>
          </w:rPr>
          <m:t>n</m:t>
        </m:r>
      </m:oMath>
      <w:r>
        <w:rPr>
          <w:rFonts w:eastAsiaTheme="minorEastAsia"/>
        </w:rPr>
        <w:t xml:space="preserve"> is the number of indicators and </w:t>
      </w:r>
      <m:oMath>
        <m:r>
          <w:rPr>
            <w:rFonts w:ascii="Cambria Math" w:hAnsi="Cambria Math"/>
          </w:rPr>
          <m:t>z(i)</m:t>
        </m:r>
      </m:oMath>
      <w:r>
        <w:rPr>
          <w:rFonts w:eastAsiaTheme="minorEastAsia"/>
        </w:rPr>
        <w:t xml:space="preserve"> is the standardized </w:t>
      </w:r>
      <w:proofErr w:type="gramStart"/>
      <w:r>
        <w:rPr>
          <w:rFonts w:eastAsiaTheme="minorEastAsia"/>
        </w:rPr>
        <w:t>value.</w:t>
      </w:r>
      <w:proofErr w:type="gramEnd"/>
      <w:r>
        <w:rPr>
          <w:rFonts w:eastAsiaTheme="minorEastAsia"/>
        </w:rPr>
        <w:t xml:space="preserve"> </w:t>
      </w:r>
      <w:r w:rsidRPr="0053561F">
        <w:rPr>
          <w:rFonts w:eastAsiaTheme="minorEastAsia"/>
        </w:rPr>
        <w:t xml:space="preserve">Note that the number of indicators is variable, for a couple of reasons. </w:t>
      </w:r>
    </w:p>
    <w:p w14:paraId="7185F473" w14:textId="77777777" w:rsidR="00C72E99" w:rsidRDefault="00C72E99" w:rsidP="0053561F">
      <w:pPr>
        <w:pStyle w:val="ListParagraph"/>
        <w:spacing w:before="120"/>
        <w:rPr>
          <w:rFonts w:eastAsiaTheme="minorEastAsia"/>
        </w:rPr>
      </w:pPr>
    </w:p>
    <w:p w14:paraId="47C763C9" w14:textId="77777777" w:rsidR="00AA7DCE" w:rsidRDefault="0053561F" w:rsidP="00C72E99">
      <w:pPr>
        <w:pStyle w:val="ListParagraph"/>
        <w:spacing w:before="120"/>
        <w:rPr>
          <w:rFonts w:eastAsiaTheme="minorEastAsia"/>
        </w:rPr>
      </w:pPr>
      <w:r w:rsidRPr="0053561F">
        <w:rPr>
          <w:rFonts w:eastAsiaTheme="minorEastAsia"/>
        </w:rPr>
        <w:t>Some statistics are missing from the raw dataset released by the US Census Bureau for particular Census Tracts. There is also the possibility that a statistic</w:t>
      </w:r>
      <w:r>
        <w:rPr>
          <w:rFonts w:eastAsiaTheme="minorEastAsia"/>
        </w:rPr>
        <w:t xml:space="preserve"> receives a value of zero in the comparison vintage, which means that calculating a percent change is impossible.</w:t>
      </w:r>
    </w:p>
    <w:p w14:paraId="4518954C" w14:textId="77777777" w:rsidR="00AA7DCE" w:rsidRDefault="00AA7DCE" w:rsidP="00C72E99">
      <w:pPr>
        <w:pStyle w:val="ListParagraph"/>
        <w:spacing w:before="120"/>
        <w:rPr>
          <w:rFonts w:eastAsiaTheme="minorEastAsia"/>
        </w:rPr>
      </w:pPr>
    </w:p>
    <w:p w14:paraId="3980AE94" w14:textId="1C1A86AF" w:rsidR="00C72E99" w:rsidRDefault="00AA7DCE" w:rsidP="00C72E99">
      <w:pPr>
        <w:pStyle w:val="ListParagraph"/>
        <w:spacing w:before="120"/>
        <w:rPr>
          <w:rFonts w:eastAsiaTheme="minorEastAsia"/>
        </w:rPr>
      </w:pPr>
      <w:r>
        <w:rPr>
          <w:rFonts w:eastAsiaTheme="minorEastAsia"/>
        </w:rPr>
        <w:t>Census tracts missing 4 or more datapoints (</w:t>
      </w:r>
      <m:oMath>
        <m:r>
          <w:rPr>
            <w:rFonts w:ascii="Cambria Math" w:hAnsi="Cambria Math"/>
          </w:rPr>
          <m:t>n</m:t>
        </m:r>
      </m:oMath>
      <w:r>
        <w:rPr>
          <w:rFonts w:eastAsiaTheme="minorEastAsia"/>
        </w:rPr>
        <w:t xml:space="preserve"> less than or equal to 20) were not included in the standardization described in the previous step, or in the final index. This decision was made to prevent tracts with insufficient data from skewing the overall score distribution. </w:t>
      </w:r>
    </w:p>
    <w:p w14:paraId="6D2D2D61" w14:textId="0B388A50" w:rsidR="00C72E99" w:rsidRDefault="00C72E99" w:rsidP="00C72E99">
      <w:pPr>
        <w:spacing w:before="120"/>
        <w:rPr>
          <w:rFonts w:eastAsiaTheme="minorEastAsia"/>
        </w:rPr>
      </w:pPr>
      <w:r>
        <w:rPr>
          <w:rFonts w:eastAsiaTheme="minorEastAsia"/>
          <w:i/>
        </w:rPr>
        <w:t>Rescaling</w:t>
      </w:r>
    </w:p>
    <w:p w14:paraId="060F1DDD" w14:textId="2D446475" w:rsidR="00C72E99" w:rsidRDefault="00C72E99" w:rsidP="00100983">
      <w:pPr>
        <w:pStyle w:val="ListParagraph"/>
        <w:numPr>
          <w:ilvl w:val="0"/>
          <w:numId w:val="3"/>
        </w:numPr>
        <w:spacing w:before="120"/>
        <w:rPr>
          <w:rFonts w:eastAsiaTheme="minorEastAsia"/>
        </w:rPr>
      </w:pPr>
      <w:r>
        <w:rPr>
          <w:rFonts w:eastAsiaTheme="minorEastAsia"/>
        </w:rPr>
        <w:t xml:space="preserve">The scores for each </w:t>
      </w:r>
      <w:r w:rsidR="00100983" w:rsidRPr="00100983">
        <w:rPr>
          <w:rFonts w:eastAsiaTheme="minorEastAsia"/>
        </w:rPr>
        <w:t xml:space="preserve">Census Tract </w:t>
      </w:r>
      <w:r>
        <w:rPr>
          <w:rFonts w:eastAsiaTheme="minorEastAsia"/>
        </w:rPr>
        <w:t xml:space="preserve">are rescaled to fit the 0-100 range according to the following formula. </w:t>
      </w:r>
    </w:p>
    <w:p w14:paraId="303FEACD" w14:textId="37061243" w:rsidR="00C72E99" w:rsidRPr="00C72E99" w:rsidRDefault="000E45FE" w:rsidP="00C72E99">
      <w:pPr>
        <w:spacing w:before="120"/>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score-</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score</m:t>
                          </m:r>
                        </m:e>
                      </m:d>
                    </m:e>
                  </m:func>
                </m:e>
              </m:d>
            </m:num>
            <m:den>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score</m:t>
                      </m:r>
                    </m:e>
                  </m:d>
                </m:e>
              </m:func>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(score)</m:t>
              </m:r>
            </m:den>
          </m:f>
          <m:r>
            <w:rPr>
              <w:rFonts w:ascii="Cambria Math" w:eastAsiaTheme="minorEastAsia" w:hAnsi="Cambria Math"/>
            </w:rPr>
            <m:t>+100</m:t>
          </m:r>
        </m:oMath>
      </m:oMathPara>
    </w:p>
    <w:p w14:paraId="4435F47F" w14:textId="65B15DEA" w:rsidR="00AA7DCE" w:rsidRDefault="00DC2EEE" w:rsidP="00AA7DCE">
      <w:pPr>
        <w:pStyle w:val="ListParagraph"/>
        <w:spacing w:before="120"/>
      </w:pPr>
      <w:r>
        <w:t>This effectively converts the scores to percentiles</w:t>
      </w:r>
      <w:r w:rsidR="007D087E">
        <w:t xml:space="preserve"> to increase</w:t>
      </w:r>
      <w:r>
        <w:t xml:space="preserve"> interpretab</w:t>
      </w:r>
      <w:r w:rsidR="007D087E">
        <w:t>ility</w:t>
      </w:r>
      <w:r>
        <w:t xml:space="preserve">. For instance, if a particular </w:t>
      </w:r>
      <w:r w:rsidR="00100983" w:rsidRPr="00100983">
        <w:t xml:space="preserve">Census Tract </w:t>
      </w:r>
      <w:r>
        <w:t xml:space="preserve">receives a score of 70, </w:t>
      </w:r>
      <w:r w:rsidR="00DA4358">
        <w:t xml:space="preserve">according to this index, </w:t>
      </w:r>
      <w:r>
        <w:t xml:space="preserve">the housing market is stronger than 70% of </w:t>
      </w:r>
      <w:r w:rsidR="00100983" w:rsidRPr="00100983">
        <w:t>Census Tract</w:t>
      </w:r>
      <w:r w:rsidR="00100983">
        <w:t>s</w:t>
      </w:r>
      <w:r w:rsidR="00100983" w:rsidRPr="00100983">
        <w:t xml:space="preserve"> </w:t>
      </w:r>
      <w:r>
        <w:t xml:space="preserve">and weaker than 30% of </w:t>
      </w:r>
      <w:r w:rsidR="00100983" w:rsidRPr="00100983">
        <w:t>Census Tract</w:t>
      </w:r>
      <w:r w:rsidR="00100983">
        <w:t xml:space="preserve">s </w:t>
      </w:r>
      <w:r>
        <w:t xml:space="preserve">in the six-state </w:t>
      </w:r>
      <w:r w:rsidR="00DA4358">
        <w:t>GCHP area of operation.</w:t>
      </w:r>
      <w:bookmarkStart w:id="0" w:name="_GoBack"/>
      <w:bookmarkEnd w:id="0"/>
    </w:p>
    <w:p w14:paraId="67BBB560" w14:textId="521B29AF" w:rsidR="00400E84" w:rsidRDefault="00AA7DCE" w:rsidP="00716CD4">
      <w:pPr>
        <w:spacing w:before="120"/>
      </w:pPr>
      <w:r>
        <w:rPr>
          <w:i/>
        </w:rPr>
        <w:t>Multiple Levels of Scoring</w:t>
      </w:r>
    </w:p>
    <w:p w14:paraId="771B0573" w14:textId="5D6A8EC1" w:rsidR="00AA7DCE" w:rsidRPr="00AA7DCE" w:rsidRDefault="00D7323A" w:rsidP="00AA7DCE">
      <w:pPr>
        <w:pStyle w:val="ListParagraph"/>
        <w:numPr>
          <w:ilvl w:val="0"/>
          <w:numId w:val="3"/>
        </w:numPr>
        <w:spacing w:before="120"/>
      </w:pPr>
      <w:r>
        <w:t>F</w:t>
      </w:r>
      <w:r w:rsidR="00AA7DCE">
        <w:t>our scores were derived for each tract using this methodology to r</w:t>
      </w:r>
      <w:r>
        <w:t>eflect</w:t>
      </w:r>
      <w:r w:rsidR="00AA7DCE">
        <w:t xml:space="preserve"> its ranking in different </w:t>
      </w:r>
      <w:r w:rsidR="00687DD9">
        <w:t>geographic groupings</w:t>
      </w:r>
      <w:r w:rsidR="0078442D">
        <w:t>:</w:t>
      </w:r>
      <w:r w:rsidR="00AA7DCE">
        <w:t xml:space="preserve"> the six-state area (LA, AL, MS, TX, FL, GA), three state area (LA, AL, MS), single state, and county.  </w:t>
      </w:r>
    </w:p>
    <w:sectPr w:rsidR="00AA7DCE" w:rsidRPr="00AA7D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E6881" w14:textId="77777777" w:rsidR="000E45FE" w:rsidRDefault="000E45FE" w:rsidP="00345BCD">
      <w:pPr>
        <w:spacing w:after="0" w:line="240" w:lineRule="auto"/>
      </w:pPr>
      <w:r>
        <w:separator/>
      </w:r>
    </w:p>
  </w:endnote>
  <w:endnote w:type="continuationSeparator" w:id="0">
    <w:p w14:paraId="4A29BD4B" w14:textId="77777777" w:rsidR="000E45FE" w:rsidRDefault="000E45FE" w:rsidP="0034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4F743" w14:textId="77777777" w:rsidR="000E45FE" w:rsidRDefault="000E45FE" w:rsidP="00345BCD">
      <w:pPr>
        <w:spacing w:after="0" w:line="240" w:lineRule="auto"/>
      </w:pPr>
      <w:r>
        <w:separator/>
      </w:r>
    </w:p>
  </w:footnote>
  <w:footnote w:type="continuationSeparator" w:id="0">
    <w:p w14:paraId="09352AB8" w14:textId="77777777" w:rsidR="000E45FE" w:rsidRDefault="000E45FE" w:rsidP="00345BCD">
      <w:pPr>
        <w:spacing w:after="0" w:line="240" w:lineRule="auto"/>
      </w:pPr>
      <w:r>
        <w:continuationSeparator/>
      </w:r>
    </w:p>
  </w:footnote>
  <w:footnote w:id="1">
    <w:p w14:paraId="18210800" w14:textId="0B6D1134" w:rsidR="00345BCD" w:rsidRDefault="00345BCD">
      <w:pPr>
        <w:pStyle w:val="FootnoteText"/>
      </w:pPr>
      <w:r>
        <w:rPr>
          <w:rStyle w:val="FootnoteReference"/>
        </w:rPr>
        <w:footnoteRef/>
      </w:r>
      <w:r>
        <w:t xml:space="preserve"> For the 2011 and 2016 vintages of the ACS </w:t>
      </w:r>
      <w:r w:rsidR="00DC2EEE">
        <w:t>5-year</w:t>
      </w:r>
      <w:r>
        <w:t xml:space="preserve"> Estimates, the comparisons were relatively straightforward. Comparing future vintages of the ACS may be more complex. See the ACS Comparison Guides for more information at </w:t>
      </w:r>
      <w:hyperlink r:id="rId1" w:history="1">
        <w:r w:rsidR="008B7E56" w:rsidRPr="00300589">
          <w:rPr>
            <w:rStyle w:val="Hyperlink"/>
          </w:rPr>
          <w:t>https://www.census.gov/programs-surveys/acs/guidance/comparing-acs-data.html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015"/>
    <w:multiLevelType w:val="hybridMultilevel"/>
    <w:tmpl w:val="8AB6F3A2"/>
    <w:lvl w:ilvl="0" w:tplc="CF6615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F095B"/>
    <w:multiLevelType w:val="hybridMultilevel"/>
    <w:tmpl w:val="1700DF5E"/>
    <w:lvl w:ilvl="0" w:tplc="F43E6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8601D5"/>
    <w:multiLevelType w:val="hybridMultilevel"/>
    <w:tmpl w:val="D14C10C4"/>
    <w:lvl w:ilvl="0" w:tplc="CB8AEA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28"/>
    <w:rsid w:val="000E1AA0"/>
    <w:rsid w:val="000E45FE"/>
    <w:rsid w:val="00100983"/>
    <w:rsid w:val="001442A4"/>
    <w:rsid w:val="00345BCD"/>
    <w:rsid w:val="00385507"/>
    <w:rsid w:val="00400E84"/>
    <w:rsid w:val="0053561F"/>
    <w:rsid w:val="00542A28"/>
    <w:rsid w:val="00582CCA"/>
    <w:rsid w:val="00595925"/>
    <w:rsid w:val="00687DD9"/>
    <w:rsid w:val="00716CD4"/>
    <w:rsid w:val="0078442D"/>
    <w:rsid w:val="007D087E"/>
    <w:rsid w:val="008B7E56"/>
    <w:rsid w:val="0095392C"/>
    <w:rsid w:val="009F6D94"/>
    <w:rsid w:val="00A466AB"/>
    <w:rsid w:val="00AA7DCE"/>
    <w:rsid w:val="00C17B28"/>
    <w:rsid w:val="00C72E99"/>
    <w:rsid w:val="00C7472A"/>
    <w:rsid w:val="00D7323A"/>
    <w:rsid w:val="00DA4358"/>
    <w:rsid w:val="00DC2EEE"/>
    <w:rsid w:val="00E96A76"/>
    <w:rsid w:val="00EE5AC9"/>
    <w:rsid w:val="00F7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A617"/>
  <w15:chartTrackingRefBased/>
  <w15:docId w15:val="{BA4A6484-8CC7-4515-AA39-7E3D97C7C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16C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16CD4"/>
    <w:pPr>
      <w:ind w:left="720"/>
      <w:contextualSpacing/>
    </w:pPr>
  </w:style>
  <w:style w:type="character" w:styleId="PlaceholderText">
    <w:name w:val="Placeholder Text"/>
    <w:basedOn w:val="DefaultParagraphFont"/>
    <w:uiPriority w:val="99"/>
    <w:semiHidden/>
    <w:rsid w:val="00F7268C"/>
    <w:rPr>
      <w:color w:val="808080"/>
    </w:rPr>
  </w:style>
  <w:style w:type="paragraph" w:styleId="FootnoteText">
    <w:name w:val="footnote text"/>
    <w:basedOn w:val="Normal"/>
    <w:link w:val="FootnoteTextChar"/>
    <w:uiPriority w:val="99"/>
    <w:semiHidden/>
    <w:unhideWhenUsed/>
    <w:rsid w:val="00345B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5BCD"/>
    <w:rPr>
      <w:sz w:val="20"/>
      <w:szCs w:val="20"/>
    </w:rPr>
  </w:style>
  <w:style w:type="character" w:styleId="FootnoteReference">
    <w:name w:val="footnote reference"/>
    <w:basedOn w:val="DefaultParagraphFont"/>
    <w:uiPriority w:val="99"/>
    <w:semiHidden/>
    <w:unhideWhenUsed/>
    <w:rsid w:val="00345BCD"/>
    <w:rPr>
      <w:vertAlign w:val="superscript"/>
    </w:rPr>
  </w:style>
  <w:style w:type="character" w:styleId="Hyperlink">
    <w:name w:val="Hyperlink"/>
    <w:basedOn w:val="DefaultParagraphFont"/>
    <w:uiPriority w:val="99"/>
    <w:unhideWhenUsed/>
    <w:rsid w:val="00345BCD"/>
    <w:rPr>
      <w:color w:val="0563C1" w:themeColor="hyperlink"/>
      <w:u w:val="single"/>
    </w:rPr>
  </w:style>
  <w:style w:type="character" w:styleId="UnresolvedMention">
    <w:name w:val="Unresolved Mention"/>
    <w:basedOn w:val="DefaultParagraphFont"/>
    <w:uiPriority w:val="99"/>
    <w:semiHidden/>
    <w:unhideWhenUsed/>
    <w:rsid w:val="00345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11990">
      <w:bodyDiv w:val="1"/>
      <w:marLeft w:val="0"/>
      <w:marRight w:val="0"/>
      <w:marTop w:val="0"/>
      <w:marBottom w:val="0"/>
      <w:divBdr>
        <w:top w:val="none" w:sz="0" w:space="0" w:color="auto"/>
        <w:left w:val="none" w:sz="0" w:space="0" w:color="auto"/>
        <w:bottom w:val="none" w:sz="0" w:space="0" w:color="auto"/>
        <w:right w:val="none" w:sz="0" w:space="0" w:color="auto"/>
      </w:divBdr>
    </w:div>
    <w:div w:id="1235121770">
      <w:bodyDiv w:val="1"/>
      <w:marLeft w:val="0"/>
      <w:marRight w:val="0"/>
      <w:marTop w:val="0"/>
      <w:marBottom w:val="0"/>
      <w:divBdr>
        <w:top w:val="none" w:sz="0" w:space="0" w:color="auto"/>
        <w:left w:val="none" w:sz="0" w:space="0" w:color="auto"/>
        <w:bottom w:val="none" w:sz="0" w:space="0" w:color="auto"/>
        <w:right w:val="none" w:sz="0" w:space="0" w:color="auto"/>
      </w:divBdr>
    </w:div>
    <w:div w:id="168613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chp.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cid:image001.jpg@01D42011.CF5B3160" TargetMode="External"/><Relationship Id="rId4" Type="http://schemas.openxmlformats.org/officeDocument/2006/relationships/settings" Target="setting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www.census.gov/programs-surveys/acs/guidance/comparing-acs-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3CC8A-F91E-4596-A29B-C4A48A36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Powicki</dc:creator>
  <cp:keywords/>
  <dc:description/>
  <cp:lastModifiedBy>Charlie Powicki</cp:lastModifiedBy>
  <cp:revision>9</cp:revision>
  <dcterms:created xsi:type="dcterms:W3CDTF">2018-07-20T18:11:00Z</dcterms:created>
  <dcterms:modified xsi:type="dcterms:W3CDTF">2018-08-08T17:21:00Z</dcterms:modified>
</cp:coreProperties>
</file>